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方正小标宋简体" w:hAnsi="新宋体" w:eastAsia="方正小标宋简体"/>
          <w:spacing w:val="0"/>
          <w:sz w:val="44"/>
          <w:szCs w:val="44"/>
        </w:rPr>
      </w:pPr>
      <w:r>
        <w:rPr>
          <w:rFonts w:hint="eastAsia" w:ascii="方正小标宋简体" w:hAnsi="新宋体" w:eastAsia="方正小标宋简体"/>
          <w:spacing w:val="0"/>
          <w:sz w:val="44"/>
          <w:szCs w:val="44"/>
        </w:rPr>
        <w:t>《柳州市激励企业加大</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方正小标宋简体" w:hAnsi="新宋体" w:eastAsia="方正小标宋简体"/>
          <w:spacing w:val="0"/>
          <w:sz w:val="44"/>
          <w:szCs w:val="44"/>
        </w:rPr>
      </w:pPr>
      <w:r>
        <w:rPr>
          <w:rFonts w:hint="eastAsia" w:ascii="方正小标宋简体" w:hAnsi="新宋体" w:eastAsia="方正小标宋简体"/>
          <w:spacing w:val="0"/>
          <w:sz w:val="44"/>
          <w:szCs w:val="44"/>
        </w:rPr>
        <w:t>研发经费投入实施办法》政策解读</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方正小标宋简体" w:hAnsi="新宋体" w:eastAsia="方正小标宋简体"/>
          <w:spacing w:val="-6"/>
          <w:sz w:val="44"/>
          <w:szCs w:val="44"/>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0"/>
        <w:rPr>
          <w:rFonts w:hint="default" w:ascii="黑体" w:hAnsi="黑体" w:eastAsia="仿宋_GB2312" w:cs="黑体"/>
          <w:bCs/>
          <w:sz w:val="32"/>
          <w:szCs w:val="32"/>
          <w:lang w:val="en-US" w:eastAsia="zh-CN"/>
        </w:rPr>
      </w:pPr>
      <w:r>
        <w:rPr>
          <w:rFonts w:hint="eastAsia" w:ascii="黑体" w:hAnsi="黑体" w:eastAsia="黑体" w:cs="黑体"/>
          <w:bCs/>
          <w:sz w:val="32"/>
          <w:szCs w:val="32"/>
        </w:rPr>
        <w:t>一、政策制定背景</w:t>
      </w:r>
      <w:r>
        <w:rPr>
          <w:rFonts w:hint="eastAsia" w:ascii="Times New Roman" w:hAnsi="Times New Roman" w:eastAsia="仿宋_GB2312" w:cs="Times New Roman"/>
          <w:b w:val="0"/>
          <w:bCs/>
          <w:kern w:val="0"/>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b w:val="0"/>
          <w:bCs/>
          <w:sz w:val="32"/>
          <w:szCs w:val="32"/>
          <w:lang w:val="en-US" w:eastAsia="zh-CN"/>
        </w:rPr>
        <w:t>柳州市2020年</w:t>
      </w:r>
      <w:r>
        <w:rPr>
          <w:rFonts w:hint="default" w:ascii="Times New Roman" w:hAnsi="Times New Roman" w:eastAsia="仿宋_GB2312" w:cs="Times New Roman"/>
          <w:b w:val="0"/>
          <w:bCs/>
          <w:sz w:val="32"/>
          <w:szCs w:val="32"/>
        </w:rPr>
        <w:t>全社会研究与试验发展经费投入</w:t>
      </w:r>
      <w:r>
        <w:rPr>
          <w:rFonts w:hint="default" w:ascii="Times New Roman" w:hAnsi="Times New Roman" w:eastAsia="仿宋_GB2312" w:cs="Times New Roman"/>
          <w:b w:val="0"/>
          <w:bCs/>
          <w:sz w:val="32"/>
          <w:szCs w:val="32"/>
          <w:lang w:eastAsia="zh-CN"/>
        </w:rPr>
        <w:t>为</w:t>
      </w:r>
      <w:r>
        <w:rPr>
          <w:rFonts w:hint="default" w:ascii="Times New Roman" w:hAnsi="Times New Roman" w:eastAsia="仿宋_GB2312" w:cs="Times New Roman"/>
          <w:b w:val="0"/>
          <w:bCs/>
          <w:sz w:val="32"/>
          <w:szCs w:val="32"/>
          <w:lang w:val="en-US" w:eastAsia="zh-CN"/>
        </w:rPr>
        <w:t>56.8亿元，全社会研发投入强度增加至1.86%，</w:t>
      </w:r>
      <w:r>
        <w:rPr>
          <w:rFonts w:hint="default" w:ascii="Times New Roman" w:hAnsi="Times New Roman" w:eastAsia="仿宋_GB2312" w:cs="Times New Roman"/>
          <w:b w:val="0"/>
          <w:bCs/>
          <w:sz w:val="32"/>
          <w:szCs w:val="32"/>
        </w:rPr>
        <w:t>但</w:t>
      </w:r>
      <w:r>
        <w:rPr>
          <w:rFonts w:hint="default" w:ascii="Times New Roman" w:hAnsi="Times New Roman" w:eastAsia="仿宋_GB2312" w:cs="Times New Roman"/>
          <w:b w:val="0"/>
          <w:bCs/>
          <w:color w:val="000000"/>
          <w:spacing w:val="6"/>
          <w:sz w:val="32"/>
          <w:szCs w:val="32"/>
          <w:lang w:bidi="zh-TW"/>
        </w:rPr>
        <w:t>远落后</w:t>
      </w:r>
      <w:r>
        <w:rPr>
          <w:rFonts w:hint="default" w:ascii="Times New Roman" w:hAnsi="Times New Roman" w:eastAsia="仿宋_GB2312" w:cs="Times New Roman"/>
          <w:b w:val="0"/>
          <w:bCs/>
          <w:sz w:val="32"/>
          <w:szCs w:val="32"/>
        </w:rPr>
        <w:t>于</w:t>
      </w:r>
      <w:r>
        <w:rPr>
          <w:rFonts w:hint="default" w:ascii="Times New Roman" w:hAnsi="Times New Roman" w:eastAsia="仿宋_GB2312" w:cs="Times New Roman"/>
          <w:b w:val="0"/>
          <w:bCs/>
          <w:sz w:val="32"/>
          <w:szCs w:val="32"/>
          <w:lang w:val="zh-TW" w:eastAsia="zh-TW"/>
        </w:rPr>
        <w:t>全国</w:t>
      </w:r>
      <w:r>
        <w:rPr>
          <w:rFonts w:hint="default" w:ascii="Times New Roman" w:hAnsi="Times New Roman" w:eastAsia="仿宋_GB2312" w:cs="Times New Roman"/>
          <w:b w:val="0"/>
          <w:bCs/>
          <w:sz w:val="32"/>
          <w:szCs w:val="32"/>
        </w:rPr>
        <w:t>平均水平2.4</w:t>
      </w:r>
      <w:r>
        <w:rPr>
          <w:rFonts w:hint="default" w:ascii="Times New Roman" w:hAnsi="Times New Roman" w:eastAsia="仿宋_GB2312" w:cs="Times New Roman"/>
          <w:b w:val="0"/>
          <w:bCs/>
          <w:sz w:val="32"/>
          <w:szCs w:val="32"/>
          <w:lang w:val="zh-TW" w:eastAsia="zh-TW"/>
        </w:rPr>
        <w:t>%</w:t>
      </w:r>
      <w:r>
        <w:rPr>
          <w:rFonts w:hint="default" w:ascii="Times New Roman" w:hAnsi="Times New Roman" w:eastAsia="仿宋_GB2312" w:cs="Times New Roman"/>
          <w:b w:val="0"/>
          <w:bCs/>
          <w:sz w:val="32"/>
          <w:szCs w:val="32"/>
          <w:lang w:val="zh-TW"/>
        </w:rPr>
        <w:t>。</w:t>
      </w:r>
      <w:r>
        <w:rPr>
          <w:rFonts w:hint="default" w:ascii="Times New Roman" w:hAnsi="Times New Roman" w:eastAsia="仿宋_GB2312" w:cs="Times New Roman"/>
          <w:b w:val="0"/>
          <w:bCs/>
          <w:kern w:val="0"/>
          <w:sz w:val="32"/>
          <w:szCs w:val="32"/>
        </w:rPr>
        <w:t>2021年市本级</w:t>
      </w:r>
      <w:r>
        <w:rPr>
          <w:rFonts w:hint="default" w:ascii="Times New Roman" w:hAnsi="Times New Roman" w:eastAsia="仿宋_GB2312" w:cs="Times New Roman"/>
          <w:b w:val="0"/>
          <w:bCs/>
          <w:kern w:val="0"/>
          <w:sz w:val="32"/>
          <w:szCs w:val="32"/>
          <w:lang w:eastAsia="zh-CN"/>
        </w:rPr>
        <w:t>财政</w:t>
      </w:r>
      <w:r>
        <w:rPr>
          <w:rFonts w:hint="default" w:ascii="Times New Roman" w:hAnsi="Times New Roman" w:eastAsia="仿宋_GB2312" w:cs="Times New Roman"/>
          <w:b w:val="0"/>
          <w:bCs/>
          <w:kern w:val="0"/>
          <w:sz w:val="32"/>
          <w:szCs w:val="32"/>
        </w:rPr>
        <w:t>预算安排</w:t>
      </w:r>
      <w:r>
        <w:rPr>
          <w:rFonts w:hint="eastAsia"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rPr>
        <w:t>应用技术研究与开发（原科技三项费）</w:t>
      </w:r>
      <w:r>
        <w:rPr>
          <w:rFonts w:hint="eastAsia"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rPr>
        <w:t>经费投入，围绕柳州市重点发展的</w:t>
      </w:r>
      <w:r>
        <w:rPr>
          <w:rFonts w:hint="eastAsia"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rPr>
        <w:t>5+5</w:t>
      </w:r>
      <w:r>
        <w:rPr>
          <w:rFonts w:hint="eastAsia"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rPr>
        <w:t>产业科技研发项目展开，通过项目前补助、奖励后补助等多种形式鼓励企业加大科技研发投入、积极进行成果转化，助力柳州市科技创新迈上新台阶。</w:t>
      </w:r>
      <w:r>
        <w:rPr>
          <w:rFonts w:hint="default" w:ascii="Times New Roman" w:hAnsi="Times New Roman" w:eastAsia="仿宋_GB2312" w:cs="Times New Roman"/>
          <w:b w:val="0"/>
          <w:bCs/>
          <w:kern w:val="0"/>
          <w:sz w:val="32"/>
          <w:szCs w:val="32"/>
          <w:lang w:val="en-US" w:eastAsia="zh-CN"/>
        </w:rPr>
        <w:t>2022年应用技术研究与开发经费预算安排经费总额较上年下降，</w:t>
      </w:r>
      <w:r>
        <w:rPr>
          <w:rFonts w:hint="default" w:ascii="Times New Roman" w:hAnsi="Times New Roman" w:eastAsia="仿宋_GB2312" w:cs="Times New Roman"/>
          <w:b w:val="0"/>
          <w:bCs/>
          <w:kern w:val="0"/>
          <w:sz w:val="32"/>
          <w:szCs w:val="32"/>
        </w:rPr>
        <w:t>对标先进城市差距明显</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sz w:val="32"/>
          <w:szCs w:val="32"/>
          <w:lang w:bidi="ar-SA"/>
        </w:rPr>
        <w:t>柳州自治区级及以上科研机构和一流大学严重缺乏，科技型领军企业和高端研发</w:t>
      </w:r>
      <w:r>
        <w:rPr>
          <w:rFonts w:hint="default" w:ascii="Times New Roman" w:hAnsi="Times New Roman" w:eastAsia="仿宋_GB2312" w:cs="Times New Roman"/>
          <w:sz w:val="32"/>
          <w:szCs w:val="32"/>
          <w:lang w:bidi="ar-SA"/>
        </w:rPr>
        <w:t>机构不多，全社会研发投入以企业为主，但传统产业比重较大，规模以上企业科技创新投入不足，科技难以支撑和引领产业转型升级。</w:t>
      </w:r>
      <w:r>
        <w:rPr>
          <w:rFonts w:hint="default" w:ascii="Times New Roman" w:hAnsi="Times New Roman" w:eastAsia="仿宋_GB2312" w:cs="Times New Roman"/>
          <w:sz w:val="32"/>
          <w:szCs w:val="32"/>
          <w:lang w:eastAsia="zh-CN" w:bidi="ar-SA"/>
        </w:rPr>
        <w:t>因此，</w:t>
      </w:r>
      <w:r>
        <w:rPr>
          <w:rFonts w:hint="default" w:ascii="Times New Roman" w:hAnsi="Times New Roman" w:eastAsia="仿宋_GB2312" w:cs="Times New Roman"/>
          <w:sz w:val="32"/>
          <w:szCs w:val="32"/>
          <w:lang w:bidi="ar-SA"/>
        </w:rPr>
        <w:t>急需出台政策，引导企业加大研发经费投入，激发企业自主创新活力，支撑和推动我市工业高质量发展和创新型城市建设。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bidi="ar-SA"/>
        </w:rPr>
        <w:t>激励企业加大研发经费投入是推进企业成为创新主体的重要举措，普惠性后补助方式符合国家和自治区众多政策文件的要求：</w:t>
      </w:r>
      <w:r>
        <w:rPr>
          <w:rFonts w:hint="default" w:ascii="Times New Roman" w:hAnsi="Times New Roman" w:eastAsia="仿宋_GB2312" w:cs="Times New Roman"/>
          <w:bCs/>
          <w:kern w:val="2"/>
          <w:sz w:val="32"/>
          <w:szCs w:val="32"/>
        </w:rPr>
        <w:t>《广西科技创新</w:t>
      </w:r>
      <w:r>
        <w:rPr>
          <w:rFonts w:hint="eastAsia" w:ascii="Times New Roman" w:hAnsi="Times New Roman" w:eastAsia="仿宋_GB2312" w:cs="Times New Roman"/>
          <w:bCs/>
          <w:kern w:val="2"/>
          <w:sz w:val="32"/>
          <w:szCs w:val="32"/>
          <w:lang w:eastAsia="zh-CN"/>
        </w:rPr>
        <w:t>“</w:t>
      </w:r>
      <w:r>
        <w:rPr>
          <w:rFonts w:hint="default" w:ascii="Times New Roman" w:hAnsi="Times New Roman" w:eastAsia="仿宋_GB2312" w:cs="Times New Roman"/>
          <w:bCs/>
          <w:kern w:val="2"/>
          <w:sz w:val="32"/>
          <w:szCs w:val="32"/>
        </w:rPr>
        <w:t>十四五</w:t>
      </w:r>
      <w:r>
        <w:rPr>
          <w:rFonts w:hint="eastAsia" w:ascii="Times New Roman" w:hAnsi="Times New Roman" w:eastAsia="仿宋_GB2312" w:cs="Times New Roman"/>
          <w:bCs/>
          <w:kern w:val="2"/>
          <w:sz w:val="32"/>
          <w:szCs w:val="32"/>
          <w:lang w:eastAsia="zh-CN"/>
        </w:rPr>
        <w:t>”</w:t>
      </w:r>
      <w:r>
        <w:rPr>
          <w:rFonts w:hint="default" w:ascii="Times New Roman" w:hAnsi="Times New Roman" w:eastAsia="仿宋_GB2312" w:cs="Times New Roman"/>
          <w:bCs/>
          <w:kern w:val="2"/>
          <w:sz w:val="32"/>
          <w:szCs w:val="32"/>
        </w:rPr>
        <w:t>规划》中要求全区力争全社会研发</w:t>
      </w:r>
      <w:r>
        <w:rPr>
          <w:rFonts w:hint="default" w:ascii="Times New Roman" w:hAnsi="Times New Roman" w:eastAsia="仿宋_GB2312" w:cs="Times New Roman"/>
          <w:kern w:val="0"/>
          <w:sz w:val="32"/>
          <w:szCs w:val="32"/>
        </w:rPr>
        <w:t>投入年均增长22%，加快提升研发投入强度</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b w:val="0"/>
          <w:kern w:val="0"/>
          <w:sz w:val="32"/>
          <w:szCs w:val="32"/>
        </w:rPr>
        <w:t>自治区人民政府印发的</w:t>
      </w:r>
      <w:r>
        <w:rPr>
          <w:rFonts w:hint="default" w:ascii="Times New Roman" w:hAnsi="Times New Roman" w:eastAsia="仿宋_GB2312" w:cs="Times New Roman"/>
          <w:kern w:val="0"/>
          <w:sz w:val="32"/>
          <w:szCs w:val="32"/>
        </w:rPr>
        <w:t>《科技强桂三年行动方案（2021</w:t>
      </w:r>
      <w:r>
        <w:rPr>
          <w:rFonts w:hint="eastAsia" w:ascii="汉仪方隶简" w:hAnsi="汉仪方隶简" w:eastAsia="汉仪方隶简" w:cs="汉仪方隶简"/>
          <w:kern w:val="0"/>
          <w:sz w:val="32"/>
          <w:szCs w:val="32"/>
        </w:rPr>
        <w:t>－</w:t>
      </w:r>
      <w:r>
        <w:rPr>
          <w:rFonts w:hint="default" w:ascii="Times New Roman" w:hAnsi="Times New Roman" w:eastAsia="仿宋_GB2312" w:cs="Times New Roman"/>
          <w:kern w:val="0"/>
          <w:sz w:val="32"/>
          <w:szCs w:val="32"/>
        </w:rPr>
        <w:t>2023年）》</w:t>
      </w:r>
      <w:r>
        <w:rPr>
          <w:rFonts w:hint="default" w:ascii="Times New Roman" w:hAnsi="Times New Roman" w:eastAsia="仿宋_GB2312" w:cs="Times New Roman"/>
          <w:kern w:val="2"/>
          <w:sz w:val="32"/>
          <w:szCs w:val="32"/>
          <w:lang w:val="en-US" w:eastAsia="zh-CN" w:bidi="ar-SA"/>
        </w:rPr>
        <w:t>强调要把科技创新作为广西高质量发展的战略支撑，提出了到2023年，我区全社会研发经费投入强度要实现从2020年的0.78%提高到1.3%，即全社会研发经费投入要从2020年的173亿元增加到348亿元以上；</w:t>
      </w:r>
      <w:r>
        <w:rPr>
          <w:rFonts w:hint="default" w:ascii="Times New Roman" w:hAnsi="Times New Roman" w:eastAsia="仿宋_GB2312" w:cs="Times New Roman"/>
          <w:b w:val="0"/>
          <w:bCs/>
          <w:kern w:val="0"/>
          <w:sz w:val="32"/>
          <w:szCs w:val="32"/>
        </w:rPr>
        <w:t>广西壮族自治区第十三届人民代表大会第五次会议上的《政府工作报告》中，强调</w:t>
      </w:r>
      <w:r>
        <w:rPr>
          <w:rFonts w:hint="default" w:ascii="Times New Roman" w:hAnsi="Times New Roman" w:eastAsia="仿宋_GB2312" w:cs="Times New Roman"/>
          <w:b w:val="0"/>
          <w:bCs/>
          <w:kern w:val="0"/>
          <w:sz w:val="32"/>
          <w:szCs w:val="32"/>
          <w:lang w:eastAsia="zh-CN"/>
        </w:rPr>
        <w:t>要</w:t>
      </w:r>
      <w:r>
        <w:rPr>
          <w:rFonts w:hint="default" w:ascii="Times New Roman" w:hAnsi="Times New Roman" w:eastAsia="仿宋_GB2312" w:cs="Times New Roman"/>
          <w:b w:val="0"/>
          <w:bCs/>
          <w:kern w:val="0"/>
          <w:sz w:val="32"/>
          <w:szCs w:val="32"/>
        </w:rPr>
        <w:t>增强创新驱动力，持续推进工业振兴</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rPr>
        <w:t>加大研发奖补资金支持力度</w:t>
      </w:r>
      <w:r>
        <w:rPr>
          <w:rFonts w:hint="default" w:ascii="Times New Roman" w:hAnsi="Times New Roman" w:eastAsia="仿宋_GB2312" w:cs="Times New Roman"/>
          <w:b w:val="0"/>
          <w:bCs/>
          <w:kern w:val="0"/>
          <w:sz w:val="32"/>
          <w:szCs w:val="32"/>
          <w:lang w:eastAsia="zh-CN"/>
        </w:rPr>
        <w:t>的工作需求。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kern w:val="0"/>
          <w:sz w:val="32"/>
          <w:szCs w:val="32"/>
          <w:lang w:val="en-US" w:eastAsia="zh-CN" w:bidi="ar-SA"/>
        </w:rPr>
        <w:t>为强化企业创新主体地位，激发企业自主创新活力，培育壮大经济发展新动能，推动我市工业高质量发展和创新型城市建设，促进全社会加大研发经费，重新修订了2019年发布的《柳州市激励企业加大研发经费投入实施暂行办法》（</w:t>
      </w:r>
      <w:r>
        <w:rPr>
          <w:rFonts w:hint="default" w:ascii="Times New Roman" w:hAnsi="Times New Roman" w:eastAsia="仿宋_GB2312" w:cs="Times New Roman"/>
          <w:sz w:val="32"/>
          <w:szCs w:val="32"/>
          <w:lang w:eastAsia="zh-CN" w:bidi="ar-SA"/>
        </w:rPr>
        <w:t>柳政规</w:t>
      </w:r>
      <w:r>
        <w:rPr>
          <w:rFonts w:hint="default" w:ascii="Times New Roman" w:hAnsi="Times New Roman" w:eastAsia="仿宋_GB2312" w:cs="Times New Roman"/>
          <w:sz w:val="32"/>
          <w:szCs w:val="32"/>
          <w:lang w:bidi="ar-SA"/>
        </w:rPr>
        <w:t>〔201</w:t>
      </w:r>
      <w:r>
        <w:rPr>
          <w:rFonts w:hint="default" w:ascii="Times New Roman" w:hAnsi="Times New Roman" w:eastAsia="仿宋_GB2312" w:cs="Times New Roman"/>
          <w:sz w:val="32"/>
          <w:szCs w:val="32"/>
          <w:lang w:val="en-US" w:eastAsia="zh-CN" w:bidi="ar-SA"/>
        </w:rPr>
        <w:t>9</w:t>
      </w: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val="en-US" w:eastAsia="zh-CN" w:bidi="ar-SA"/>
        </w:rPr>
        <w:t>16</w:t>
      </w:r>
      <w:r>
        <w:rPr>
          <w:rFonts w:hint="default" w:ascii="Times New Roman" w:hAnsi="Times New Roman" w:eastAsia="仿宋_GB2312" w:cs="Times New Roman"/>
          <w:sz w:val="32"/>
          <w:szCs w:val="32"/>
          <w:lang w:bidi="ar-SA"/>
        </w:rPr>
        <w:t>号</w:t>
      </w:r>
      <w:r>
        <w:rPr>
          <w:rFonts w:hint="default" w:ascii="Times New Roman" w:hAnsi="Times New Roman" w:eastAsia="仿宋_GB2312" w:cs="Times New Roman"/>
          <w:color w:val="000000"/>
          <w:kern w:val="0"/>
          <w:sz w:val="32"/>
          <w:szCs w:val="32"/>
          <w:lang w:val="en-US" w:eastAsia="zh-CN" w:bidi="ar-SA"/>
        </w:rPr>
        <w:t>），并形成了新的《柳州市激励企业加大研发经费投入实施办法》。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0"/>
        <w:rPr>
          <w:rFonts w:hint="eastAsia" w:ascii="黑体" w:hAnsi="黑体" w:eastAsia="黑体" w:cs="黑体"/>
          <w:bCs/>
          <w:sz w:val="32"/>
          <w:szCs w:val="32"/>
        </w:rPr>
      </w:pPr>
      <w:r>
        <w:rPr>
          <w:rFonts w:hint="eastAsia" w:ascii="黑体" w:hAnsi="黑体" w:eastAsia="黑体" w:cs="黑体"/>
          <w:bCs/>
          <w:sz w:val="32"/>
          <w:szCs w:val="32"/>
        </w:rPr>
        <w:t>二、政策制定依据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 xml:space="preserve">1.《国家创新驱动发展战略纲要》； </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2.《科技强桂三年行动方案（2021-2023年）》（桂办发〔2021〕14号）；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val="en-US" w:eastAsia="zh-CN" w:bidi="ar-SA"/>
        </w:rPr>
        <w:t>《关于进一步深化科技体制改革 推动科技创新促进柳州市高质量发展的若干措施》（柳政办〔2021〕</w:t>
      </w:r>
      <w:r>
        <w:rPr>
          <w:rFonts w:hint="default" w:ascii="Times New Roman" w:hAnsi="Times New Roman" w:eastAsia="仿宋_GB2312" w:cs="Times New Roman"/>
          <w:sz w:val="32"/>
          <w:szCs w:val="32"/>
          <w:lang w:val="en" w:eastAsia="zh-CN" w:bidi="ar-SA"/>
        </w:rPr>
        <w:t>1</w:t>
      </w:r>
      <w:r>
        <w:rPr>
          <w:rFonts w:hint="default" w:ascii="Times New Roman" w:hAnsi="Times New Roman" w:eastAsia="仿宋_GB2312" w:cs="Times New Roman"/>
          <w:sz w:val="32"/>
          <w:szCs w:val="32"/>
          <w:lang w:val="en-US" w:eastAsia="zh-CN" w:bidi="ar-SA"/>
        </w:rPr>
        <w:t>24号）；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4.《柳州市落实科技强桂三年行动方案（2021</w:t>
      </w:r>
      <w:r>
        <w:rPr>
          <w:rFonts w:hint="eastAsia" w:ascii="汉仪方隶简" w:hAnsi="汉仪方隶简" w:eastAsia="汉仪方隶简" w:cs="汉仪方隶简"/>
          <w:sz w:val="32"/>
          <w:szCs w:val="32"/>
          <w:lang w:val="en-US" w:eastAsia="zh-CN" w:bidi="ar-SA"/>
        </w:rPr>
        <w:t>－</w:t>
      </w:r>
      <w:r>
        <w:rPr>
          <w:rFonts w:hint="default" w:ascii="Times New Roman" w:hAnsi="Times New Roman" w:eastAsia="仿宋_GB2312" w:cs="Times New Roman"/>
          <w:sz w:val="32"/>
          <w:szCs w:val="32"/>
          <w:lang w:val="en-US" w:eastAsia="zh-CN" w:bidi="ar-SA"/>
        </w:rPr>
        <w:t>2023年）的实施方案》（柳办发〔2021〕</w:t>
      </w:r>
      <w:r>
        <w:rPr>
          <w:rFonts w:hint="default" w:ascii="Times New Roman" w:hAnsi="Times New Roman" w:eastAsia="仿宋_GB2312" w:cs="Times New Roman"/>
          <w:sz w:val="32"/>
          <w:szCs w:val="32"/>
          <w:lang w:val="en" w:eastAsia="zh-CN" w:bidi="ar-SA"/>
        </w:rPr>
        <w:t>1</w:t>
      </w:r>
      <w:r>
        <w:rPr>
          <w:rFonts w:hint="default" w:ascii="Times New Roman" w:hAnsi="Times New Roman" w:eastAsia="仿宋_GB2312" w:cs="Times New Roman"/>
          <w:sz w:val="32"/>
          <w:szCs w:val="32"/>
          <w:lang w:val="en-US" w:eastAsia="zh-CN" w:bidi="ar-SA"/>
        </w:rPr>
        <w:t>8号）</w:t>
      </w:r>
      <w:r>
        <w:rPr>
          <w:rFonts w:hint="default" w:ascii="Times New Roman" w:hAnsi="Times New Roman" w:eastAsia="仿宋_GB2312" w:cs="Times New Roman"/>
          <w:sz w:val="32"/>
          <w:szCs w:val="32"/>
          <w:lang w:bidi="ar-SA"/>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0"/>
        <w:rPr>
          <w:rFonts w:hint="eastAsia" w:ascii="黑体" w:hAnsi="黑体" w:eastAsia="黑体" w:cs="黑体"/>
          <w:bCs/>
          <w:sz w:val="32"/>
          <w:szCs w:val="32"/>
        </w:rPr>
      </w:pPr>
      <w:r>
        <w:rPr>
          <w:rFonts w:hint="eastAsia" w:ascii="黑体" w:hAnsi="黑体" w:eastAsia="黑体" w:cs="黑体"/>
          <w:bCs/>
          <w:sz w:val="32"/>
          <w:szCs w:val="32"/>
        </w:rPr>
        <w:t>三、文件构成</w:t>
      </w:r>
    </w:p>
    <w:p>
      <w:pPr>
        <w:pStyle w:val="3"/>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本办法包含六章，共十</w:t>
      </w:r>
      <w:r>
        <w:rPr>
          <w:rFonts w:hint="default" w:ascii="Times New Roman" w:hAnsi="Times New Roman" w:eastAsia="仿宋_GB2312" w:cs="Times New Roman"/>
          <w:szCs w:val="32"/>
          <w:lang w:eastAsia="zh-CN"/>
        </w:rPr>
        <w:t>六</w:t>
      </w:r>
      <w:r>
        <w:rPr>
          <w:rFonts w:hint="default" w:ascii="Times New Roman" w:hAnsi="Times New Roman" w:eastAsia="仿宋_GB2312" w:cs="Times New Roman"/>
          <w:szCs w:val="32"/>
        </w:rPr>
        <w:t>条。第一章为总则、第二章为奖补对象与方式、第三章为奖补标准、第四章为工作程序、第五章为实施管理职责、第六章为附则。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0"/>
        <w:rPr>
          <w:rFonts w:hint="eastAsia" w:ascii="黑体" w:hAnsi="黑体" w:eastAsia="黑体" w:cs="黑体"/>
          <w:bCs/>
          <w:sz w:val="32"/>
          <w:szCs w:val="32"/>
        </w:rPr>
      </w:pPr>
      <w:r>
        <w:rPr>
          <w:rFonts w:hint="eastAsia" w:ascii="黑体" w:hAnsi="黑体" w:eastAsia="黑体" w:cs="黑体"/>
          <w:bCs/>
          <w:sz w:val="32"/>
          <w:szCs w:val="32"/>
        </w:rPr>
        <w:t>四、主要内容</w:t>
      </w:r>
    </w:p>
    <w:p>
      <w:pPr>
        <w:pStyle w:val="3"/>
        <w:keepNext w:val="0"/>
        <w:keepLines w:val="0"/>
        <w:pageBreakBefore w:val="0"/>
        <w:kinsoku/>
        <w:wordWrap/>
        <w:overflowPunct/>
        <w:topLinePunct w:val="0"/>
        <w:autoSpaceDE/>
        <w:autoSpaceDN/>
        <w:bidi w:val="0"/>
        <w:adjustRightInd w:val="0"/>
        <w:snapToGrid w:val="0"/>
        <w:spacing w:line="560" w:lineRule="exact"/>
        <w:ind w:firstLine="616" w:firstLineChars="200"/>
        <w:textAlignment w:val="auto"/>
        <w:outlineLvl w:val="1"/>
        <w:rPr>
          <w:rFonts w:hint="eastAsia" w:ascii="楷体_GB2312" w:hAnsi="楷体_GB2312" w:eastAsia="楷体_GB2312" w:cs="楷体_GB2312"/>
          <w:bCs/>
          <w:spacing w:val="-6"/>
          <w:szCs w:val="32"/>
        </w:rPr>
      </w:pPr>
      <w:r>
        <w:rPr>
          <w:rFonts w:hint="eastAsia" w:ascii="楷体_GB2312" w:hAnsi="楷体_GB2312" w:eastAsia="楷体_GB2312" w:cs="楷体_GB2312"/>
          <w:bCs/>
          <w:spacing w:val="-6"/>
          <w:szCs w:val="32"/>
        </w:rPr>
        <w:t>（一）奖补对象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eastAsia="zh-CN" w:bidi="ar-SA"/>
        </w:rPr>
        <w:t>本</w:t>
      </w:r>
      <w:r>
        <w:rPr>
          <w:rFonts w:hint="default" w:ascii="Times New Roman" w:hAnsi="Times New Roman" w:eastAsia="仿宋_GB2312" w:cs="Times New Roman"/>
          <w:sz w:val="32"/>
          <w:szCs w:val="32"/>
          <w:lang w:bidi="ar-SA"/>
        </w:rPr>
        <w:t>办法的奖补对象须同时具备以下</w:t>
      </w:r>
      <w:r>
        <w:rPr>
          <w:rFonts w:hint="default" w:ascii="Times New Roman" w:hAnsi="Times New Roman" w:eastAsia="仿宋_GB2312" w:cs="Times New Roman"/>
          <w:sz w:val="32"/>
          <w:szCs w:val="32"/>
          <w:lang w:eastAsia="zh-CN" w:bidi="ar-SA"/>
        </w:rPr>
        <w:t>两个</w:t>
      </w:r>
      <w:r>
        <w:rPr>
          <w:rFonts w:hint="default" w:ascii="Times New Roman" w:hAnsi="Times New Roman" w:eastAsia="仿宋_GB2312" w:cs="Times New Roman"/>
          <w:sz w:val="32"/>
          <w:szCs w:val="32"/>
          <w:lang w:bidi="ar-SA"/>
        </w:rPr>
        <w:t>条件：在柳州市行政区域内设立、登记、注册并具有独立法人资格</w:t>
      </w:r>
      <w:r>
        <w:rPr>
          <w:rFonts w:hint="default" w:ascii="Times New Roman" w:hAnsi="Times New Roman" w:eastAsia="仿宋_GB2312" w:cs="Times New Roman"/>
          <w:sz w:val="32"/>
          <w:szCs w:val="32"/>
          <w:lang w:eastAsia="zh-CN" w:bidi="ar-SA"/>
        </w:rPr>
        <w:t>、良好科研信用</w:t>
      </w:r>
      <w:r>
        <w:rPr>
          <w:rFonts w:hint="default" w:ascii="Times New Roman" w:hAnsi="Times New Roman" w:eastAsia="仿宋_GB2312" w:cs="Times New Roman"/>
          <w:sz w:val="32"/>
          <w:szCs w:val="32"/>
          <w:lang w:bidi="ar-SA"/>
        </w:rPr>
        <w:t>的企业</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bidi="ar-SA"/>
        </w:rPr>
        <w:t>有自主研发经费投入和研发活动，且在企业所得税汇算清缴申报期结束之日止已向</w:t>
      </w:r>
      <w:bookmarkStart w:id="0" w:name="_GoBack"/>
      <w:bookmarkEnd w:id="0"/>
      <w:r>
        <w:rPr>
          <w:rFonts w:hint="default" w:ascii="Times New Roman" w:hAnsi="Times New Roman" w:eastAsia="仿宋_GB2312" w:cs="Times New Roman"/>
          <w:sz w:val="32"/>
          <w:szCs w:val="32"/>
          <w:lang w:bidi="ar-SA"/>
        </w:rPr>
        <w:t>税务部门进行纳税申报并享受了研发费用税前加计扣除的</w:t>
      </w:r>
      <w:r>
        <w:rPr>
          <w:rFonts w:hint="default" w:ascii="Times New Roman" w:hAnsi="Times New Roman" w:eastAsia="仿宋_GB2312" w:cs="Times New Roman"/>
          <w:sz w:val="32"/>
          <w:szCs w:val="32"/>
          <w:lang w:eastAsia="zh-CN" w:bidi="ar-SA"/>
        </w:rPr>
        <w:t>，实际</w:t>
      </w:r>
      <w:r>
        <w:rPr>
          <w:rFonts w:hint="default" w:ascii="Times New Roman" w:hAnsi="Times New Roman" w:eastAsia="仿宋_GB2312" w:cs="Times New Roman"/>
          <w:sz w:val="32"/>
          <w:szCs w:val="32"/>
          <w:lang w:bidi="ar-SA"/>
        </w:rPr>
        <w:t>研发</w:t>
      </w:r>
      <w:r>
        <w:rPr>
          <w:rFonts w:hint="default" w:ascii="Times New Roman" w:hAnsi="Times New Roman" w:eastAsia="仿宋_GB2312" w:cs="Times New Roman"/>
          <w:sz w:val="32"/>
          <w:szCs w:val="32"/>
          <w:lang w:eastAsia="zh-CN" w:bidi="ar-SA"/>
        </w:rPr>
        <w:t>费用额超过</w:t>
      </w:r>
      <w:r>
        <w:rPr>
          <w:rFonts w:hint="default" w:ascii="Times New Roman" w:hAnsi="Times New Roman" w:eastAsia="仿宋_GB2312" w:cs="Times New Roman"/>
          <w:sz w:val="32"/>
          <w:szCs w:val="32"/>
          <w:lang w:val="en-US" w:eastAsia="zh-CN" w:bidi="ar-SA"/>
        </w:rPr>
        <w:t>100万元</w:t>
      </w:r>
      <w:r>
        <w:rPr>
          <w:rFonts w:hint="default" w:ascii="Times New Roman" w:hAnsi="Times New Roman" w:eastAsia="仿宋_GB2312" w:cs="Times New Roman"/>
          <w:sz w:val="32"/>
          <w:szCs w:val="32"/>
          <w:lang w:eastAsia="zh-CN" w:bidi="ar-SA"/>
        </w:rPr>
        <w:t>（含）</w:t>
      </w:r>
      <w:r>
        <w:rPr>
          <w:rFonts w:hint="default" w:ascii="Times New Roman" w:hAnsi="Times New Roman" w:eastAsia="仿宋_GB2312" w:cs="Times New Roman"/>
          <w:sz w:val="32"/>
          <w:szCs w:val="32"/>
          <w:lang w:val="en-US" w:eastAsia="zh-CN" w:bidi="ar-SA"/>
        </w:rPr>
        <w:t>的</w:t>
      </w:r>
      <w:r>
        <w:rPr>
          <w:rFonts w:hint="default" w:ascii="Times New Roman" w:hAnsi="Times New Roman" w:eastAsia="仿宋_GB2312" w:cs="Times New Roman"/>
          <w:sz w:val="32"/>
          <w:szCs w:val="32"/>
          <w:lang w:bidi="ar-SA"/>
        </w:rPr>
        <w:t>企业。</w:t>
      </w:r>
    </w:p>
    <w:p>
      <w:pPr>
        <w:pStyle w:val="3"/>
        <w:keepNext w:val="0"/>
        <w:keepLines w:val="0"/>
        <w:pageBreakBefore w:val="0"/>
        <w:widowControl w:val="0"/>
        <w:kinsoku/>
        <w:wordWrap/>
        <w:overflowPunct/>
        <w:topLinePunct w:val="0"/>
        <w:autoSpaceDE/>
        <w:autoSpaceDN/>
        <w:bidi w:val="0"/>
        <w:adjustRightInd w:val="0"/>
        <w:snapToGrid w:val="0"/>
        <w:spacing w:line="580" w:lineRule="exact"/>
        <w:ind w:firstLine="616" w:firstLineChars="200"/>
        <w:textAlignment w:val="auto"/>
        <w:outlineLvl w:val="1"/>
        <w:rPr>
          <w:rFonts w:hint="eastAsia" w:ascii="楷体_GB2312" w:hAnsi="楷体_GB2312" w:eastAsia="楷体_GB2312" w:cs="楷体_GB2312"/>
          <w:bCs/>
          <w:spacing w:val="-6"/>
          <w:szCs w:val="32"/>
        </w:rPr>
      </w:pPr>
      <w:r>
        <w:rPr>
          <w:rFonts w:hint="eastAsia" w:ascii="楷体_GB2312" w:hAnsi="楷体_GB2312" w:eastAsia="楷体_GB2312" w:cs="楷体_GB2312"/>
          <w:bCs/>
          <w:spacing w:val="-6"/>
          <w:szCs w:val="32"/>
        </w:rPr>
        <w:t>（二）奖补方式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由市财政从本级应用技术研究与开发经费中安排专项资金，对企业先期投入的自主研发经费给予一定比例的补助，由企业自主统筹用于后续研发活动。奖补资金采取一次性拨付经费的方式，实行诚信化管理，无需签订项目合同及开展结题验收。</w:t>
      </w:r>
    </w:p>
    <w:p>
      <w:pPr>
        <w:pStyle w:val="3"/>
        <w:keepNext w:val="0"/>
        <w:keepLines w:val="0"/>
        <w:pageBreakBefore w:val="0"/>
        <w:widowControl w:val="0"/>
        <w:kinsoku/>
        <w:wordWrap/>
        <w:overflowPunct/>
        <w:topLinePunct w:val="0"/>
        <w:autoSpaceDE/>
        <w:autoSpaceDN/>
        <w:bidi w:val="0"/>
        <w:adjustRightInd w:val="0"/>
        <w:snapToGrid w:val="0"/>
        <w:spacing w:line="580" w:lineRule="exact"/>
        <w:ind w:firstLine="616" w:firstLineChars="200"/>
        <w:textAlignment w:val="auto"/>
        <w:outlineLvl w:val="1"/>
        <w:rPr>
          <w:rFonts w:hint="eastAsia" w:ascii="楷体_GB2312" w:hAnsi="楷体_GB2312" w:eastAsia="楷体_GB2312" w:cs="楷体_GB2312"/>
          <w:bCs/>
          <w:spacing w:val="-6"/>
          <w:szCs w:val="32"/>
        </w:rPr>
      </w:pPr>
      <w:r>
        <w:rPr>
          <w:rFonts w:hint="eastAsia" w:ascii="楷体_GB2312" w:hAnsi="楷体_GB2312" w:eastAsia="楷体_GB2312" w:cs="楷体_GB2312"/>
          <w:bCs/>
          <w:spacing w:val="-6"/>
          <w:szCs w:val="32"/>
        </w:rPr>
        <w:t>（三）奖补标准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本办法设置基础奖补</w:t>
      </w:r>
      <w:r>
        <w:rPr>
          <w:rFonts w:hint="default" w:ascii="Times New Roman" w:hAnsi="Times New Roman" w:eastAsia="仿宋_GB2312" w:cs="Times New Roman"/>
          <w:sz w:val="32"/>
          <w:szCs w:val="32"/>
          <w:lang w:eastAsia="zh-CN" w:bidi="ar-SA"/>
        </w:rPr>
        <w:t>、专项奖补和</w:t>
      </w:r>
      <w:r>
        <w:rPr>
          <w:rFonts w:hint="default" w:ascii="Times New Roman" w:hAnsi="Times New Roman" w:eastAsia="仿宋_GB2312" w:cs="Times New Roman"/>
          <w:sz w:val="32"/>
          <w:szCs w:val="32"/>
          <w:lang w:bidi="ar-SA"/>
        </w:rPr>
        <w:t>增量奖补</w:t>
      </w:r>
      <w:r>
        <w:rPr>
          <w:rFonts w:hint="default" w:ascii="Times New Roman" w:hAnsi="Times New Roman" w:eastAsia="仿宋_GB2312" w:cs="Times New Roman"/>
          <w:sz w:val="32"/>
          <w:szCs w:val="32"/>
          <w:lang w:eastAsia="zh-CN" w:bidi="ar-SA"/>
        </w:rPr>
        <w:t>三</w:t>
      </w:r>
      <w:r>
        <w:rPr>
          <w:rFonts w:hint="default" w:ascii="Times New Roman" w:hAnsi="Times New Roman" w:eastAsia="仿宋_GB2312" w:cs="Times New Roman"/>
          <w:sz w:val="32"/>
          <w:szCs w:val="32"/>
          <w:lang w:bidi="ar-SA"/>
        </w:rPr>
        <w:t>部分，</w:t>
      </w:r>
      <w:r>
        <w:rPr>
          <w:rFonts w:hint="default" w:ascii="Times New Roman" w:hAnsi="Times New Roman" w:eastAsia="仿宋_GB2312" w:cs="Times New Roman"/>
          <w:sz w:val="32"/>
          <w:szCs w:val="32"/>
          <w:lang w:eastAsia="zh-CN" w:bidi="ar-SA"/>
        </w:rPr>
        <w:t>可</w:t>
      </w:r>
      <w:r>
        <w:rPr>
          <w:rFonts w:hint="default" w:ascii="Times New Roman" w:hAnsi="Times New Roman" w:eastAsia="仿宋_GB2312" w:cs="Times New Roman"/>
          <w:sz w:val="32"/>
          <w:szCs w:val="32"/>
          <w:lang w:bidi="ar-SA"/>
        </w:rPr>
        <w:t>同时申请，具体标准如下：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1.基础奖补</w:t>
      </w:r>
    </w:p>
    <w:p>
      <w:pPr>
        <w:pStyle w:val="3"/>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Cs w:val="32"/>
          <w:lang w:eastAsia="zh-CN"/>
        </w:rPr>
      </w:pPr>
      <w:r>
        <w:rPr>
          <w:rFonts w:hint="default" w:ascii="Times New Roman" w:hAnsi="Times New Roman" w:eastAsia="仿宋_GB2312" w:cs="Times New Roman"/>
          <w:b w:val="0"/>
          <w:bCs w:val="0"/>
          <w:color w:val="000000"/>
          <w:szCs w:val="32"/>
          <w:lang w:eastAsia="zh-CN"/>
        </w:rPr>
        <w:t>基础奖补总额占当年财政奖补资金预算总额</w:t>
      </w:r>
      <w:r>
        <w:rPr>
          <w:rFonts w:hint="default" w:ascii="Times New Roman" w:hAnsi="Times New Roman" w:eastAsia="仿宋_GB2312" w:cs="Times New Roman"/>
          <w:b w:val="0"/>
          <w:bCs w:val="0"/>
          <w:color w:val="000000"/>
          <w:szCs w:val="32"/>
          <w:lang w:val="en-US" w:eastAsia="zh-CN"/>
        </w:rPr>
        <w:t>30%。</w:t>
      </w:r>
      <w:r>
        <w:rPr>
          <w:rFonts w:hint="default" w:ascii="Times New Roman" w:hAnsi="Times New Roman" w:eastAsia="仿宋_GB2312" w:cs="Times New Roman"/>
          <w:color w:val="000000"/>
          <w:spacing w:val="-2"/>
          <w:szCs w:val="32"/>
          <w:highlight w:val="none"/>
        </w:rPr>
        <w:t>若</w:t>
      </w:r>
      <w:r>
        <w:rPr>
          <w:rFonts w:hint="default" w:ascii="Times New Roman" w:hAnsi="Times New Roman" w:eastAsia="仿宋_GB2312" w:cs="Times New Roman"/>
          <w:color w:val="000000"/>
          <w:spacing w:val="-2"/>
          <w:szCs w:val="32"/>
          <w:highlight w:val="none"/>
          <w:lang w:eastAsia="zh-CN"/>
        </w:rPr>
        <w:t>企业申请的</w:t>
      </w:r>
      <w:r>
        <w:rPr>
          <w:rFonts w:hint="default" w:ascii="Times New Roman" w:hAnsi="Times New Roman" w:eastAsia="仿宋_GB2312" w:cs="Times New Roman"/>
          <w:color w:val="000000"/>
          <w:spacing w:val="-2"/>
          <w:szCs w:val="32"/>
          <w:highlight w:val="none"/>
        </w:rPr>
        <w:t>基础奖补总额超出当年财政奖补资金预算总额</w:t>
      </w:r>
      <w:r>
        <w:rPr>
          <w:rFonts w:hint="default" w:ascii="Times New Roman" w:hAnsi="Times New Roman" w:eastAsia="仿宋_GB2312" w:cs="Times New Roman"/>
          <w:color w:val="000000"/>
          <w:spacing w:val="-2"/>
          <w:szCs w:val="32"/>
          <w:highlight w:val="none"/>
          <w:lang w:val="en-US" w:eastAsia="zh-CN"/>
        </w:rPr>
        <w:t>30%</w:t>
      </w:r>
      <w:r>
        <w:rPr>
          <w:rFonts w:hint="default" w:ascii="Times New Roman" w:hAnsi="Times New Roman" w:eastAsia="仿宋_GB2312" w:cs="Times New Roman"/>
          <w:color w:val="000000"/>
          <w:spacing w:val="-2"/>
          <w:szCs w:val="32"/>
          <w:highlight w:val="none"/>
        </w:rPr>
        <w:t>的，按相应比例调减奖补标准。</w:t>
      </w:r>
      <w:r>
        <w:rPr>
          <w:rFonts w:hint="default" w:ascii="Times New Roman" w:hAnsi="Times New Roman" w:eastAsia="仿宋_GB2312" w:cs="Times New Roman"/>
          <w:color w:val="000000"/>
          <w:spacing w:val="-2"/>
          <w:szCs w:val="32"/>
          <w:highlight w:val="none"/>
          <w:lang w:eastAsia="zh-CN"/>
        </w:rPr>
        <w:t>基础奖补</w:t>
      </w:r>
      <w:r>
        <w:rPr>
          <w:rFonts w:hint="default" w:ascii="Times New Roman" w:hAnsi="Times New Roman" w:eastAsia="仿宋_GB2312" w:cs="Times New Roman"/>
          <w:b w:val="0"/>
          <w:bCs w:val="0"/>
          <w:color w:val="000000"/>
          <w:szCs w:val="32"/>
        </w:rPr>
        <w:t>按企业上一年度自主研发经费支出额分段核算、累计奖补。企业上一</w:t>
      </w:r>
      <w:r>
        <w:rPr>
          <w:rFonts w:hint="default" w:ascii="Times New Roman" w:hAnsi="Times New Roman" w:eastAsia="仿宋_GB2312" w:cs="Times New Roman"/>
          <w:color w:val="000000"/>
          <w:szCs w:val="32"/>
        </w:rPr>
        <w:t>年度自主研发经费支出</w:t>
      </w:r>
      <w:r>
        <w:rPr>
          <w:rFonts w:hint="default" w:ascii="Times New Roman" w:hAnsi="Times New Roman" w:eastAsia="仿宋_GB2312" w:cs="Times New Roman"/>
          <w:color w:val="000000"/>
          <w:szCs w:val="32"/>
          <w:lang w:eastAsia="zh-CN"/>
        </w:rPr>
        <w:t>总</w:t>
      </w:r>
      <w:r>
        <w:rPr>
          <w:rFonts w:hint="default" w:ascii="Times New Roman" w:hAnsi="Times New Roman" w:eastAsia="仿宋_GB2312" w:cs="Times New Roman"/>
          <w:color w:val="000000"/>
          <w:szCs w:val="32"/>
        </w:rPr>
        <w:t>额超过100万元、不足</w:t>
      </w:r>
      <w:r>
        <w:rPr>
          <w:rFonts w:hint="default" w:ascii="Times New Roman" w:hAnsi="Times New Roman" w:eastAsia="仿宋_GB2312" w:cs="Times New Roman"/>
          <w:color w:val="000000"/>
          <w:szCs w:val="32"/>
          <w:lang w:val="en-US" w:eastAsia="zh-CN"/>
        </w:rPr>
        <w:t>1</w:t>
      </w:r>
      <w:r>
        <w:rPr>
          <w:rFonts w:hint="default" w:ascii="Times New Roman" w:hAnsi="Times New Roman" w:eastAsia="仿宋_GB2312" w:cs="Times New Roman"/>
          <w:color w:val="000000"/>
          <w:szCs w:val="32"/>
        </w:rPr>
        <w:t>000万元（含）的，按</w:t>
      </w:r>
      <w:r>
        <w:rPr>
          <w:rFonts w:hint="default" w:ascii="Times New Roman" w:hAnsi="Times New Roman" w:eastAsia="仿宋_GB2312" w:cs="Times New Roman"/>
          <w:color w:val="000000"/>
          <w:szCs w:val="32"/>
          <w:lang w:eastAsia="zh-CN"/>
        </w:rPr>
        <w:t>支出总额的</w:t>
      </w:r>
      <w:r>
        <w:rPr>
          <w:rFonts w:hint="default" w:ascii="Times New Roman" w:hAnsi="Times New Roman" w:eastAsia="仿宋_GB2312" w:cs="Times New Roman"/>
          <w:color w:val="000000"/>
          <w:szCs w:val="32"/>
        </w:rPr>
        <w:t>3%核算；</w:t>
      </w:r>
      <w:r>
        <w:rPr>
          <w:rFonts w:hint="default" w:ascii="Times New Roman" w:hAnsi="Times New Roman" w:eastAsia="仿宋_GB2312" w:cs="Times New Roman"/>
          <w:b w:val="0"/>
          <w:bCs w:val="0"/>
          <w:color w:val="000000"/>
          <w:szCs w:val="32"/>
        </w:rPr>
        <w:t>企业上一</w:t>
      </w:r>
      <w:r>
        <w:rPr>
          <w:rFonts w:hint="default" w:ascii="Times New Roman" w:hAnsi="Times New Roman" w:eastAsia="仿宋_GB2312" w:cs="Times New Roman"/>
          <w:color w:val="000000"/>
          <w:szCs w:val="32"/>
        </w:rPr>
        <w:t>年度自主研发经费支出额超过</w:t>
      </w:r>
      <w:r>
        <w:rPr>
          <w:rFonts w:hint="default" w:ascii="Times New Roman" w:hAnsi="Times New Roman" w:eastAsia="仿宋_GB2312" w:cs="Times New Roman"/>
          <w:color w:val="000000"/>
          <w:szCs w:val="32"/>
          <w:lang w:val="en-US" w:eastAsia="zh-CN"/>
        </w:rPr>
        <w:t>1</w:t>
      </w:r>
      <w:r>
        <w:rPr>
          <w:rFonts w:hint="default" w:ascii="Times New Roman" w:hAnsi="Times New Roman" w:eastAsia="仿宋_GB2312" w:cs="Times New Roman"/>
          <w:color w:val="000000"/>
          <w:szCs w:val="32"/>
        </w:rPr>
        <w:t>000万元（含）的，按</w:t>
      </w:r>
      <w:r>
        <w:rPr>
          <w:rFonts w:hint="default" w:ascii="Times New Roman" w:hAnsi="Times New Roman" w:eastAsia="仿宋_GB2312" w:cs="Times New Roman"/>
          <w:color w:val="000000"/>
          <w:szCs w:val="32"/>
          <w:lang w:eastAsia="zh-CN"/>
        </w:rPr>
        <w:t>支出总额的</w:t>
      </w:r>
      <w:r>
        <w:rPr>
          <w:rFonts w:hint="default" w:ascii="Times New Roman" w:hAnsi="Times New Roman" w:eastAsia="仿宋_GB2312" w:cs="Times New Roman"/>
          <w:color w:val="000000"/>
          <w:szCs w:val="32"/>
          <w:lang w:val="en-US" w:eastAsia="zh-CN"/>
        </w:rPr>
        <w:t>4</w:t>
      </w:r>
      <w:r>
        <w:rPr>
          <w:rFonts w:hint="default" w:ascii="Times New Roman" w:hAnsi="Times New Roman" w:eastAsia="仿宋_GB2312" w:cs="Times New Roman"/>
          <w:color w:val="000000"/>
          <w:szCs w:val="32"/>
        </w:rPr>
        <w:t>%核算</w:t>
      </w:r>
      <w:r>
        <w:rPr>
          <w:rFonts w:hint="default" w:ascii="Times New Roman" w:hAnsi="Times New Roman" w:eastAsia="仿宋_GB2312" w:cs="Times New Roman"/>
          <w:color w:val="000000"/>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line="580" w:lineRule="exact"/>
        <w:ind w:firstLine="645"/>
        <w:textAlignment w:val="auto"/>
        <w:rPr>
          <w:rFonts w:hint="default" w:ascii="Times New Roman" w:hAnsi="Times New Roman" w:eastAsia="仿宋_GB2312" w:cs="Times New Roman"/>
          <w:color w:val="000000"/>
          <w:spacing w:val="-2"/>
          <w:szCs w:val="32"/>
          <w:highlight w:val="yellow"/>
        </w:rPr>
      </w:pPr>
      <w:r>
        <w:rPr>
          <w:rFonts w:hint="default" w:ascii="Times New Roman" w:hAnsi="Times New Roman" w:eastAsia="仿宋_GB2312" w:cs="Times New Roman"/>
          <w:color w:val="000000"/>
          <w:spacing w:val="-2"/>
          <w:szCs w:val="32"/>
        </w:rPr>
        <w:t>年度内单个企业基础奖补金额不超过</w:t>
      </w:r>
      <w:r>
        <w:rPr>
          <w:rFonts w:hint="default" w:ascii="Times New Roman" w:hAnsi="Times New Roman" w:eastAsia="仿宋_GB2312" w:cs="Times New Roman"/>
          <w:color w:val="000000"/>
          <w:spacing w:val="-2"/>
          <w:szCs w:val="32"/>
          <w:lang w:val="en-US" w:eastAsia="zh-CN"/>
        </w:rPr>
        <w:t>2</w:t>
      </w:r>
      <w:r>
        <w:rPr>
          <w:rFonts w:hint="default" w:ascii="Times New Roman" w:hAnsi="Times New Roman" w:eastAsia="仿宋_GB2312" w:cs="Times New Roman"/>
          <w:color w:val="000000"/>
          <w:spacing w:val="-2"/>
          <w:szCs w:val="32"/>
        </w:rPr>
        <w:t>00万元。</w:t>
      </w:r>
      <w:r>
        <w:rPr>
          <w:rFonts w:hint="default" w:ascii="Times New Roman" w:hAnsi="Times New Roman" w:eastAsia="仿宋_GB2312" w:cs="Times New Roman"/>
          <w:color w:val="000000"/>
          <w:spacing w:val="-2"/>
          <w:szCs w:val="32"/>
          <w:lang w:eastAsia="zh-CN"/>
        </w:rPr>
        <w:t>若企业</w:t>
      </w:r>
      <w:r>
        <w:rPr>
          <w:rFonts w:hint="default" w:ascii="Times New Roman" w:hAnsi="Times New Roman" w:eastAsia="仿宋_GB2312" w:cs="Times New Roman"/>
          <w:b w:val="0"/>
          <w:bCs w:val="0"/>
          <w:color w:val="000000"/>
          <w:szCs w:val="32"/>
        </w:rPr>
        <w:t>上一年度自主研发经费支出额</w:t>
      </w:r>
      <w:r>
        <w:rPr>
          <w:rFonts w:hint="default" w:ascii="Times New Roman" w:hAnsi="Times New Roman" w:eastAsia="仿宋_GB2312" w:cs="Times New Roman"/>
          <w:b w:val="0"/>
          <w:bCs w:val="0"/>
          <w:color w:val="000000"/>
          <w:szCs w:val="32"/>
          <w:lang w:eastAsia="zh-CN"/>
        </w:rPr>
        <w:t>超过</w:t>
      </w:r>
      <w:r>
        <w:rPr>
          <w:rFonts w:hint="default" w:ascii="Times New Roman" w:hAnsi="Times New Roman" w:eastAsia="仿宋_GB2312" w:cs="Times New Roman"/>
          <w:b w:val="0"/>
          <w:bCs w:val="0"/>
          <w:color w:val="000000"/>
          <w:szCs w:val="32"/>
          <w:lang w:val="en-US" w:eastAsia="zh-CN"/>
        </w:rPr>
        <w:t>20亿元(含)，一次性给予100万元的奖补，不受200万元的限制。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2.</w:t>
      </w:r>
      <w:r>
        <w:rPr>
          <w:rFonts w:hint="default" w:ascii="Times New Roman" w:hAnsi="Times New Roman" w:eastAsia="仿宋_GB2312" w:cs="Times New Roman"/>
          <w:sz w:val="32"/>
          <w:szCs w:val="32"/>
          <w:lang w:eastAsia="zh-CN" w:bidi="ar-SA"/>
        </w:rPr>
        <w:t>专项</w:t>
      </w:r>
      <w:r>
        <w:rPr>
          <w:rFonts w:hint="default" w:ascii="Times New Roman" w:hAnsi="Times New Roman" w:eastAsia="仿宋_GB2312" w:cs="Times New Roman"/>
          <w:sz w:val="32"/>
          <w:szCs w:val="32"/>
          <w:lang w:bidi="ar-SA"/>
        </w:rPr>
        <w:t>奖补</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92"/>
        <w:textAlignment w:val="auto"/>
        <w:rPr>
          <w:rFonts w:hint="default" w:ascii="Times New Roman" w:hAnsi="Times New Roman" w:eastAsia="仿宋_GB2312" w:cs="Times New Roman"/>
          <w:color w:val="000000"/>
          <w:szCs w:val="32"/>
          <w:lang w:val="en-US" w:eastAsia="zh-CN"/>
        </w:rPr>
      </w:pPr>
      <w:r>
        <w:rPr>
          <w:rFonts w:hint="default" w:ascii="Times New Roman" w:hAnsi="Times New Roman" w:eastAsia="仿宋_GB2312" w:cs="Times New Roman"/>
          <w:color w:val="000000"/>
          <w:szCs w:val="32"/>
          <w:lang w:eastAsia="zh-CN"/>
        </w:rPr>
        <w:t>专项奖补总额占当年财政奖补资金预算总额</w:t>
      </w:r>
      <w:r>
        <w:rPr>
          <w:rFonts w:hint="default" w:ascii="Times New Roman" w:hAnsi="Times New Roman" w:eastAsia="仿宋_GB2312" w:cs="Times New Roman"/>
          <w:color w:val="000000"/>
          <w:szCs w:val="32"/>
          <w:lang w:val="en-US" w:eastAsia="zh-CN"/>
        </w:rPr>
        <w:t>30%。</w:t>
      </w:r>
      <w:r>
        <w:rPr>
          <w:rFonts w:hint="default" w:ascii="Times New Roman" w:hAnsi="Times New Roman" w:eastAsia="仿宋_GB2312" w:cs="Times New Roman"/>
          <w:b w:val="0"/>
          <w:bCs w:val="0"/>
          <w:color w:val="000000"/>
          <w:spacing w:val="-2"/>
          <w:szCs w:val="32"/>
          <w:highlight w:val="none"/>
        </w:rPr>
        <w:t>若</w:t>
      </w:r>
      <w:r>
        <w:rPr>
          <w:rFonts w:hint="default" w:ascii="Times New Roman" w:hAnsi="Times New Roman" w:eastAsia="仿宋_GB2312" w:cs="Times New Roman"/>
          <w:b w:val="0"/>
          <w:bCs w:val="0"/>
          <w:color w:val="000000"/>
          <w:spacing w:val="-2"/>
          <w:szCs w:val="32"/>
          <w:highlight w:val="none"/>
          <w:lang w:eastAsia="zh-CN"/>
        </w:rPr>
        <w:t>企业申请的专项</w:t>
      </w:r>
      <w:r>
        <w:rPr>
          <w:rFonts w:hint="default" w:ascii="Times New Roman" w:hAnsi="Times New Roman" w:eastAsia="仿宋_GB2312" w:cs="Times New Roman"/>
          <w:b w:val="0"/>
          <w:bCs w:val="0"/>
          <w:color w:val="000000"/>
          <w:spacing w:val="-2"/>
          <w:szCs w:val="32"/>
          <w:highlight w:val="none"/>
        </w:rPr>
        <w:t>奖补总额超出当年财政奖补资金预算总</w:t>
      </w:r>
      <w:r>
        <w:rPr>
          <w:rFonts w:hint="default" w:ascii="Times New Roman" w:hAnsi="Times New Roman" w:eastAsia="仿宋_GB2312" w:cs="Times New Roman"/>
          <w:color w:val="000000"/>
          <w:spacing w:val="-2"/>
          <w:szCs w:val="32"/>
          <w:highlight w:val="none"/>
        </w:rPr>
        <w:t>额</w:t>
      </w:r>
      <w:r>
        <w:rPr>
          <w:rFonts w:hint="default" w:ascii="Times New Roman" w:hAnsi="Times New Roman" w:eastAsia="仿宋_GB2312" w:cs="Times New Roman"/>
          <w:color w:val="000000"/>
          <w:spacing w:val="-2"/>
          <w:szCs w:val="32"/>
          <w:highlight w:val="none"/>
          <w:lang w:val="en-US" w:eastAsia="zh-CN"/>
        </w:rPr>
        <w:t>30%</w:t>
      </w:r>
      <w:r>
        <w:rPr>
          <w:rFonts w:hint="default" w:ascii="Times New Roman" w:hAnsi="Times New Roman" w:eastAsia="仿宋_GB2312" w:cs="Times New Roman"/>
          <w:color w:val="000000"/>
          <w:spacing w:val="-2"/>
          <w:szCs w:val="32"/>
          <w:highlight w:val="none"/>
        </w:rPr>
        <w:t>的，按相应比例调减奖补标准。</w:t>
      </w:r>
      <w:r>
        <w:rPr>
          <w:rFonts w:hint="default" w:ascii="Times New Roman" w:hAnsi="Times New Roman" w:eastAsia="仿宋_GB2312" w:cs="Times New Roman"/>
          <w:color w:val="000000"/>
          <w:szCs w:val="32"/>
          <w:lang w:val="en-US" w:eastAsia="zh-CN"/>
        </w:rPr>
        <w:t>专项奖补分为高新技术企业认定</w:t>
      </w:r>
      <w:r>
        <w:rPr>
          <w:rFonts w:hint="default" w:ascii="Times New Roman" w:hAnsi="Times New Roman" w:eastAsia="仿宋_GB2312" w:cs="Times New Roman"/>
          <w:color w:val="000000"/>
          <w:szCs w:val="32"/>
          <w:lang w:eastAsia="zh-CN"/>
        </w:rPr>
        <w:t>专项</w:t>
      </w:r>
      <w:r>
        <w:rPr>
          <w:rFonts w:hint="default" w:ascii="Times New Roman" w:hAnsi="Times New Roman" w:eastAsia="仿宋_GB2312" w:cs="Times New Roman"/>
          <w:color w:val="000000"/>
          <w:szCs w:val="32"/>
          <w:lang w:val="en-US" w:eastAsia="zh-CN"/>
        </w:rPr>
        <w:t>奖补、瞪羚企业认定</w:t>
      </w:r>
      <w:r>
        <w:rPr>
          <w:rFonts w:hint="default" w:ascii="Times New Roman" w:hAnsi="Times New Roman" w:eastAsia="仿宋_GB2312" w:cs="Times New Roman"/>
          <w:color w:val="000000"/>
          <w:szCs w:val="32"/>
          <w:lang w:eastAsia="zh-CN"/>
        </w:rPr>
        <w:t>专项</w:t>
      </w:r>
      <w:r>
        <w:rPr>
          <w:rFonts w:hint="default" w:ascii="Times New Roman" w:hAnsi="Times New Roman" w:eastAsia="仿宋_GB2312" w:cs="Times New Roman"/>
          <w:color w:val="000000"/>
          <w:szCs w:val="32"/>
          <w:lang w:val="en-US" w:eastAsia="zh-CN"/>
        </w:rPr>
        <w:t>奖补、独角兽企业认定</w:t>
      </w:r>
      <w:r>
        <w:rPr>
          <w:rFonts w:hint="default" w:ascii="Times New Roman" w:hAnsi="Times New Roman" w:eastAsia="仿宋_GB2312" w:cs="Times New Roman"/>
          <w:color w:val="000000"/>
          <w:szCs w:val="32"/>
          <w:lang w:eastAsia="zh-CN"/>
        </w:rPr>
        <w:t>专项</w:t>
      </w:r>
      <w:r>
        <w:rPr>
          <w:rFonts w:hint="default" w:ascii="Times New Roman" w:hAnsi="Times New Roman" w:eastAsia="仿宋_GB2312" w:cs="Times New Roman"/>
          <w:color w:val="000000"/>
          <w:szCs w:val="32"/>
          <w:lang w:val="en-US" w:eastAsia="zh-CN"/>
        </w:rPr>
        <w:t>奖补。</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92"/>
        <w:textAlignment w:val="auto"/>
        <w:rPr>
          <w:rFonts w:hint="default" w:ascii="Times New Roman" w:hAnsi="Times New Roman" w:eastAsia="仿宋_GB2312" w:cs="Times New Roman"/>
          <w:b w:val="0"/>
          <w:bCs w:val="0"/>
          <w:color w:val="000000"/>
          <w:szCs w:val="32"/>
          <w:highlight w:val="none"/>
          <w:lang w:val="en-US" w:eastAsia="zh-CN"/>
        </w:rPr>
      </w:pPr>
      <w:r>
        <w:rPr>
          <w:rFonts w:hint="default" w:ascii="Times New Roman" w:hAnsi="Times New Roman" w:eastAsia="仿宋_GB2312" w:cs="Times New Roman"/>
          <w:color w:val="000000"/>
          <w:szCs w:val="32"/>
          <w:lang w:val="en-US" w:eastAsia="zh-CN"/>
        </w:rPr>
        <w:t>高新技术企业认定</w:t>
      </w:r>
      <w:r>
        <w:rPr>
          <w:rFonts w:hint="default" w:ascii="Times New Roman" w:hAnsi="Times New Roman" w:eastAsia="仿宋_GB2312" w:cs="Times New Roman"/>
          <w:color w:val="000000"/>
          <w:szCs w:val="32"/>
          <w:lang w:eastAsia="zh-CN"/>
        </w:rPr>
        <w:t>专项</w:t>
      </w:r>
      <w:r>
        <w:rPr>
          <w:rFonts w:hint="default" w:ascii="Times New Roman" w:hAnsi="Times New Roman" w:eastAsia="仿宋_GB2312" w:cs="Times New Roman"/>
          <w:color w:val="000000"/>
          <w:szCs w:val="32"/>
          <w:lang w:val="en-US" w:eastAsia="zh-CN"/>
        </w:rPr>
        <w:t>奖补。首次获得国家高新技术企业认定的企业，按</w:t>
      </w:r>
      <w:r>
        <w:rPr>
          <w:rFonts w:hint="default" w:ascii="Times New Roman" w:hAnsi="Times New Roman" w:eastAsia="仿宋_GB2312" w:cs="Times New Roman"/>
          <w:color w:val="000000"/>
          <w:szCs w:val="32"/>
        </w:rPr>
        <w:t>上一年度自主研发经费</w:t>
      </w:r>
      <w:r>
        <w:rPr>
          <w:rFonts w:hint="default" w:ascii="Times New Roman" w:hAnsi="Times New Roman" w:eastAsia="仿宋_GB2312" w:cs="Times New Roman"/>
          <w:b w:val="0"/>
          <w:bCs w:val="0"/>
          <w:color w:val="000000"/>
          <w:szCs w:val="32"/>
        </w:rPr>
        <w:t>支出额</w:t>
      </w:r>
      <w:r>
        <w:rPr>
          <w:rFonts w:hint="default" w:ascii="Times New Roman" w:hAnsi="Times New Roman" w:eastAsia="仿宋_GB2312" w:cs="Times New Roman"/>
          <w:b w:val="0"/>
          <w:bCs w:val="0"/>
          <w:color w:val="000000"/>
          <w:szCs w:val="32"/>
          <w:highlight w:val="none"/>
          <w:lang w:val="en-US" w:eastAsia="zh-CN"/>
        </w:rPr>
        <w:t>4</w:t>
      </w:r>
      <w:r>
        <w:rPr>
          <w:rFonts w:hint="default" w:ascii="Times New Roman" w:hAnsi="Times New Roman" w:eastAsia="仿宋_GB2312" w:cs="Times New Roman"/>
          <w:b w:val="0"/>
          <w:bCs w:val="0"/>
          <w:color w:val="000000"/>
          <w:szCs w:val="32"/>
          <w:highlight w:val="none"/>
        </w:rPr>
        <w:t>%</w:t>
      </w:r>
      <w:r>
        <w:rPr>
          <w:rFonts w:hint="default" w:ascii="Times New Roman" w:hAnsi="Times New Roman" w:eastAsia="仿宋_GB2312" w:cs="Times New Roman"/>
          <w:b w:val="0"/>
          <w:bCs w:val="0"/>
          <w:color w:val="000000"/>
          <w:szCs w:val="32"/>
        </w:rPr>
        <w:t>核算</w:t>
      </w:r>
      <w:r>
        <w:rPr>
          <w:rFonts w:hint="default" w:ascii="Times New Roman" w:hAnsi="Times New Roman" w:eastAsia="仿宋_GB2312" w:cs="Times New Roman"/>
          <w:b w:val="0"/>
          <w:bCs w:val="0"/>
          <w:color w:val="000000"/>
          <w:szCs w:val="32"/>
          <w:lang w:eastAsia="zh-CN"/>
        </w:rPr>
        <w:t>，且奖补金额不超过</w:t>
      </w:r>
      <w:r>
        <w:rPr>
          <w:rFonts w:hint="default" w:ascii="Times New Roman" w:hAnsi="Times New Roman" w:eastAsia="仿宋_GB2312" w:cs="Times New Roman"/>
          <w:b w:val="0"/>
          <w:bCs w:val="0"/>
          <w:color w:val="000000"/>
          <w:szCs w:val="32"/>
          <w:highlight w:val="none"/>
          <w:lang w:val="en-US" w:eastAsia="zh-CN"/>
        </w:rPr>
        <w:t>10</w:t>
      </w:r>
      <w:r>
        <w:rPr>
          <w:rFonts w:hint="default" w:ascii="Times New Roman" w:hAnsi="Times New Roman" w:eastAsia="仿宋_GB2312" w:cs="Times New Roman"/>
          <w:b w:val="0"/>
          <w:bCs w:val="0"/>
          <w:color w:val="000000"/>
          <w:szCs w:val="32"/>
          <w:lang w:val="en-US" w:eastAsia="zh-CN"/>
        </w:rPr>
        <w:t>万元；再认定获得国家高新技术企业，按</w:t>
      </w:r>
      <w:r>
        <w:rPr>
          <w:rFonts w:hint="default" w:ascii="Times New Roman" w:hAnsi="Times New Roman" w:eastAsia="仿宋_GB2312" w:cs="Times New Roman"/>
          <w:b w:val="0"/>
          <w:bCs w:val="0"/>
          <w:color w:val="000000"/>
          <w:szCs w:val="32"/>
        </w:rPr>
        <w:t>上一年度自主研发经费支出额</w:t>
      </w:r>
      <w:r>
        <w:rPr>
          <w:rFonts w:hint="default" w:ascii="Times New Roman" w:hAnsi="Times New Roman" w:eastAsia="仿宋_GB2312" w:cs="Times New Roman"/>
          <w:b w:val="0"/>
          <w:bCs w:val="0"/>
          <w:color w:val="000000"/>
          <w:szCs w:val="32"/>
          <w:highlight w:val="none"/>
          <w:lang w:val="en-US" w:eastAsia="zh-CN"/>
        </w:rPr>
        <w:t>5</w:t>
      </w:r>
      <w:r>
        <w:rPr>
          <w:rFonts w:hint="default" w:ascii="Times New Roman" w:hAnsi="Times New Roman" w:eastAsia="仿宋_GB2312" w:cs="Times New Roman"/>
          <w:b w:val="0"/>
          <w:bCs w:val="0"/>
          <w:color w:val="000000"/>
          <w:szCs w:val="32"/>
          <w:highlight w:val="none"/>
        </w:rPr>
        <w:t>%</w:t>
      </w:r>
      <w:r>
        <w:rPr>
          <w:rFonts w:hint="default" w:ascii="Times New Roman" w:hAnsi="Times New Roman" w:eastAsia="仿宋_GB2312" w:cs="Times New Roman"/>
          <w:b w:val="0"/>
          <w:bCs w:val="0"/>
          <w:color w:val="000000"/>
          <w:szCs w:val="32"/>
        </w:rPr>
        <w:t>核算</w:t>
      </w:r>
      <w:r>
        <w:rPr>
          <w:rFonts w:hint="default" w:ascii="Times New Roman" w:hAnsi="Times New Roman" w:eastAsia="仿宋_GB2312" w:cs="Times New Roman"/>
          <w:b w:val="0"/>
          <w:bCs w:val="0"/>
          <w:color w:val="000000"/>
          <w:szCs w:val="32"/>
          <w:lang w:eastAsia="zh-CN"/>
        </w:rPr>
        <w:t>，且奖补金额不超过</w:t>
      </w:r>
      <w:r>
        <w:rPr>
          <w:rFonts w:hint="default" w:ascii="Times New Roman" w:hAnsi="Times New Roman" w:eastAsia="仿宋_GB2312" w:cs="Times New Roman"/>
          <w:b w:val="0"/>
          <w:bCs w:val="0"/>
          <w:color w:val="000000"/>
          <w:szCs w:val="32"/>
          <w:highlight w:val="none"/>
          <w:lang w:val="en-US" w:eastAsia="zh-CN"/>
        </w:rPr>
        <w:t>15</w:t>
      </w:r>
      <w:r>
        <w:rPr>
          <w:rFonts w:hint="default" w:ascii="Times New Roman" w:hAnsi="Times New Roman" w:eastAsia="仿宋_GB2312" w:cs="Times New Roman"/>
          <w:b w:val="0"/>
          <w:bCs w:val="0"/>
          <w:color w:val="000000"/>
          <w:szCs w:val="32"/>
          <w:lang w:val="en-US" w:eastAsia="zh-CN"/>
        </w:rPr>
        <w:t>万元；首次实现</w:t>
      </w:r>
      <w:r>
        <w:rPr>
          <w:rFonts w:hint="eastAsia" w:ascii="Times New Roman" w:hAnsi="Times New Roman" w:cs="Times New Roman"/>
          <w:b w:val="0"/>
          <w:bCs w:val="0"/>
          <w:color w:val="000000"/>
          <w:szCs w:val="32"/>
          <w:lang w:val="en-US" w:eastAsia="zh-CN"/>
        </w:rPr>
        <w:t>“</w:t>
      </w:r>
      <w:r>
        <w:rPr>
          <w:rFonts w:hint="default" w:ascii="Times New Roman" w:hAnsi="Times New Roman" w:eastAsia="仿宋_GB2312" w:cs="Times New Roman"/>
          <w:b w:val="0"/>
          <w:bCs w:val="0"/>
          <w:color w:val="000000"/>
          <w:szCs w:val="32"/>
          <w:lang w:val="en-US" w:eastAsia="zh-CN"/>
        </w:rPr>
        <w:t>双升</w:t>
      </w:r>
      <w:r>
        <w:rPr>
          <w:rFonts w:hint="eastAsia" w:ascii="Times New Roman" w:hAnsi="Times New Roman" w:cs="Times New Roman"/>
          <w:b w:val="0"/>
          <w:bCs w:val="0"/>
          <w:color w:val="000000"/>
          <w:szCs w:val="32"/>
          <w:lang w:val="en-US" w:eastAsia="zh-CN"/>
        </w:rPr>
        <w:t>”</w:t>
      </w:r>
      <w:r>
        <w:rPr>
          <w:rFonts w:hint="default" w:ascii="Times New Roman" w:hAnsi="Times New Roman" w:eastAsia="仿宋_GB2312" w:cs="Times New Roman"/>
          <w:b w:val="0"/>
          <w:bCs w:val="0"/>
          <w:color w:val="000000"/>
          <w:szCs w:val="32"/>
          <w:lang w:val="en-US" w:eastAsia="zh-CN"/>
        </w:rPr>
        <w:t>的企业（即高新技术企业升级为规上企业或规上企业升级</w:t>
      </w:r>
      <w:r>
        <w:rPr>
          <w:rFonts w:hint="default" w:ascii="Times New Roman" w:hAnsi="Times New Roman" w:eastAsia="仿宋_GB2312" w:cs="Times New Roman"/>
          <w:b w:val="0"/>
          <w:bCs w:val="0"/>
          <w:color w:val="000000"/>
          <w:szCs w:val="32"/>
          <w:highlight w:val="none"/>
          <w:lang w:val="en-US" w:eastAsia="zh-CN"/>
        </w:rPr>
        <w:t>为</w:t>
      </w:r>
      <w:r>
        <w:rPr>
          <w:rFonts w:hint="default" w:ascii="Times New Roman" w:hAnsi="Times New Roman" w:eastAsia="仿宋_GB2312" w:cs="Times New Roman"/>
          <w:b w:val="0"/>
          <w:bCs w:val="0"/>
          <w:color w:val="000000"/>
          <w:szCs w:val="32"/>
          <w:lang w:val="en-US" w:eastAsia="zh-CN"/>
        </w:rPr>
        <w:t>高新技术企业）</w:t>
      </w:r>
      <w:r>
        <w:rPr>
          <w:rFonts w:hint="default" w:ascii="Times New Roman" w:hAnsi="Times New Roman" w:eastAsia="仿宋_GB2312" w:cs="Times New Roman"/>
          <w:b w:val="0"/>
          <w:bCs w:val="0"/>
          <w:color w:val="000000"/>
          <w:szCs w:val="32"/>
          <w:highlight w:val="none"/>
          <w:lang w:val="en-US" w:eastAsia="zh-CN"/>
        </w:rPr>
        <w:t>，增加1%核算</w:t>
      </w:r>
      <w:r>
        <w:rPr>
          <w:rFonts w:hint="default" w:ascii="Times New Roman" w:hAnsi="Times New Roman" w:eastAsia="仿宋_GB2312" w:cs="Times New Roman"/>
          <w:b w:val="0"/>
          <w:bCs w:val="0"/>
          <w:color w:val="000000"/>
          <w:szCs w:val="32"/>
          <w:highlight w:val="none"/>
          <w:lang w:eastAsia="zh-CN"/>
        </w:rPr>
        <w:t>额度</w:t>
      </w:r>
      <w:r>
        <w:rPr>
          <w:rFonts w:hint="default" w:ascii="Times New Roman" w:hAnsi="Times New Roman" w:eastAsia="仿宋_GB2312" w:cs="Times New Roman"/>
          <w:b w:val="0"/>
          <w:bCs w:val="0"/>
          <w:color w:val="000000"/>
          <w:szCs w:val="32"/>
          <w:highlight w:val="none"/>
          <w:lang w:val="en-US" w:eastAsia="zh-CN"/>
        </w:rPr>
        <w:t>，且增加</w:t>
      </w:r>
      <w:r>
        <w:rPr>
          <w:rFonts w:hint="default" w:ascii="Times New Roman" w:hAnsi="Times New Roman" w:eastAsia="仿宋_GB2312" w:cs="Times New Roman"/>
          <w:b w:val="0"/>
          <w:bCs w:val="0"/>
          <w:color w:val="000000"/>
          <w:szCs w:val="32"/>
          <w:highlight w:val="none"/>
          <w:lang w:eastAsia="zh-CN"/>
        </w:rPr>
        <w:t>额度</w:t>
      </w:r>
      <w:r>
        <w:rPr>
          <w:rFonts w:hint="default" w:ascii="Times New Roman" w:hAnsi="Times New Roman" w:eastAsia="仿宋_GB2312" w:cs="Times New Roman"/>
          <w:b w:val="0"/>
          <w:bCs w:val="0"/>
          <w:color w:val="000000"/>
          <w:szCs w:val="32"/>
          <w:highlight w:val="none"/>
          <w:lang w:val="en-US" w:eastAsia="zh-CN"/>
        </w:rPr>
        <w:t>不超过5万元。</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92"/>
        <w:textAlignment w:val="auto"/>
        <w:rPr>
          <w:rFonts w:hint="default" w:ascii="Times New Roman" w:hAnsi="Times New Roman" w:eastAsia="仿宋_GB2312" w:cs="Times New Roman"/>
          <w:b w:val="0"/>
          <w:bCs w:val="0"/>
          <w:color w:val="000000"/>
          <w:spacing w:val="-6"/>
          <w:sz w:val="32"/>
          <w:szCs w:val="32"/>
          <w:lang w:val="en-US" w:eastAsia="zh-CN"/>
        </w:rPr>
      </w:pPr>
      <w:r>
        <w:rPr>
          <w:rFonts w:hint="default" w:ascii="Times New Roman" w:hAnsi="Times New Roman" w:eastAsia="仿宋_GB2312" w:cs="Times New Roman"/>
          <w:color w:val="000000"/>
          <w:szCs w:val="32"/>
          <w:lang w:val="en-US" w:eastAsia="zh-CN"/>
        </w:rPr>
        <w:t>瞪羚企业认定</w:t>
      </w:r>
      <w:r>
        <w:rPr>
          <w:rFonts w:hint="default" w:ascii="Times New Roman" w:hAnsi="Times New Roman" w:eastAsia="仿宋_GB2312" w:cs="Times New Roman"/>
          <w:color w:val="000000"/>
          <w:szCs w:val="32"/>
          <w:lang w:eastAsia="zh-CN"/>
        </w:rPr>
        <w:t>专项</w:t>
      </w:r>
      <w:r>
        <w:rPr>
          <w:rFonts w:hint="default" w:ascii="Times New Roman" w:hAnsi="Times New Roman" w:eastAsia="仿宋_GB2312" w:cs="Times New Roman"/>
          <w:color w:val="000000"/>
          <w:szCs w:val="32"/>
          <w:lang w:val="en-US" w:eastAsia="zh-CN"/>
        </w:rPr>
        <w:t>奖补。获得当年度瞪羚企业认定的企业，按</w:t>
      </w:r>
      <w:r>
        <w:rPr>
          <w:rFonts w:hint="default" w:ascii="Times New Roman" w:hAnsi="Times New Roman" w:eastAsia="仿宋_GB2312" w:cs="Times New Roman"/>
          <w:color w:val="000000"/>
          <w:szCs w:val="32"/>
        </w:rPr>
        <w:t>上一</w:t>
      </w:r>
      <w:r>
        <w:rPr>
          <w:rFonts w:hint="default" w:ascii="Times New Roman" w:hAnsi="Times New Roman" w:eastAsia="仿宋_GB2312" w:cs="Times New Roman"/>
          <w:b w:val="0"/>
          <w:bCs w:val="0"/>
          <w:color w:val="000000"/>
          <w:szCs w:val="32"/>
        </w:rPr>
        <w:t>年度自主研发经费支出额</w:t>
      </w:r>
      <w:r>
        <w:rPr>
          <w:rFonts w:hint="default" w:ascii="Times New Roman" w:hAnsi="Times New Roman" w:eastAsia="仿宋_GB2312" w:cs="Times New Roman"/>
          <w:b w:val="0"/>
          <w:bCs w:val="0"/>
          <w:color w:val="000000"/>
          <w:szCs w:val="32"/>
          <w:highlight w:val="none"/>
          <w:lang w:val="en-US" w:eastAsia="zh-CN"/>
        </w:rPr>
        <w:t>10</w:t>
      </w:r>
      <w:r>
        <w:rPr>
          <w:rFonts w:hint="default" w:ascii="Times New Roman" w:hAnsi="Times New Roman" w:eastAsia="仿宋_GB2312" w:cs="Times New Roman"/>
          <w:b w:val="0"/>
          <w:bCs w:val="0"/>
          <w:color w:val="000000"/>
          <w:szCs w:val="32"/>
          <w:highlight w:val="none"/>
        </w:rPr>
        <w:t>%</w:t>
      </w:r>
      <w:r>
        <w:rPr>
          <w:rFonts w:hint="default" w:ascii="Times New Roman" w:hAnsi="Times New Roman" w:eastAsia="仿宋_GB2312" w:cs="Times New Roman"/>
          <w:b w:val="0"/>
          <w:bCs w:val="0"/>
          <w:color w:val="000000"/>
          <w:szCs w:val="32"/>
        </w:rPr>
        <w:t>核算；</w:t>
      </w:r>
      <w:r>
        <w:rPr>
          <w:rFonts w:hint="default" w:ascii="Times New Roman" w:hAnsi="Times New Roman" w:eastAsia="仿宋_GB2312" w:cs="Times New Roman"/>
          <w:b w:val="0"/>
          <w:bCs w:val="0"/>
          <w:color w:val="000000"/>
          <w:szCs w:val="32"/>
          <w:lang w:eastAsia="zh-CN"/>
        </w:rPr>
        <w:t>年度内瞪</w:t>
      </w:r>
      <w:r>
        <w:rPr>
          <w:rFonts w:hint="default" w:ascii="Times New Roman" w:hAnsi="Times New Roman" w:eastAsia="仿宋_GB2312" w:cs="Times New Roman"/>
          <w:b w:val="0"/>
          <w:bCs w:val="0"/>
          <w:color w:val="000000"/>
          <w:szCs w:val="32"/>
          <w:lang w:val="en-US" w:eastAsia="zh-CN"/>
        </w:rPr>
        <w:t>羚企业认定</w:t>
      </w:r>
      <w:r>
        <w:rPr>
          <w:rFonts w:hint="default" w:ascii="Times New Roman" w:hAnsi="Times New Roman" w:eastAsia="仿宋_GB2312" w:cs="Times New Roman"/>
          <w:b w:val="0"/>
          <w:bCs w:val="0"/>
          <w:color w:val="000000"/>
          <w:szCs w:val="32"/>
          <w:lang w:eastAsia="zh-CN"/>
        </w:rPr>
        <w:t>专</w:t>
      </w:r>
      <w:r>
        <w:rPr>
          <w:rFonts w:hint="default" w:ascii="Times New Roman" w:hAnsi="Times New Roman" w:eastAsia="仿宋_GB2312" w:cs="Times New Roman"/>
          <w:b w:val="0"/>
          <w:bCs w:val="0"/>
          <w:color w:val="000000"/>
          <w:spacing w:val="-6"/>
          <w:sz w:val="32"/>
          <w:szCs w:val="32"/>
          <w:lang w:eastAsia="zh-CN"/>
        </w:rPr>
        <w:t>项奖补金额不超过</w:t>
      </w:r>
      <w:r>
        <w:rPr>
          <w:rFonts w:hint="default" w:ascii="Times New Roman" w:hAnsi="Times New Roman" w:eastAsia="仿宋_GB2312" w:cs="Times New Roman"/>
          <w:b w:val="0"/>
          <w:bCs w:val="0"/>
          <w:color w:val="000000"/>
          <w:spacing w:val="-6"/>
          <w:sz w:val="32"/>
          <w:szCs w:val="32"/>
          <w:highlight w:val="none"/>
          <w:lang w:val="en-US" w:eastAsia="zh-CN"/>
        </w:rPr>
        <w:t>30</w:t>
      </w:r>
      <w:r>
        <w:rPr>
          <w:rFonts w:hint="default" w:ascii="Times New Roman" w:hAnsi="Times New Roman" w:eastAsia="仿宋_GB2312" w:cs="Times New Roman"/>
          <w:b w:val="0"/>
          <w:bCs w:val="0"/>
          <w:color w:val="000000"/>
          <w:spacing w:val="-6"/>
          <w:sz w:val="32"/>
          <w:szCs w:val="32"/>
          <w:lang w:val="en-US" w:eastAsia="zh-CN"/>
        </w:rPr>
        <w:t>万元，且在本办法实施期限内只给予一次奖补。</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92"/>
        <w:textAlignment w:val="auto"/>
        <w:rPr>
          <w:rFonts w:hint="default" w:ascii="Times New Roman" w:hAnsi="Times New Roman" w:eastAsia="仿宋_GB2312" w:cs="Times New Roman"/>
          <w:b w:val="0"/>
          <w:bCs w:val="0"/>
          <w:color w:val="000000"/>
          <w:szCs w:val="32"/>
          <w:highlight w:val="yellow"/>
          <w:lang w:val="en-US" w:eastAsia="zh-CN"/>
        </w:rPr>
      </w:pPr>
      <w:r>
        <w:rPr>
          <w:rFonts w:hint="default" w:ascii="Times New Roman" w:hAnsi="Times New Roman" w:eastAsia="仿宋_GB2312" w:cs="Times New Roman"/>
          <w:b w:val="0"/>
          <w:bCs w:val="0"/>
          <w:color w:val="000000"/>
          <w:szCs w:val="32"/>
          <w:lang w:val="en-US" w:eastAsia="zh-CN"/>
        </w:rPr>
        <w:t>独角兽企业专项奖补。进入当年度独角兽企业榜单的企业，按</w:t>
      </w:r>
      <w:r>
        <w:rPr>
          <w:rFonts w:hint="default" w:ascii="Times New Roman" w:hAnsi="Times New Roman" w:eastAsia="仿宋_GB2312" w:cs="Times New Roman"/>
          <w:b w:val="0"/>
          <w:bCs w:val="0"/>
          <w:color w:val="000000"/>
          <w:szCs w:val="32"/>
        </w:rPr>
        <w:t>上一年度自主研发经费支出额</w:t>
      </w:r>
      <w:r>
        <w:rPr>
          <w:rFonts w:hint="default" w:ascii="Times New Roman" w:hAnsi="Times New Roman" w:eastAsia="仿宋_GB2312" w:cs="Times New Roman"/>
          <w:b w:val="0"/>
          <w:bCs w:val="0"/>
          <w:color w:val="000000"/>
          <w:szCs w:val="32"/>
          <w:highlight w:val="none"/>
          <w:lang w:val="en-US" w:eastAsia="zh-CN"/>
        </w:rPr>
        <w:t>10</w:t>
      </w:r>
      <w:r>
        <w:rPr>
          <w:rFonts w:hint="default" w:ascii="Times New Roman" w:hAnsi="Times New Roman" w:eastAsia="仿宋_GB2312" w:cs="Times New Roman"/>
          <w:b w:val="0"/>
          <w:bCs w:val="0"/>
          <w:color w:val="000000"/>
          <w:szCs w:val="32"/>
          <w:highlight w:val="none"/>
        </w:rPr>
        <w:t>%</w:t>
      </w:r>
      <w:r>
        <w:rPr>
          <w:rFonts w:hint="default" w:ascii="Times New Roman" w:hAnsi="Times New Roman" w:eastAsia="仿宋_GB2312" w:cs="Times New Roman"/>
          <w:b w:val="0"/>
          <w:bCs w:val="0"/>
          <w:color w:val="000000"/>
          <w:szCs w:val="32"/>
        </w:rPr>
        <w:t>核算；</w:t>
      </w:r>
      <w:r>
        <w:rPr>
          <w:rFonts w:hint="default" w:ascii="Times New Roman" w:hAnsi="Times New Roman" w:eastAsia="仿宋_GB2312" w:cs="Times New Roman"/>
          <w:b w:val="0"/>
          <w:bCs w:val="0"/>
          <w:color w:val="000000"/>
          <w:szCs w:val="32"/>
          <w:lang w:eastAsia="zh-CN"/>
        </w:rPr>
        <w:t>年度内单个企业</w:t>
      </w:r>
      <w:r>
        <w:rPr>
          <w:rFonts w:hint="default" w:ascii="Times New Roman" w:hAnsi="Times New Roman" w:eastAsia="仿宋_GB2312" w:cs="Times New Roman"/>
          <w:b w:val="0"/>
          <w:bCs w:val="0"/>
          <w:color w:val="000000"/>
          <w:szCs w:val="32"/>
          <w:lang w:val="en-US" w:eastAsia="zh-CN"/>
        </w:rPr>
        <w:t>独角兽企业</w:t>
      </w:r>
      <w:r>
        <w:rPr>
          <w:rFonts w:hint="default" w:ascii="Times New Roman" w:hAnsi="Times New Roman" w:eastAsia="仿宋_GB2312" w:cs="Times New Roman"/>
          <w:b w:val="0"/>
          <w:bCs w:val="0"/>
          <w:color w:val="000000"/>
          <w:szCs w:val="32"/>
          <w:lang w:eastAsia="zh-CN"/>
        </w:rPr>
        <w:t>专项奖补金额不超过</w:t>
      </w:r>
      <w:r>
        <w:rPr>
          <w:rFonts w:hint="default" w:ascii="Times New Roman" w:hAnsi="Times New Roman" w:eastAsia="仿宋_GB2312" w:cs="Times New Roman"/>
          <w:b w:val="0"/>
          <w:bCs w:val="0"/>
          <w:color w:val="000000"/>
          <w:szCs w:val="32"/>
          <w:highlight w:val="none"/>
          <w:lang w:val="en-US" w:eastAsia="zh-CN"/>
        </w:rPr>
        <w:t>1000</w:t>
      </w:r>
      <w:r>
        <w:rPr>
          <w:rFonts w:hint="default" w:ascii="Times New Roman" w:hAnsi="Times New Roman" w:eastAsia="仿宋_GB2312" w:cs="Times New Roman"/>
          <w:b w:val="0"/>
          <w:bCs w:val="0"/>
          <w:color w:val="000000"/>
          <w:szCs w:val="32"/>
          <w:lang w:val="en-US" w:eastAsia="zh-CN"/>
        </w:rPr>
        <w:t>万元。</w:t>
      </w:r>
    </w:p>
    <w:p>
      <w:pPr>
        <w:pStyle w:val="3"/>
        <w:keepNext w:val="0"/>
        <w:keepLines w:val="0"/>
        <w:pageBreakBefore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仿宋_GB2312" w:cs="Times New Roman"/>
          <w:b w:val="0"/>
          <w:bCs w:val="0"/>
          <w:color w:val="000000"/>
          <w:spacing w:val="-6"/>
          <w:sz w:val="32"/>
          <w:szCs w:val="32"/>
          <w:lang w:val="en-US" w:eastAsia="zh-CN"/>
        </w:rPr>
      </w:pPr>
      <w:r>
        <w:rPr>
          <w:rFonts w:hint="default" w:ascii="Times New Roman" w:hAnsi="Times New Roman" w:eastAsia="仿宋_GB2312" w:cs="Times New Roman"/>
          <w:b w:val="0"/>
          <w:bCs w:val="0"/>
          <w:color w:val="000000"/>
          <w:spacing w:val="-6"/>
          <w:sz w:val="32"/>
          <w:szCs w:val="32"/>
          <w:lang w:val="en-US" w:eastAsia="zh-CN"/>
        </w:rPr>
        <w:t>同时满足多个专项奖补条件的，只可申请一项，不予叠加奖补。</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000000"/>
          <w:szCs w:val="32"/>
          <w:lang w:val="en-US" w:eastAsia="zh-CN"/>
        </w:rPr>
      </w:pPr>
      <w:r>
        <w:rPr>
          <w:rFonts w:hint="default"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b w:val="0"/>
          <w:bCs w:val="0"/>
          <w:color w:val="000000"/>
          <w:szCs w:val="32"/>
          <w:lang w:val="en-US" w:eastAsia="zh-CN"/>
        </w:rPr>
        <w:t>增量奖补</w:t>
      </w:r>
    </w:p>
    <w:p>
      <w:pPr>
        <w:pStyle w:val="3"/>
        <w:keepNext w:val="0"/>
        <w:keepLines w:val="0"/>
        <w:pageBreakBefore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仿宋_GB2312" w:cs="Times New Roman"/>
          <w:b w:val="0"/>
          <w:bCs w:val="0"/>
          <w:color w:val="000000"/>
          <w:spacing w:val="-6"/>
          <w:szCs w:val="32"/>
        </w:rPr>
      </w:pPr>
      <w:r>
        <w:rPr>
          <w:rFonts w:hint="default" w:ascii="Times New Roman" w:hAnsi="Times New Roman" w:eastAsia="仿宋_GB2312" w:cs="Times New Roman"/>
          <w:b w:val="0"/>
          <w:bCs w:val="0"/>
          <w:color w:val="000000"/>
          <w:szCs w:val="32"/>
          <w:lang w:eastAsia="zh-CN"/>
        </w:rPr>
        <w:t>增量奖补总额为当年财政奖补资金预算总额</w:t>
      </w:r>
      <w:r>
        <w:rPr>
          <w:rFonts w:hint="default" w:ascii="Times New Roman" w:hAnsi="Times New Roman" w:eastAsia="仿宋_GB2312" w:cs="Times New Roman"/>
          <w:b w:val="0"/>
          <w:bCs w:val="0"/>
          <w:color w:val="000000"/>
          <w:szCs w:val="32"/>
          <w:lang w:val="en-US" w:eastAsia="zh-CN"/>
        </w:rPr>
        <w:t>40%与基础奖补、专项奖补部分的剩余资金之和。按</w:t>
      </w:r>
      <w:r>
        <w:rPr>
          <w:rFonts w:hint="default" w:ascii="Times New Roman" w:hAnsi="Times New Roman" w:eastAsia="仿宋_GB2312" w:cs="Times New Roman"/>
          <w:b w:val="0"/>
          <w:bCs w:val="0"/>
          <w:color w:val="000000"/>
          <w:szCs w:val="32"/>
        </w:rPr>
        <w:t>企业上一年度自主</w:t>
      </w:r>
      <w:r>
        <w:rPr>
          <w:rFonts w:hint="default" w:ascii="Times New Roman" w:hAnsi="Times New Roman" w:eastAsia="仿宋_GB2312" w:cs="Times New Roman"/>
          <w:b w:val="0"/>
          <w:bCs w:val="0"/>
          <w:color w:val="000000"/>
          <w:spacing w:val="-6"/>
          <w:szCs w:val="32"/>
        </w:rPr>
        <w:t>研发经费增长额的一定比例（</w:t>
      </w:r>
      <w:r>
        <w:rPr>
          <w:rFonts w:hint="default" w:ascii="Times New Roman" w:hAnsi="Times New Roman" w:eastAsia="仿宋_GB2312" w:cs="Times New Roman"/>
          <w:b w:val="0"/>
          <w:bCs w:val="0"/>
          <w:color w:val="000000"/>
          <w:spacing w:val="-6"/>
          <w:szCs w:val="32"/>
          <w:lang w:eastAsia="zh-CN"/>
        </w:rPr>
        <w:t>独角兽企业</w:t>
      </w:r>
      <w:r>
        <w:rPr>
          <w:rFonts w:hint="default" w:ascii="Times New Roman" w:hAnsi="Times New Roman" w:eastAsia="仿宋_GB2312" w:cs="Times New Roman"/>
          <w:b w:val="0"/>
          <w:bCs w:val="0"/>
          <w:color w:val="000000"/>
          <w:spacing w:val="-6"/>
          <w:szCs w:val="32"/>
          <w:lang w:val="en-US" w:eastAsia="zh-CN"/>
        </w:rPr>
        <w:t>10%、</w:t>
      </w:r>
      <w:r>
        <w:rPr>
          <w:rFonts w:hint="default" w:ascii="Times New Roman" w:hAnsi="Times New Roman" w:eastAsia="仿宋_GB2312" w:cs="Times New Roman"/>
          <w:b w:val="0"/>
          <w:bCs w:val="0"/>
          <w:color w:val="000000"/>
          <w:szCs w:val="32"/>
        </w:rPr>
        <w:t>瞪羚企业</w:t>
      </w:r>
      <w:r>
        <w:rPr>
          <w:rFonts w:hint="default" w:ascii="Times New Roman" w:hAnsi="Times New Roman" w:eastAsia="仿宋_GB2312" w:cs="Times New Roman"/>
          <w:b w:val="0"/>
          <w:bCs w:val="0"/>
          <w:color w:val="000000"/>
          <w:spacing w:val="-6"/>
          <w:szCs w:val="32"/>
          <w:lang w:val="en-US" w:eastAsia="zh-CN"/>
        </w:rPr>
        <w:t>6</w:t>
      </w:r>
      <w:r>
        <w:rPr>
          <w:rFonts w:hint="default" w:ascii="Times New Roman" w:hAnsi="Times New Roman" w:eastAsia="仿宋_GB2312" w:cs="Times New Roman"/>
          <w:b w:val="0"/>
          <w:bCs w:val="0"/>
          <w:color w:val="000000"/>
          <w:spacing w:val="-6"/>
          <w:szCs w:val="32"/>
        </w:rPr>
        <w:t>%</w:t>
      </w:r>
      <w:r>
        <w:rPr>
          <w:rFonts w:hint="default" w:ascii="Times New Roman" w:hAnsi="Times New Roman" w:eastAsia="仿宋_GB2312" w:cs="Times New Roman"/>
          <w:b w:val="0"/>
          <w:bCs w:val="0"/>
          <w:color w:val="000000"/>
          <w:szCs w:val="32"/>
        </w:rPr>
        <w:t>、</w:t>
      </w:r>
      <w:r>
        <w:rPr>
          <w:rFonts w:hint="default" w:ascii="Times New Roman" w:hAnsi="Times New Roman" w:eastAsia="仿宋_GB2312" w:cs="Times New Roman"/>
          <w:b w:val="0"/>
          <w:bCs w:val="0"/>
          <w:color w:val="000000"/>
          <w:szCs w:val="32"/>
          <w:lang w:eastAsia="zh-CN"/>
        </w:rPr>
        <w:t>国家</w:t>
      </w:r>
      <w:r>
        <w:rPr>
          <w:rFonts w:hint="default" w:ascii="Times New Roman" w:hAnsi="Times New Roman" w:eastAsia="仿宋_GB2312" w:cs="Times New Roman"/>
          <w:b w:val="0"/>
          <w:bCs w:val="0"/>
          <w:color w:val="000000"/>
          <w:szCs w:val="32"/>
        </w:rPr>
        <w:t>高新技术企业5%、其他企业3%</w:t>
      </w:r>
      <w:r>
        <w:rPr>
          <w:rFonts w:hint="default" w:ascii="Times New Roman" w:hAnsi="Times New Roman" w:eastAsia="仿宋_GB2312" w:cs="Times New Roman"/>
          <w:b w:val="0"/>
          <w:bCs w:val="0"/>
          <w:color w:val="000000"/>
          <w:spacing w:val="-6"/>
          <w:szCs w:val="32"/>
        </w:rPr>
        <w:t>）再给予增量奖补。</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000000"/>
          <w:spacing w:val="-2"/>
          <w:szCs w:val="32"/>
        </w:rPr>
      </w:pPr>
      <w:r>
        <w:rPr>
          <w:rFonts w:hint="default" w:ascii="Times New Roman" w:hAnsi="Times New Roman" w:eastAsia="仿宋_GB2312" w:cs="Times New Roman"/>
          <w:color w:val="000000"/>
          <w:szCs w:val="32"/>
        </w:rPr>
        <w:t>年度内单个企业增量奖补金额不超过300万元。</w:t>
      </w:r>
      <w:r>
        <w:rPr>
          <w:rFonts w:hint="default" w:ascii="Times New Roman" w:hAnsi="Times New Roman" w:eastAsia="仿宋_GB2312" w:cs="Times New Roman"/>
          <w:color w:val="000000"/>
          <w:spacing w:val="-2"/>
          <w:szCs w:val="32"/>
        </w:rPr>
        <w:t>若</w:t>
      </w:r>
      <w:r>
        <w:rPr>
          <w:rFonts w:hint="default" w:ascii="Times New Roman" w:hAnsi="Times New Roman" w:eastAsia="仿宋_GB2312" w:cs="Times New Roman"/>
          <w:color w:val="000000"/>
          <w:spacing w:val="-2"/>
          <w:szCs w:val="32"/>
          <w:lang w:eastAsia="zh-CN"/>
        </w:rPr>
        <w:t>企业申请的增量</w:t>
      </w:r>
      <w:r>
        <w:rPr>
          <w:rFonts w:hint="default" w:ascii="Times New Roman" w:hAnsi="Times New Roman" w:eastAsia="仿宋_GB2312" w:cs="Times New Roman"/>
          <w:color w:val="000000"/>
          <w:spacing w:val="-2"/>
          <w:szCs w:val="32"/>
        </w:rPr>
        <w:t>奖补总额超出</w:t>
      </w:r>
      <w:r>
        <w:rPr>
          <w:rFonts w:hint="default" w:ascii="Times New Roman" w:hAnsi="Times New Roman" w:eastAsia="仿宋_GB2312" w:cs="Times New Roman"/>
          <w:color w:val="000000"/>
          <w:spacing w:val="-2"/>
          <w:szCs w:val="32"/>
          <w:lang w:eastAsia="zh-CN"/>
        </w:rPr>
        <w:t>当年对应支出总额</w:t>
      </w:r>
      <w:r>
        <w:rPr>
          <w:rFonts w:hint="default" w:ascii="Times New Roman" w:hAnsi="Times New Roman" w:eastAsia="仿宋_GB2312" w:cs="Times New Roman"/>
          <w:color w:val="000000"/>
          <w:spacing w:val="-2"/>
          <w:szCs w:val="32"/>
        </w:rPr>
        <w:t>的，按相应比例调减奖补标准</w:t>
      </w:r>
      <w:r>
        <w:rPr>
          <w:rFonts w:hint="default" w:ascii="Times New Roman" w:hAnsi="Times New Roman" w:eastAsia="仿宋_GB2312" w:cs="Times New Roman"/>
          <w:b w:val="0"/>
          <w:bCs w:val="0"/>
          <w:color w:val="000000"/>
          <w:spacing w:val="-2"/>
          <w:szCs w:val="32"/>
          <w:lang w:eastAsia="zh-CN"/>
        </w:rPr>
        <w:t>；</w:t>
      </w:r>
      <w:r>
        <w:rPr>
          <w:rFonts w:hint="default" w:ascii="Times New Roman" w:hAnsi="Times New Roman" w:eastAsia="仿宋_GB2312" w:cs="Times New Roman"/>
          <w:b w:val="0"/>
          <w:bCs w:val="0"/>
          <w:color w:val="000000"/>
          <w:szCs w:val="32"/>
          <w:lang w:val="en-US" w:eastAsia="zh-CN"/>
        </w:rPr>
        <w:t>增量奖补总额未达到</w:t>
      </w:r>
      <w:r>
        <w:rPr>
          <w:rFonts w:hint="default" w:ascii="Times New Roman" w:hAnsi="Times New Roman" w:eastAsia="仿宋_GB2312" w:cs="Times New Roman"/>
          <w:b w:val="0"/>
          <w:bCs w:val="0"/>
          <w:color w:val="000000"/>
          <w:spacing w:val="-2"/>
          <w:szCs w:val="32"/>
        </w:rPr>
        <w:t>当年</w:t>
      </w:r>
      <w:r>
        <w:rPr>
          <w:rFonts w:hint="default" w:ascii="Times New Roman" w:hAnsi="Times New Roman" w:eastAsia="仿宋_GB2312" w:cs="Times New Roman"/>
          <w:b w:val="0"/>
          <w:bCs w:val="0"/>
          <w:color w:val="000000"/>
          <w:spacing w:val="-2"/>
          <w:szCs w:val="32"/>
          <w:lang w:eastAsia="zh-CN"/>
        </w:rPr>
        <w:t>对应支出</w:t>
      </w:r>
      <w:r>
        <w:rPr>
          <w:rFonts w:hint="default" w:ascii="Times New Roman" w:hAnsi="Times New Roman" w:eastAsia="仿宋_GB2312" w:cs="Times New Roman"/>
          <w:b w:val="0"/>
          <w:bCs w:val="0"/>
          <w:color w:val="000000"/>
          <w:szCs w:val="32"/>
          <w:lang w:val="en-US" w:eastAsia="zh-CN"/>
        </w:rPr>
        <w:t>总额时，</w:t>
      </w:r>
      <w:r>
        <w:rPr>
          <w:rFonts w:hint="default" w:ascii="Times New Roman" w:hAnsi="Times New Roman" w:eastAsia="仿宋_GB2312" w:cs="Times New Roman"/>
          <w:b w:val="0"/>
          <w:bCs w:val="0"/>
          <w:color w:val="000000"/>
          <w:spacing w:val="-2"/>
          <w:szCs w:val="32"/>
        </w:rPr>
        <w:t>按相应比例调</w:t>
      </w:r>
      <w:r>
        <w:rPr>
          <w:rFonts w:hint="default" w:ascii="Times New Roman" w:hAnsi="Times New Roman" w:eastAsia="仿宋_GB2312" w:cs="Times New Roman"/>
          <w:b w:val="0"/>
          <w:bCs w:val="0"/>
          <w:color w:val="000000"/>
          <w:spacing w:val="-2"/>
          <w:szCs w:val="32"/>
          <w:lang w:eastAsia="zh-CN"/>
        </w:rPr>
        <w:t>增</w:t>
      </w:r>
      <w:r>
        <w:rPr>
          <w:rFonts w:hint="default" w:ascii="Times New Roman" w:hAnsi="Times New Roman" w:eastAsia="仿宋_GB2312" w:cs="Times New Roman"/>
          <w:b w:val="0"/>
          <w:bCs w:val="0"/>
          <w:color w:val="000000"/>
          <w:spacing w:val="-2"/>
          <w:szCs w:val="32"/>
        </w:rPr>
        <w:t>奖补标准。</w:t>
      </w:r>
    </w:p>
    <w:p>
      <w:pPr>
        <w:pStyle w:val="3"/>
        <w:keepNext w:val="0"/>
        <w:keepLines w:val="0"/>
        <w:pageBreakBefore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仿宋_GB2312" w:cs="Times New Roman"/>
          <w:b w:val="0"/>
          <w:bCs w:val="0"/>
          <w:color w:val="000000"/>
          <w:szCs w:val="32"/>
          <w:lang w:val="en-US" w:eastAsia="zh-CN"/>
        </w:rPr>
      </w:pPr>
      <w:r>
        <w:rPr>
          <w:rFonts w:hint="default" w:ascii="Times New Roman" w:hAnsi="Times New Roman" w:eastAsia="仿宋_GB2312" w:cs="Times New Roman"/>
          <w:b w:val="0"/>
          <w:bCs w:val="0"/>
          <w:color w:val="000000"/>
          <w:spacing w:val="-6"/>
          <w:szCs w:val="32"/>
          <w:lang w:eastAsia="zh-CN"/>
        </w:rPr>
        <w:t>申报增量奖补</w:t>
      </w:r>
      <w:r>
        <w:rPr>
          <w:rFonts w:hint="default" w:ascii="Times New Roman" w:hAnsi="Times New Roman" w:eastAsia="仿宋_GB2312" w:cs="Times New Roman"/>
          <w:b w:val="0"/>
          <w:bCs w:val="0"/>
          <w:color w:val="000000"/>
          <w:spacing w:val="-6"/>
          <w:szCs w:val="32"/>
          <w:highlight w:val="none"/>
          <w:lang w:eastAsia="zh-CN"/>
        </w:rPr>
        <w:t>的企业</w:t>
      </w:r>
      <w:r>
        <w:rPr>
          <w:rFonts w:hint="default" w:ascii="Times New Roman" w:hAnsi="Times New Roman" w:eastAsia="仿宋_GB2312" w:cs="Times New Roman"/>
          <w:b w:val="0"/>
          <w:bCs w:val="0"/>
          <w:color w:val="000000"/>
          <w:spacing w:val="-6"/>
          <w:szCs w:val="32"/>
          <w:lang w:eastAsia="zh-CN"/>
        </w:rPr>
        <w:t>需同时完成年度研发统计各项工作，会计科目中需要有研发费用科目，同时做好研发辅助账，</w:t>
      </w:r>
      <w:r>
        <w:rPr>
          <w:rFonts w:hint="default" w:ascii="Times New Roman" w:hAnsi="Times New Roman" w:eastAsia="仿宋_GB2312" w:cs="Times New Roman"/>
          <w:b w:val="0"/>
          <w:bCs w:val="0"/>
          <w:color w:val="000000"/>
          <w:spacing w:val="-6"/>
          <w:szCs w:val="32"/>
        </w:rPr>
        <w:t>因</w:t>
      </w:r>
      <w:r>
        <w:rPr>
          <w:rFonts w:hint="default" w:ascii="Times New Roman" w:hAnsi="Times New Roman" w:eastAsia="仿宋_GB2312" w:cs="Times New Roman"/>
          <w:b w:val="0"/>
          <w:bCs w:val="0"/>
          <w:color w:val="000000"/>
          <w:spacing w:val="-6"/>
          <w:szCs w:val="32"/>
          <w:highlight w:val="none"/>
        </w:rPr>
        <w:t>前</w:t>
      </w:r>
      <w:r>
        <w:rPr>
          <w:rFonts w:hint="default" w:ascii="Times New Roman" w:hAnsi="Times New Roman" w:eastAsia="仿宋_GB2312" w:cs="Times New Roman"/>
          <w:b w:val="0"/>
          <w:bCs w:val="0"/>
          <w:color w:val="000000"/>
          <w:spacing w:val="-6"/>
          <w:szCs w:val="32"/>
          <w:highlight w:val="none"/>
          <w:lang w:eastAsia="zh-CN"/>
        </w:rPr>
        <w:t>三</w:t>
      </w:r>
      <w:r>
        <w:rPr>
          <w:rFonts w:hint="default" w:ascii="Times New Roman" w:hAnsi="Times New Roman" w:eastAsia="仿宋_GB2312" w:cs="Times New Roman"/>
          <w:b w:val="0"/>
          <w:bCs w:val="0"/>
          <w:color w:val="000000"/>
          <w:spacing w:val="-6"/>
          <w:szCs w:val="32"/>
          <w:highlight w:val="none"/>
        </w:rPr>
        <w:t>年度未向税务部门进行纳税申报</w:t>
      </w:r>
      <w:r>
        <w:rPr>
          <w:rFonts w:hint="default" w:ascii="Times New Roman" w:hAnsi="Times New Roman" w:eastAsia="仿宋_GB2312" w:cs="Times New Roman"/>
          <w:b w:val="0"/>
          <w:bCs w:val="0"/>
          <w:color w:val="000000"/>
          <w:spacing w:val="-6"/>
          <w:szCs w:val="32"/>
          <w:highlight w:val="none"/>
          <w:lang w:eastAsia="zh-CN"/>
        </w:rPr>
        <w:t>且未</w:t>
      </w:r>
      <w:r>
        <w:rPr>
          <w:rFonts w:hint="default" w:ascii="Times New Roman" w:hAnsi="Times New Roman" w:eastAsia="仿宋_GB2312" w:cs="Times New Roman"/>
          <w:b w:val="0"/>
          <w:bCs w:val="0"/>
          <w:color w:val="000000"/>
          <w:spacing w:val="-6"/>
          <w:szCs w:val="32"/>
          <w:highlight w:val="none"/>
        </w:rPr>
        <w:t>享受税前加计扣除，造成无对</w:t>
      </w:r>
      <w:r>
        <w:rPr>
          <w:rFonts w:hint="default" w:ascii="Times New Roman" w:hAnsi="Times New Roman" w:eastAsia="仿宋_GB2312" w:cs="Times New Roman"/>
          <w:b w:val="0"/>
          <w:bCs w:val="0"/>
          <w:color w:val="000000"/>
          <w:spacing w:val="-6"/>
          <w:szCs w:val="32"/>
        </w:rPr>
        <w:t>比数</w:t>
      </w:r>
      <w:r>
        <w:rPr>
          <w:rFonts w:hint="default" w:ascii="Times New Roman" w:hAnsi="Times New Roman" w:eastAsia="仿宋_GB2312" w:cs="Times New Roman"/>
          <w:color w:val="000000"/>
          <w:spacing w:val="-6"/>
          <w:szCs w:val="32"/>
        </w:rPr>
        <w:t>据的企业，则不享受增量</w:t>
      </w:r>
      <w:r>
        <w:rPr>
          <w:rFonts w:hint="default" w:ascii="Times New Roman" w:hAnsi="Times New Roman" w:eastAsia="仿宋_GB2312" w:cs="Times New Roman"/>
          <w:color w:val="000000"/>
          <w:szCs w:val="32"/>
        </w:rPr>
        <w:t>奖补</w:t>
      </w:r>
      <w:r>
        <w:rPr>
          <w:rFonts w:hint="default" w:ascii="Times New Roman" w:hAnsi="Times New Roman" w:eastAsia="仿宋_GB2312" w:cs="Times New Roman"/>
          <w:color w:val="000000"/>
          <w:spacing w:val="-6"/>
          <w:szCs w:val="32"/>
        </w:rPr>
        <w:t>。</w:t>
      </w:r>
    </w:p>
    <w:p>
      <w:pPr>
        <w:pStyle w:val="3"/>
        <w:keepNext w:val="0"/>
        <w:keepLines w:val="0"/>
        <w:pageBreakBefore w:val="0"/>
        <w:kinsoku/>
        <w:wordWrap/>
        <w:overflowPunct/>
        <w:topLinePunct w:val="0"/>
        <w:autoSpaceDE/>
        <w:autoSpaceDN/>
        <w:bidi w:val="0"/>
        <w:adjustRightInd w:val="0"/>
        <w:snapToGrid w:val="0"/>
        <w:spacing w:line="560" w:lineRule="exact"/>
        <w:ind w:firstLine="616" w:firstLineChars="200"/>
        <w:textAlignment w:val="auto"/>
        <w:outlineLvl w:val="1"/>
        <w:rPr>
          <w:rFonts w:hint="eastAsia" w:ascii="楷体_GB2312" w:hAnsi="楷体_GB2312" w:eastAsia="楷体_GB2312" w:cs="楷体_GB2312"/>
          <w:bCs/>
          <w:spacing w:val="-6"/>
          <w:szCs w:val="32"/>
        </w:rPr>
      </w:pPr>
      <w:r>
        <w:rPr>
          <w:rFonts w:hint="eastAsia" w:ascii="楷体_GB2312" w:hAnsi="楷体_GB2312" w:eastAsia="楷体_GB2312" w:cs="楷体_GB2312"/>
          <w:bCs/>
          <w:spacing w:val="-6"/>
          <w:szCs w:val="32"/>
        </w:rPr>
        <w:t>（四）奖补程序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奖补工作按照企业申请，市科技局</w:t>
      </w:r>
      <w:r>
        <w:rPr>
          <w:rFonts w:hint="default" w:ascii="Times New Roman" w:hAnsi="Times New Roman" w:eastAsia="仿宋_GB2312" w:cs="Times New Roman"/>
          <w:sz w:val="32"/>
          <w:szCs w:val="32"/>
          <w:lang w:eastAsia="zh-CN" w:bidi="ar-SA"/>
        </w:rPr>
        <w:t>和</w:t>
      </w:r>
      <w:r>
        <w:rPr>
          <w:rFonts w:hint="default" w:ascii="Times New Roman" w:hAnsi="Times New Roman" w:eastAsia="仿宋_GB2312" w:cs="Times New Roman"/>
          <w:sz w:val="32"/>
          <w:szCs w:val="32"/>
          <w:lang w:bidi="ar-SA"/>
        </w:rPr>
        <w:t>市财政局</w:t>
      </w:r>
      <w:r>
        <w:rPr>
          <w:rFonts w:hint="default" w:ascii="Times New Roman" w:hAnsi="Times New Roman" w:eastAsia="仿宋_GB2312" w:cs="Times New Roman"/>
          <w:sz w:val="32"/>
          <w:szCs w:val="32"/>
          <w:lang w:eastAsia="zh-CN" w:bidi="ar-SA"/>
        </w:rPr>
        <w:t>两</w:t>
      </w:r>
      <w:r>
        <w:rPr>
          <w:rFonts w:hint="default" w:ascii="Times New Roman" w:hAnsi="Times New Roman" w:eastAsia="仿宋_GB2312" w:cs="Times New Roman"/>
          <w:sz w:val="32"/>
          <w:szCs w:val="32"/>
          <w:lang w:bidi="ar-SA"/>
        </w:rPr>
        <w:t>部门</w:t>
      </w:r>
      <w:r>
        <w:rPr>
          <w:rFonts w:hint="default" w:ascii="Times New Roman" w:hAnsi="Times New Roman" w:eastAsia="仿宋_GB2312" w:cs="Times New Roman"/>
          <w:sz w:val="32"/>
          <w:szCs w:val="32"/>
          <w:lang w:eastAsia="zh-CN" w:bidi="ar-SA"/>
        </w:rPr>
        <w:t>进行局际会商</w:t>
      </w:r>
      <w:r>
        <w:rPr>
          <w:rFonts w:hint="default" w:ascii="Times New Roman" w:hAnsi="Times New Roman" w:eastAsia="仿宋_GB2312" w:cs="Times New Roman"/>
          <w:sz w:val="32"/>
          <w:szCs w:val="32"/>
          <w:lang w:bidi="ar-SA"/>
        </w:rPr>
        <w:t>审核，报经市</w:t>
      </w:r>
      <w:r>
        <w:rPr>
          <w:rFonts w:hint="default" w:ascii="Times New Roman" w:hAnsi="Times New Roman" w:eastAsia="仿宋_GB2312" w:cs="Times New Roman"/>
          <w:sz w:val="32"/>
          <w:szCs w:val="32"/>
          <w:lang w:eastAsia="zh-CN" w:bidi="ar-SA"/>
        </w:rPr>
        <w:t>人民</w:t>
      </w:r>
      <w:r>
        <w:rPr>
          <w:rFonts w:hint="default" w:ascii="Times New Roman" w:hAnsi="Times New Roman" w:eastAsia="仿宋_GB2312" w:cs="Times New Roman"/>
          <w:sz w:val="32"/>
          <w:szCs w:val="32"/>
          <w:lang w:bidi="ar-SA"/>
        </w:rPr>
        <w:t>政府</w:t>
      </w:r>
      <w:r>
        <w:rPr>
          <w:rFonts w:hint="default" w:ascii="Times New Roman" w:hAnsi="Times New Roman" w:eastAsia="仿宋_GB2312" w:cs="Times New Roman"/>
          <w:sz w:val="32"/>
          <w:szCs w:val="32"/>
          <w:lang w:eastAsia="zh-CN" w:bidi="ar-SA"/>
        </w:rPr>
        <w:t>批准同意后</w:t>
      </w:r>
      <w:r>
        <w:rPr>
          <w:rFonts w:hint="default" w:ascii="Times New Roman" w:hAnsi="Times New Roman" w:eastAsia="仿宋_GB2312" w:cs="Times New Roman"/>
          <w:sz w:val="32"/>
          <w:szCs w:val="32"/>
          <w:lang w:bidi="ar-SA"/>
        </w:rPr>
        <w:t>下达柳州市科技计划的程序实施。具体实施步骤如下：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1.市科技局发布奖补申报通知；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2.企业在所得税年度汇算清缴</w:t>
      </w:r>
      <w:r>
        <w:rPr>
          <w:rFonts w:hint="default" w:ascii="Times New Roman" w:hAnsi="Times New Roman" w:eastAsia="仿宋_GB2312" w:cs="Times New Roman"/>
          <w:sz w:val="32"/>
          <w:szCs w:val="32"/>
          <w:lang w:eastAsia="zh-CN" w:bidi="ar-SA"/>
        </w:rPr>
        <w:t>或完成年度统计工作</w:t>
      </w:r>
      <w:r>
        <w:rPr>
          <w:rFonts w:hint="default" w:ascii="Times New Roman" w:hAnsi="Times New Roman" w:eastAsia="仿宋_GB2312" w:cs="Times New Roman"/>
          <w:sz w:val="32"/>
          <w:szCs w:val="32"/>
          <w:lang w:bidi="ar-SA"/>
        </w:rPr>
        <w:t>后，按照申报通知要求提交申请材料；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3.市科技局组织或委托</w:t>
      </w:r>
      <w:r>
        <w:rPr>
          <w:rFonts w:hint="default" w:ascii="Times New Roman" w:hAnsi="Times New Roman" w:eastAsia="仿宋_GB2312" w:cs="Times New Roman"/>
          <w:sz w:val="32"/>
          <w:szCs w:val="32"/>
          <w:lang w:eastAsia="zh-CN" w:bidi="ar-SA"/>
        </w:rPr>
        <w:t>专业</w:t>
      </w:r>
      <w:r>
        <w:rPr>
          <w:rFonts w:hint="default" w:ascii="Times New Roman" w:hAnsi="Times New Roman" w:eastAsia="仿宋_GB2312" w:cs="Times New Roman"/>
          <w:sz w:val="32"/>
          <w:szCs w:val="32"/>
          <w:lang w:bidi="ar-SA"/>
        </w:rPr>
        <w:t>机构，依据市税务局提供的税</w:t>
      </w:r>
      <w:r>
        <w:rPr>
          <w:rFonts w:hint="eastAsia" w:ascii="Times New Roman" w:hAnsi="Times New Roman" w:eastAsia="仿宋_GB2312" w:cs="Times New Roman"/>
          <w:sz w:val="32"/>
          <w:szCs w:val="32"/>
          <w:lang w:eastAsia="zh-CN" w:bidi="ar-SA"/>
        </w:rPr>
        <w:t>收</w:t>
      </w:r>
      <w:r>
        <w:rPr>
          <w:rFonts w:hint="default" w:ascii="Times New Roman" w:hAnsi="Times New Roman" w:eastAsia="仿宋_GB2312" w:cs="Times New Roman"/>
          <w:sz w:val="32"/>
          <w:szCs w:val="32"/>
          <w:lang w:bidi="ar-SA"/>
        </w:rPr>
        <w:t>征管系统中享受研发费用税前加计扣除优惠政策的企业名单及对应的研发经费支出数额，对企业申请材料进行审查和汇总；</w:t>
      </w:r>
      <w:r>
        <w:rPr>
          <w:rFonts w:hint="default" w:ascii="Times New Roman" w:hAnsi="Times New Roman" w:eastAsia="仿宋_GB2312" w:cs="Times New Roman"/>
          <w:sz w:val="32"/>
          <w:szCs w:val="32"/>
          <w:lang w:eastAsia="zh-CN" w:bidi="ar-SA"/>
        </w:rPr>
        <w:t>市统计局对企业申报数据依据企业在统计平台上填报数据进行审核；</w:t>
      </w:r>
      <w:r>
        <w:rPr>
          <w:rFonts w:hint="default" w:ascii="Times New Roman" w:hAnsi="Times New Roman" w:eastAsia="仿宋_GB2312" w:cs="Times New Roman"/>
          <w:sz w:val="32"/>
          <w:szCs w:val="32"/>
          <w:lang w:bidi="ar-SA"/>
        </w:rPr>
        <w:t>市科技局</w:t>
      </w:r>
      <w:r>
        <w:rPr>
          <w:rFonts w:hint="default" w:ascii="Times New Roman" w:hAnsi="Times New Roman" w:eastAsia="仿宋_GB2312" w:cs="Times New Roman"/>
          <w:sz w:val="32"/>
          <w:szCs w:val="32"/>
          <w:lang w:eastAsia="zh-CN" w:bidi="ar-SA"/>
        </w:rPr>
        <w:t>和</w:t>
      </w:r>
      <w:r>
        <w:rPr>
          <w:rFonts w:hint="default" w:ascii="Times New Roman" w:hAnsi="Times New Roman" w:eastAsia="仿宋_GB2312" w:cs="Times New Roman"/>
          <w:sz w:val="32"/>
          <w:szCs w:val="32"/>
          <w:lang w:bidi="ar-SA"/>
        </w:rPr>
        <w:t>市财政局</w:t>
      </w:r>
      <w:r>
        <w:rPr>
          <w:rFonts w:hint="default" w:ascii="Times New Roman" w:hAnsi="Times New Roman" w:eastAsia="仿宋_GB2312" w:cs="Times New Roman"/>
          <w:sz w:val="32"/>
          <w:szCs w:val="32"/>
          <w:lang w:eastAsia="zh-CN" w:bidi="ar-SA"/>
        </w:rPr>
        <w:t>两</w:t>
      </w:r>
      <w:r>
        <w:rPr>
          <w:rFonts w:hint="default" w:ascii="Times New Roman" w:hAnsi="Times New Roman" w:eastAsia="仿宋_GB2312" w:cs="Times New Roman"/>
          <w:sz w:val="32"/>
          <w:szCs w:val="32"/>
          <w:lang w:bidi="ar-SA"/>
        </w:rPr>
        <w:t>部门</w:t>
      </w:r>
      <w:r>
        <w:rPr>
          <w:rFonts w:hint="default" w:ascii="Times New Roman" w:hAnsi="Times New Roman" w:eastAsia="仿宋_GB2312" w:cs="Times New Roman"/>
          <w:sz w:val="32"/>
          <w:szCs w:val="32"/>
          <w:lang w:eastAsia="zh-CN" w:bidi="ar-SA"/>
        </w:rPr>
        <w:t>进行局际会商</w:t>
      </w:r>
      <w:r>
        <w:rPr>
          <w:rFonts w:hint="default" w:ascii="Times New Roman" w:hAnsi="Times New Roman" w:eastAsia="仿宋_GB2312" w:cs="Times New Roman"/>
          <w:sz w:val="32"/>
          <w:szCs w:val="32"/>
          <w:lang w:bidi="ar-SA"/>
        </w:rPr>
        <w:t>审核拟奖补企业名单和奖补金额，并报市政府审定；</w:t>
      </w:r>
      <w:r>
        <w:rPr>
          <w:rFonts w:hint="default" w:ascii="Times New Roman" w:hAnsi="Times New Roman" w:eastAsia="仿宋_GB2312" w:cs="Times New Roman"/>
          <w:sz w:val="32"/>
          <w:szCs w:val="32"/>
          <w:lang w:val="en-US" w:eastAsia="zh-CN" w:bidi="ar-SA"/>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4.由市科技局向社会公示</w:t>
      </w:r>
      <w:r>
        <w:rPr>
          <w:rFonts w:hint="default" w:ascii="Times New Roman" w:hAnsi="Times New Roman" w:eastAsia="仿宋_GB2312" w:cs="Times New Roman"/>
          <w:sz w:val="32"/>
          <w:szCs w:val="32"/>
          <w:lang w:val="en-US" w:eastAsia="zh-CN" w:bidi="ar-SA"/>
        </w:rPr>
        <w:t>5个工作日</w:t>
      </w:r>
      <w:r>
        <w:rPr>
          <w:rFonts w:hint="default" w:ascii="Times New Roman" w:hAnsi="Times New Roman" w:eastAsia="仿宋_GB2312" w:cs="Times New Roman"/>
          <w:sz w:val="32"/>
          <w:szCs w:val="32"/>
          <w:lang w:bidi="ar-SA"/>
        </w:rPr>
        <w:t>；经公示无异议或有异议经调查不成立的，由市科技局</w:t>
      </w:r>
      <w:r>
        <w:rPr>
          <w:rFonts w:hint="default" w:ascii="Times New Roman" w:hAnsi="Times New Roman" w:eastAsia="仿宋_GB2312" w:cs="Times New Roman"/>
          <w:sz w:val="32"/>
          <w:szCs w:val="32"/>
          <w:lang w:eastAsia="zh-CN" w:bidi="ar-SA"/>
        </w:rPr>
        <w:t>和</w:t>
      </w:r>
      <w:r>
        <w:rPr>
          <w:rFonts w:hint="default" w:ascii="Times New Roman" w:hAnsi="Times New Roman" w:eastAsia="仿宋_GB2312" w:cs="Times New Roman"/>
          <w:sz w:val="32"/>
          <w:szCs w:val="32"/>
          <w:lang w:bidi="ar-SA"/>
        </w:rPr>
        <w:t>市财政局按照相关程序</w:t>
      </w:r>
      <w:r>
        <w:rPr>
          <w:rFonts w:hint="default" w:ascii="Times New Roman" w:hAnsi="Times New Roman" w:eastAsia="仿宋_GB2312" w:cs="Times New Roman"/>
          <w:sz w:val="32"/>
          <w:szCs w:val="32"/>
          <w:lang w:eastAsia="zh-CN" w:bidi="ar-SA"/>
        </w:rPr>
        <w:t>报经市政府批准后</w:t>
      </w:r>
      <w:r>
        <w:rPr>
          <w:rFonts w:hint="default" w:ascii="Times New Roman" w:hAnsi="Times New Roman" w:eastAsia="仿宋_GB2312" w:cs="Times New Roman"/>
          <w:sz w:val="32"/>
          <w:szCs w:val="32"/>
          <w:lang w:bidi="ar-SA"/>
        </w:rPr>
        <w:t>联合下达市科技计划；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5.市科技局和市财政局根据市科技计划文件拨付奖补资金。</w:t>
      </w:r>
    </w:p>
    <w:p>
      <w:pPr>
        <w:pStyle w:val="3"/>
        <w:keepNext w:val="0"/>
        <w:keepLines w:val="0"/>
        <w:pageBreakBefore w:val="0"/>
        <w:kinsoku/>
        <w:wordWrap/>
        <w:overflowPunct/>
        <w:topLinePunct w:val="0"/>
        <w:autoSpaceDE/>
        <w:autoSpaceDN/>
        <w:bidi w:val="0"/>
        <w:adjustRightInd w:val="0"/>
        <w:snapToGrid w:val="0"/>
        <w:spacing w:line="560" w:lineRule="exact"/>
        <w:ind w:firstLine="616" w:firstLineChars="200"/>
        <w:textAlignment w:val="auto"/>
        <w:outlineLvl w:val="1"/>
        <w:rPr>
          <w:rFonts w:hint="eastAsia" w:ascii="楷体_GB2312" w:hAnsi="楷体_GB2312" w:eastAsia="楷体_GB2312" w:cs="楷体_GB2312"/>
          <w:bCs/>
          <w:spacing w:val="-6"/>
          <w:szCs w:val="32"/>
        </w:rPr>
      </w:pPr>
      <w:r>
        <w:rPr>
          <w:rFonts w:hint="eastAsia" w:ascii="楷体_GB2312" w:hAnsi="楷体_GB2312" w:eastAsia="楷体_GB2312" w:cs="楷体_GB2312"/>
          <w:bCs/>
          <w:spacing w:val="-6"/>
          <w:szCs w:val="32"/>
        </w:rPr>
        <w:t>（五）关键词诠释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本办法所称企业上一年度自主研发经费支出额，是指企业上一年度自主投入开展研发活动并享受研发费用税前加计扣除优惠政策的研发经费支出数额，不包含来自各级政府部门的科技活动资金。本办法所称企业上一年度自主研发经费增长额，是指企业上一年度自主研发经费支出额</w:t>
      </w:r>
      <w:r>
        <w:rPr>
          <w:rFonts w:hint="default" w:ascii="Times New Roman" w:hAnsi="Times New Roman" w:eastAsia="仿宋_GB2312" w:cs="Times New Roman"/>
          <w:sz w:val="32"/>
          <w:szCs w:val="32"/>
          <w:lang w:eastAsia="zh-CN" w:bidi="ar-SA"/>
        </w:rPr>
        <w:t>对比</w:t>
      </w:r>
      <w:r>
        <w:rPr>
          <w:rFonts w:hint="default" w:ascii="Times New Roman" w:hAnsi="Times New Roman" w:eastAsia="仿宋_GB2312" w:cs="Times New Roman"/>
          <w:sz w:val="32"/>
          <w:szCs w:val="32"/>
          <w:lang w:bidi="ar-SA"/>
        </w:rPr>
        <w:t>前</w:t>
      </w:r>
      <w:r>
        <w:rPr>
          <w:rFonts w:hint="default" w:ascii="Times New Roman" w:hAnsi="Times New Roman" w:eastAsia="仿宋_GB2312" w:cs="Times New Roman"/>
          <w:sz w:val="32"/>
          <w:szCs w:val="32"/>
          <w:lang w:eastAsia="zh-CN" w:bidi="ar-SA"/>
        </w:rPr>
        <w:t>三</w:t>
      </w:r>
      <w:r>
        <w:rPr>
          <w:rFonts w:hint="default" w:ascii="Times New Roman" w:hAnsi="Times New Roman" w:eastAsia="仿宋_GB2312" w:cs="Times New Roman"/>
          <w:sz w:val="32"/>
          <w:szCs w:val="32"/>
          <w:lang w:bidi="ar-SA"/>
        </w:rPr>
        <w:t>年度</w:t>
      </w:r>
      <w:r>
        <w:rPr>
          <w:rFonts w:hint="default" w:ascii="Times New Roman" w:hAnsi="Times New Roman" w:eastAsia="仿宋_GB2312" w:cs="Times New Roman"/>
          <w:sz w:val="32"/>
          <w:szCs w:val="32"/>
          <w:lang w:eastAsia="zh-CN" w:bidi="ar-SA"/>
        </w:rPr>
        <w:t>（不足三年的按实际年份计算）支出额平均值</w:t>
      </w:r>
      <w:r>
        <w:rPr>
          <w:rFonts w:hint="default" w:ascii="Times New Roman" w:hAnsi="Times New Roman" w:eastAsia="仿宋_GB2312" w:cs="Times New Roman"/>
          <w:sz w:val="32"/>
          <w:szCs w:val="32"/>
          <w:lang w:bidi="ar-SA"/>
        </w:rPr>
        <w:t>增长的数额。</w:t>
      </w:r>
    </w:p>
    <w:p>
      <w:pPr>
        <w:pStyle w:val="3"/>
        <w:keepNext w:val="0"/>
        <w:keepLines w:val="0"/>
        <w:pageBreakBefore w:val="0"/>
        <w:kinsoku/>
        <w:wordWrap/>
        <w:overflowPunct/>
        <w:topLinePunct w:val="0"/>
        <w:autoSpaceDE/>
        <w:autoSpaceDN/>
        <w:bidi w:val="0"/>
        <w:adjustRightInd w:val="0"/>
        <w:snapToGrid w:val="0"/>
        <w:spacing w:line="560" w:lineRule="exact"/>
        <w:ind w:firstLine="616" w:firstLineChars="200"/>
        <w:textAlignment w:val="auto"/>
        <w:outlineLvl w:val="1"/>
        <w:rPr>
          <w:rFonts w:hint="eastAsia" w:ascii="楷体_GB2312" w:hAnsi="楷体_GB2312" w:eastAsia="楷体_GB2312" w:cs="楷体_GB2312"/>
          <w:bCs/>
          <w:spacing w:val="-6"/>
          <w:szCs w:val="32"/>
        </w:rPr>
      </w:pPr>
      <w:r>
        <w:rPr>
          <w:rFonts w:hint="eastAsia" w:ascii="楷体_GB2312" w:hAnsi="楷体_GB2312" w:eastAsia="楷体_GB2312" w:cs="楷体_GB2312"/>
          <w:bCs/>
          <w:spacing w:val="-6"/>
          <w:szCs w:val="32"/>
        </w:rPr>
        <w:t>（六）实施时间</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pacing w:val="-2"/>
          <w:sz w:val="32"/>
          <w:szCs w:val="32"/>
          <w:lang w:bidi="ar-SA"/>
        </w:rPr>
      </w:pPr>
      <w:r>
        <w:rPr>
          <w:rFonts w:hint="default" w:ascii="Times New Roman" w:hAnsi="Times New Roman" w:eastAsia="仿宋_GB2312" w:cs="Times New Roman"/>
          <w:sz w:val="32"/>
          <w:szCs w:val="32"/>
          <w:lang w:bidi="ar-SA"/>
        </w:rPr>
        <w:t xml:space="preserve">   </w:t>
      </w:r>
      <w:r>
        <w:rPr>
          <w:rFonts w:hint="default" w:ascii="Times New Roman" w:hAnsi="Times New Roman" w:eastAsia="仿宋_GB2312" w:cs="Times New Roman"/>
          <w:spacing w:val="-2"/>
          <w:sz w:val="32"/>
          <w:szCs w:val="32"/>
          <w:lang w:bidi="ar-SA"/>
        </w:rPr>
        <w:t xml:space="preserve"> 从20</w:t>
      </w:r>
      <w:r>
        <w:rPr>
          <w:rFonts w:hint="default" w:ascii="Times New Roman" w:hAnsi="Times New Roman" w:eastAsia="仿宋_GB2312" w:cs="Times New Roman"/>
          <w:spacing w:val="-2"/>
          <w:sz w:val="32"/>
          <w:szCs w:val="32"/>
          <w:lang w:val="en-US" w:eastAsia="zh-CN" w:bidi="ar-SA"/>
        </w:rPr>
        <w:t>22</w:t>
      </w:r>
      <w:r>
        <w:rPr>
          <w:rFonts w:hint="default" w:ascii="Times New Roman" w:hAnsi="Times New Roman" w:eastAsia="仿宋_GB2312" w:cs="Times New Roman"/>
          <w:spacing w:val="-2"/>
          <w:sz w:val="32"/>
          <w:szCs w:val="32"/>
          <w:lang w:bidi="ar-SA"/>
        </w:rPr>
        <w:t>年起，每年对上一年度企业投入的研发经费给予奖补。</w:t>
      </w:r>
    </w:p>
    <w:p/>
    <w:sectPr>
      <w:headerReference r:id="rId3" w:type="default"/>
      <w:footerReference r:id="rId5" w:type="default"/>
      <w:headerReference r:id="rId4" w:type="even"/>
      <w:footerReference r:id="rId6" w:type="even"/>
      <w:pgSz w:w="11906" w:h="16838"/>
      <w:pgMar w:top="1440" w:right="1417" w:bottom="1440" w:left="1417" w:header="1701" w:footer="850"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新宋体">
    <w:altName w:val="方正书宋_GBK"/>
    <w:panose1 w:val="020B0600000000000000"/>
    <w:charset w:val="86"/>
    <w:family w:val="modern"/>
    <w:pitch w:val="default"/>
    <w:sig w:usb0="00000000" w:usb1="00000000" w:usb2="00000016" w:usb3="00000000" w:csb0="602E0107" w:csb1="00000000"/>
  </w:font>
  <w:font w:name="汉仪方隶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y="1"/>
      <w:ind w:right="360" w:firstLine="360"/>
      <w:rPr>
        <w:rStyle w:val="9"/>
        <w:rFonts w:hint="eastAsia"/>
      </w:rPr>
    </w:pPr>
    <w:r>
      <w:rPr>
        <w:rStyle w:val="9"/>
        <w:rFonts w:hint="eastAsia"/>
      </w:rPr>
      <w:t xml:space="preserve">  </w:t>
    </w:r>
  </w:p>
  <w:p>
    <w:pPr>
      <w:pStyle w:val="4"/>
      <w:framePr w:wrap="around" w:vAnchor="text" w:hAnchor="margin" w:xAlign="center" w:y="1"/>
      <w:ind w:firstLine="360"/>
      <w:rPr>
        <w:rStyle w:val="9"/>
        <w:rFonts w:hint="eastAsia"/>
      </w:rPr>
    </w:pPr>
  </w:p>
  <w:p>
    <w:pPr>
      <w:pStyle w:val="4"/>
      <w:tabs>
        <w:tab w:val="left" w:pos="360"/>
      </w:tabs>
      <w:ind w:right="210" w:rightChars="100" w:firstLine="420" w:firstLineChars="150"/>
      <w:jc w:val="center"/>
      <w:rPr>
        <w:rFonts w:ascii="Times New Roman" w:hAnsi="Times New Roman"/>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left" w:pos="360"/>
                            </w:tabs>
                            <w:ind w:right="210" w:rightChars="100" w:firstLine="420" w:firstLineChars="1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 PAGE </w:instrText>
                          </w:r>
                          <w:r>
                            <w:rPr>
                              <w:rFonts w:hint="eastAsia" w:ascii="仿宋_GB2312" w:hAnsi="仿宋_GB2312" w:eastAsia="仿宋_GB2312" w:cs="仿宋_GB2312"/>
                              <w:sz w:val="28"/>
                              <w:szCs w:val="28"/>
                            </w:rPr>
                            <w:fldChar w:fldCharType="separate"/>
                          </w:r>
                          <w:r>
                            <w:rPr>
                              <w:rStyle w:val="9"/>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tabs>
                        <w:tab w:val="left" w:pos="360"/>
                      </w:tabs>
                      <w:ind w:right="210" w:rightChars="100" w:firstLine="420" w:firstLineChars="1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 PAGE </w:instrText>
                    </w:r>
                    <w:r>
                      <w:rPr>
                        <w:rFonts w:hint="eastAsia" w:ascii="仿宋_GB2312" w:hAnsi="仿宋_GB2312" w:eastAsia="仿宋_GB2312" w:cs="仿宋_GB2312"/>
                        <w:sz w:val="28"/>
                        <w:szCs w:val="28"/>
                      </w:rPr>
                      <w:fldChar w:fldCharType="separate"/>
                    </w:r>
                    <w:r>
                      <w:rPr>
                        <w:rStyle w:val="9"/>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jc w:val="center"/>
      <w:rPr>
        <w:rStyle w:val="9"/>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23495</wp:posOffset>
              </wp:positionH>
              <wp:positionV relativeFrom="paragraph">
                <wp:posOffset>-28575</wp:posOffset>
              </wp:positionV>
              <wp:extent cx="783590" cy="23685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8359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210" w:left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9"/>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85pt;margin-top:-2.25pt;height:18.65pt;width:61.7pt;mso-position-horizontal-relative:margin;z-index:251659264;mso-width-relative:page;mso-height-relative:page;" filled="f" stroked="f" coordsize="21600,21600" o:gfxdata="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NNMnbjVAAAABwEAAA8AAAAAAAAAAQAgAAAAOAAAAGRycy9kb3ducmV2&#10;LnhtbFBLAQIUABQAAAAIAIdO4kC7wVY4IgIAACkEAAAOAAAAAAAAAAEAIAAAADoBAABkcnMvZTJv&#10;RG9jLnhtbFBLBQYAAAAABgAGAFkBAADOBQAAAAA=&#10;">
              <v:fill on="f" focussize="0,0"/>
              <v:stroke on="f" weight="0.5pt"/>
              <v:imagedata o:title=""/>
              <o:lock v:ext="edit" aspectratio="f"/>
              <v:textbox inset="0mm,0mm,0mm,0mm">
                <w:txbxContent>
                  <w:p>
                    <w:pPr>
                      <w:pStyle w:val="4"/>
                      <w:ind w:left="210" w:left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9"/>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4319F"/>
    <w:rsid w:val="04613814"/>
    <w:rsid w:val="12E13E56"/>
    <w:rsid w:val="199556EE"/>
    <w:rsid w:val="1F337960"/>
    <w:rsid w:val="25C012FE"/>
    <w:rsid w:val="28F10C0B"/>
    <w:rsid w:val="2A5A4716"/>
    <w:rsid w:val="2BDCDFB4"/>
    <w:rsid w:val="31B52E35"/>
    <w:rsid w:val="33127023"/>
    <w:rsid w:val="3B773B81"/>
    <w:rsid w:val="3D0E212A"/>
    <w:rsid w:val="405354B3"/>
    <w:rsid w:val="44E4319F"/>
    <w:rsid w:val="461F5D98"/>
    <w:rsid w:val="5B61561F"/>
    <w:rsid w:val="5C3740D2"/>
    <w:rsid w:val="6ACA1238"/>
    <w:rsid w:val="6E492382"/>
    <w:rsid w:val="746C1384"/>
    <w:rsid w:val="74AE6B69"/>
    <w:rsid w:val="7EE7391F"/>
    <w:rsid w:val="8FBF7FEE"/>
    <w:rsid w:val="AE45C568"/>
    <w:rsid w:val="AF6F6CAE"/>
    <w:rsid w:val="DFE72281"/>
    <w:rsid w:val="F7B3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8"/>
      <w:lang w:val="en-US" w:eastAsia="zh-CN" w:bidi="th-TH"/>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仿宋_GB2312" w:cs="Courier New"/>
      <w:sz w:val="32"/>
      <w:szCs w:val="21"/>
      <w:lang w:bidi="ar-SA"/>
    </w:rPr>
  </w:style>
  <w:style w:type="paragraph" w:styleId="4">
    <w:name w:val="footer"/>
    <w:basedOn w:val="1"/>
    <w:unhideWhenUsed/>
    <w:qFormat/>
    <w:uiPriority w:val="99"/>
    <w:pPr>
      <w:tabs>
        <w:tab w:val="center" w:pos="4153"/>
        <w:tab w:val="right" w:pos="8306"/>
      </w:tabs>
      <w:snapToGrid w:val="0"/>
      <w:jc w:val="left"/>
    </w:pPr>
    <w:rPr>
      <w:kern w:val="0"/>
      <w:sz w:val="18"/>
      <w:szCs w:val="22"/>
      <w:lang w:bidi="ar-SA"/>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22"/>
      <w:lang w:bidi="ar-SA"/>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2022-03-31T08:49:00Z</dcterms:created>
  <dc:creator>李鹏</dc:creator>
  <cp:lastModifiedBy>邹佳美</cp:lastModifiedBy>
  <dcterms:modified xsi:type="dcterms:W3CDTF">2022-06-14T15:34:13Z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