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E2A2">
      <w:pPr>
        <w:spacing w:before="156" w:beforeLines="50"/>
        <w:jc w:val="center"/>
        <w:rPr>
          <w:rFonts w:eastAsia="仿宋"/>
          <w:color w:val="000000" w:themeColor="text1"/>
          <w:sz w:val="72"/>
          <w:szCs w:val="72"/>
          <w14:textFill>
            <w14:solidFill>
              <w14:schemeClr w14:val="tx1"/>
            </w14:solidFill>
          </w14:textFill>
        </w:rPr>
      </w:pPr>
    </w:p>
    <w:p w14:paraId="6F6D3A17">
      <w:pPr>
        <w:spacing w:before="156" w:beforeLines="50"/>
        <w:jc w:val="center"/>
        <w:rPr>
          <w:rFonts w:eastAsia="仿宋"/>
          <w:color w:val="000000" w:themeColor="text1"/>
          <w:sz w:val="72"/>
          <w:szCs w:val="72"/>
          <w14:textFill>
            <w14:solidFill>
              <w14:schemeClr w14:val="tx1"/>
            </w14:solidFill>
          </w14:textFill>
        </w:rPr>
      </w:pPr>
    </w:p>
    <w:p w14:paraId="4C5A6B02">
      <w:pPr>
        <w:spacing w:before="156" w:beforeLines="50"/>
        <w:jc w:val="center"/>
        <w:rPr>
          <w:rFonts w:eastAsia="仿宋"/>
          <w:color w:val="000000" w:themeColor="text1"/>
          <w:sz w:val="72"/>
          <w:szCs w:val="72"/>
          <w14:textFill>
            <w14:solidFill>
              <w14:schemeClr w14:val="tx1"/>
            </w14:solidFill>
          </w14:textFill>
        </w:rPr>
      </w:pPr>
    </w:p>
    <w:p w14:paraId="43C7FFDF">
      <w:pPr>
        <w:spacing w:before="156" w:beforeLines="50"/>
        <w:jc w:val="center"/>
        <w:outlineLvl w:val="0"/>
        <w:rPr>
          <w:rFonts w:eastAsia="仿宋"/>
          <w:color w:val="000000" w:themeColor="text1"/>
          <w:sz w:val="72"/>
          <w:szCs w:val="72"/>
          <w14:textFill>
            <w14:solidFill>
              <w14:schemeClr w14:val="tx1"/>
            </w14:solidFill>
          </w14:textFill>
        </w:rPr>
      </w:pPr>
      <w:r>
        <w:rPr>
          <w:rFonts w:hint="eastAsia" w:eastAsia="仿宋"/>
          <w:color w:val="000000" w:themeColor="text1"/>
          <w:sz w:val="72"/>
          <w:szCs w:val="72"/>
          <w14:textFill>
            <w14:solidFill>
              <w14:schemeClr w14:val="tx1"/>
            </w14:solidFill>
          </w14:textFill>
        </w:rPr>
        <w:t>项目</w:t>
      </w:r>
      <w:r>
        <w:rPr>
          <w:rFonts w:eastAsia="仿宋"/>
          <w:color w:val="000000" w:themeColor="text1"/>
          <w:sz w:val="72"/>
          <w:szCs w:val="72"/>
          <w14:textFill>
            <w14:solidFill>
              <w14:schemeClr w14:val="tx1"/>
            </w14:solidFill>
          </w14:textFill>
        </w:rPr>
        <w:t>采购文件</w:t>
      </w:r>
    </w:p>
    <w:p w14:paraId="6AAFE72D">
      <w:pPr>
        <w:snapToGrid w:val="0"/>
        <w:spacing w:before="156" w:beforeLines="50" w:line="360" w:lineRule="auto"/>
        <w:rPr>
          <w:rFonts w:eastAsia="仿宋"/>
          <w:color w:val="000000" w:themeColor="text1"/>
          <w:sz w:val="30"/>
          <w:szCs w:val="72"/>
          <w14:textFill>
            <w14:solidFill>
              <w14:schemeClr w14:val="tx1"/>
            </w14:solidFill>
          </w14:textFill>
        </w:rPr>
      </w:pPr>
    </w:p>
    <w:p w14:paraId="79448907">
      <w:pPr>
        <w:pStyle w:val="10"/>
        <w:snapToGrid w:val="0"/>
        <w:spacing w:before="120" w:after="120" w:line="360" w:lineRule="auto"/>
        <w:jc w:val="center"/>
        <w:rPr>
          <w:rFonts w:ascii="Times New Roman" w:hAnsi="Times New Roman" w:eastAsia="仿宋"/>
          <w:b/>
          <w:bCs/>
          <w:color w:val="000000" w:themeColor="text1"/>
          <w:sz w:val="30"/>
          <w:szCs w:val="30"/>
          <w14:textFill>
            <w14:solidFill>
              <w14:schemeClr w14:val="tx1"/>
            </w14:solidFill>
          </w14:textFill>
        </w:rPr>
      </w:pPr>
      <w:r>
        <w:rPr>
          <w:rFonts w:ascii="Times New Roman" w:hAnsi="Times New Roman" w:eastAsia="仿宋"/>
          <w:b/>
          <w:bCs/>
          <w:color w:val="000000" w:themeColor="text1"/>
          <w:sz w:val="30"/>
          <w:szCs w:val="30"/>
          <w14:textFill>
            <w14:solidFill>
              <w14:schemeClr w14:val="tx1"/>
            </w14:solidFill>
          </w14:textFill>
        </w:rPr>
        <w:t xml:space="preserve">       </w:t>
      </w:r>
    </w:p>
    <w:p w14:paraId="5549D005">
      <w:pPr>
        <w:pStyle w:val="10"/>
        <w:snapToGrid w:val="0"/>
        <w:spacing w:before="120" w:after="120" w:line="360" w:lineRule="auto"/>
        <w:jc w:val="center"/>
        <w:rPr>
          <w:rFonts w:ascii="Times New Roman" w:hAnsi="Times New Roman" w:eastAsia="仿宋"/>
          <w:b/>
          <w:bCs/>
          <w:color w:val="000000" w:themeColor="text1"/>
          <w:sz w:val="30"/>
          <w:szCs w:val="30"/>
          <w14:textFill>
            <w14:solidFill>
              <w14:schemeClr w14:val="tx1"/>
            </w14:solidFill>
          </w14:textFill>
        </w:rPr>
      </w:pPr>
    </w:p>
    <w:p w14:paraId="2A240126">
      <w:pPr>
        <w:overflowPunct w:val="0"/>
        <w:autoSpaceDE w:val="0"/>
        <w:autoSpaceDN w:val="0"/>
        <w:spacing w:line="560" w:lineRule="exact"/>
        <w:jc w:val="left"/>
        <w:rPr>
          <w:rFonts w:eastAsia="仿宋"/>
          <w:b/>
          <w:color w:val="000000" w:themeColor="text1"/>
          <w:sz w:val="30"/>
          <w:szCs w:val="72"/>
          <w14:textFill>
            <w14:solidFill>
              <w14:schemeClr w14:val="tx1"/>
            </w14:solidFill>
          </w14:textFill>
        </w:rPr>
      </w:pPr>
      <w:r>
        <w:rPr>
          <w:rFonts w:eastAsia="仿宋"/>
          <w:b/>
          <w:color w:val="000000" w:themeColor="text1"/>
          <w:sz w:val="30"/>
          <w:szCs w:val="72"/>
          <w14:textFill>
            <w14:solidFill>
              <w14:schemeClr w14:val="tx1"/>
            </w14:solidFill>
          </w14:textFill>
        </w:rPr>
        <w:t>项目名称：</w:t>
      </w:r>
      <w:r>
        <w:rPr>
          <w:rFonts w:hint="eastAsia" w:eastAsia="仿宋"/>
          <w:b/>
          <w:color w:val="000000" w:themeColor="text1"/>
          <w:sz w:val="30"/>
          <w:szCs w:val="72"/>
          <w14:textFill>
            <w14:solidFill>
              <w14:schemeClr w14:val="tx1"/>
            </w14:solidFill>
          </w14:textFill>
        </w:rPr>
        <w:t>2025年柳州市政府网站</w:t>
      </w:r>
      <w:r>
        <w:rPr>
          <w:rFonts w:hint="eastAsia" w:eastAsia="仿宋"/>
          <w:b/>
          <w:color w:val="000000" w:themeColor="text1"/>
          <w:sz w:val="30"/>
          <w:szCs w:val="72"/>
          <w:lang w:val="en-US" w:eastAsia="zh-CN"/>
          <w14:textFill>
            <w14:solidFill>
              <w14:schemeClr w14:val="tx1"/>
            </w14:solidFill>
          </w14:textFill>
        </w:rPr>
        <w:t>与</w:t>
      </w:r>
      <w:r>
        <w:rPr>
          <w:rFonts w:hint="eastAsia" w:eastAsia="仿宋"/>
          <w:b/>
          <w:color w:val="000000" w:themeColor="text1"/>
          <w:sz w:val="30"/>
          <w:szCs w:val="72"/>
          <w14:textFill>
            <w14:solidFill>
              <w14:schemeClr w14:val="tx1"/>
            </w14:solidFill>
          </w14:textFill>
        </w:rPr>
        <w:t>政务新媒体安全检查和监测服务</w:t>
      </w:r>
    </w:p>
    <w:p w14:paraId="1CD1BB5B">
      <w:pPr>
        <w:pStyle w:val="2"/>
        <w:rPr>
          <w:rFonts w:eastAsia="仿宋"/>
          <w:b/>
          <w:color w:val="000000" w:themeColor="text1"/>
          <w:sz w:val="30"/>
          <w:szCs w:val="72"/>
          <w14:textFill>
            <w14:solidFill>
              <w14:schemeClr w14:val="tx1"/>
            </w14:solidFill>
          </w14:textFill>
        </w:rPr>
      </w:pPr>
    </w:p>
    <w:p w14:paraId="350D57AB">
      <w:pPr>
        <w:pStyle w:val="2"/>
        <w:rPr>
          <w:rFonts w:hint="eastAsia" w:eastAsia="仿宋"/>
          <w:color w:val="000000" w:themeColor="text1"/>
          <w:lang w:eastAsia="zh-CN"/>
          <w14:textFill>
            <w14:solidFill>
              <w14:schemeClr w14:val="tx1"/>
            </w14:solidFill>
          </w14:textFill>
        </w:rPr>
      </w:pPr>
      <w:r>
        <w:rPr>
          <w:rFonts w:hint="eastAsia" w:eastAsia="仿宋"/>
          <w:b/>
          <w:color w:val="000000" w:themeColor="text1"/>
          <w:sz w:val="30"/>
          <w:szCs w:val="72"/>
          <w14:textFill>
            <w14:solidFill>
              <w14:schemeClr w14:val="tx1"/>
            </w14:solidFill>
          </w14:textFill>
        </w:rPr>
        <w:t>项目编号：LZIC2025-C-00</w:t>
      </w:r>
      <w:r>
        <w:rPr>
          <w:rFonts w:hint="eastAsia" w:eastAsia="仿宋"/>
          <w:b/>
          <w:color w:val="000000" w:themeColor="text1"/>
          <w:sz w:val="30"/>
          <w:szCs w:val="72"/>
          <w:lang w:val="en-US" w:eastAsia="zh-CN"/>
          <w14:textFill>
            <w14:solidFill>
              <w14:schemeClr w14:val="tx1"/>
            </w14:solidFill>
          </w14:textFill>
        </w:rPr>
        <w:t>6</w:t>
      </w:r>
    </w:p>
    <w:p w14:paraId="5BE90B25">
      <w:pPr>
        <w:pStyle w:val="10"/>
        <w:snapToGrid w:val="0"/>
        <w:spacing w:before="120" w:after="120" w:line="360" w:lineRule="auto"/>
        <w:ind w:firstLine="1656" w:firstLineChars="550"/>
        <w:rPr>
          <w:rFonts w:ascii="Times New Roman" w:hAnsi="Times New Roman" w:eastAsia="仿宋"/>
          <w:b/>
          <w:color w:val="000000" w:themeColor="text1"/>
          <w:sz w:val="30"/>
          <w:szCs w:val="72"/>
          <w14:textFill>
            <w14:solidFill>
              <w14:schemeClr w14:val="tx1"/>
            </w14:solidFill>
          </w14:textFill>
        </w:rPr>
      </w:pPr>
    </w:p>
    <w:p w14:paraId="165D63FC">
      <w:pPr>
        <w:pStyle w:val="10"/>
        <w:snapToGrid w:val="0"/>
        <w:spacing w:before="120" w:after="120" w:line="360" w:lineRule="auto"/>
        <w:ind w:firstLine="2397" w:firstLineChars="796"/>
        <w:rPr>
          <w:rFonts w:ascii="Times New Roman" w:hAnsi="Times New Roman" w:eastAsia="仿宋"/>
          <w:b/>
          <w:color w:val="000000" w:themeColor="text1"/>
          <w:sz w:val="30"/>
          <w:szCs w:val="72"/>
          <w14:textFill>
            <w14:solidFill>
              <w14:schemeClr w14:val="tx1"/>
            </w14:solidFill>
          </w14:textFill>
        </w:rPr>
      </w:pPr>
    </w:p>
    <w:p w14:paraId="17D17059">
      <w:pPr>
        <w:pStyle w:val="10"/>
        <w:snapToGrid w:val="0"/>
        <w:spacing w:before="120" w:after="120" w:line="360" w:lineRule="auto"/>
        <w:ind w:firstLine="2397" w:firstLineChars="796"/>
        <w:rPr>
          <w:rFonts w:ascii="Times New Roman" w:hAnsi="Times New Roman" w:eastAsia="仿宋"/>
          <w:b/>
          <w:color w:val="000000" w:themeColor="text1"/>
          <w:sz w:val="30"/>
          <w:szCs w:val="72"/>
          <w14:textFill>
            <w14:solidFill>
              <w14:schemeClr w14:val="tx1"/>
            </w14:solidFill>
          </w14:textFill>
        </w:rPr>
      </w:pPr>
    </w:p>
    <w:p w14:paraId="58CFC9D7">
      <w:pPr>
        <w:pStyle w:val="10"/>
        <w:snapToGrid w:val="0"/>
        <w:spacing w:before="120" w:after="120" w:line="360" w:lineRule="auto"/>
        <w:jc w:val="center"/>
        <w:rPr>
          <w:rFonts w:ascii="Times New Roman" w:hAnsi="Times New Roman" w:eastAsia="仿宋"/>
          <w:b/>
          <w:color w:val="000000" w:themeColor="text1"/>
          <w:sz w:val="30"/>
          <w:szCs w:val="72"/>
          <w14:textFill>
            <w14:solidFill>
              <w14:schemeClr w14:val="tx1"/>
            </w14:solidFill>
          </w14:textFill>
        </w:rPr>
      </w:pPr>
      <w:r>
        <w:rPr>
          <w:rFonts w:ascii="Times New Roman" w:hAnsi="Times New Roman" w:eastAsia="仿宋"/>
          <w:b/>
          <w:color w:val="000000" w:themeColor="text1"/>
          <w:sz w:val="30"/>
          <w:szCs w:val="72"/>
          <w14:textFill>
            <w14:solidFill>
              <w14:schemeClr w14:val="tx1"/>
            </w14:solidFill>
          </w14:textFill>
        </w:rPr>
        <w:t>采购单位：</w:t>
      </w:r>
      <w:r>
        <w:rPr>
          <w:rFonts w:hint="eastAsia" w:ascii="Times New Roman" w:hAnsi="Times New Roman" w:eastAsia="仿宋"/>
          <w:b/>
          <w:color w:val="000000" w:themeColor="text1"/>
          <w:sz w:val="30"/>
          <w:szCs w:val="72"/>
          <w14:textFill>
            <w14:solidFill>
              <w14:schemeClr w14:val="tx1"/>
            </w14:solidFill>
          </w14:textFill>
        </w:rPr>
        <w:t>柳州市信息化建设管理中心</w:t>
      </w:r>
    </w:p>
    <w:p w14:paraId="367F3032">
      <w:pPr>
        <w:spacing w:before="1092" w:beforeLines="350" w:after="468" w:afterLines="150" w:line="400" w:lineRule="exact"/>
        <w:jc w:val="center"/>
        <w:rPr>
          <w:rFonts w:hint="eastAsia" w:ascii="宋体" w:hAnsi="宋体"/>
          <w:b/>
          <w:color w:val="000000" w:themeColor="text1"/>
          <w:sz w:val="44"/>
          <w:szCs w:val="44"/>
          <w14:textFill>
            <w14:solidFill>
              <w14:schemeClr w14:val="tx1"/>
            </w14:solidFill>
          </w14:textFill>
        </w:rPr>
      </w:pPr>
      <w:r>
        <w:rPr>
          <w:rFonts w:eastAsia="仿宋"/>
          <w:b/>
          <w:bCs/>
          <w:color w:val="000000" w:themeColor="text1"/>
          <w:w w:val="95"/>
          <w:sz w:val="30"/>
          <w:szCs w:val="30"/>
          <w14:textFill>
            <w14:solidFill>
              <w14:schemeClr w14:val="tx1"/>
            </w14:solidFill>
          </w14:textFill>
        </w:rPr>
        <w:t>2025年</w:t>
      </w:r>
      <w:r>
        <w:rPr>
          <w:rFonts w:hint="eastAsia" w:eastAsia="仿宋"/>
          <w:b/>
          <w:bCs/>
          <w:color w:val="000000" w:themeColor="text1"/>
          <w:w w:val="95"/>
          <w:sz w:val="30"/>
          <w:szCs w:val="30"/>
          <w14:textFill>
            <w14:solidFill>
              <w14:schemeClr w14:val="tx1"/>
            </w14:solidFill>
          </w14:textFill>
        </w:rPr>
        <w:t>11</w:t>
      </w:r>
      <w:r>
        <w:rPr>
          <w:rFonts w:eastAsia="仿宋"/>
          <w:b/>
          <w:bCs/>
          <w:color w:val="000000" w:themeColor="text1"/>
          <w:w w:val="95"/>
          <w:sz w:val="30"/>
          <w:szCs w:val="30"/>
          <w14:textFill>
            <w14:solidFill>
              <w14:schemeClr w14:val="tx1"/>
            </w14:solidFill>
          </w14:textFill>
        </w:rPr>
        <w:t>月</w:t>
      </w:r>
      <w:r>
        <w:rPr>
          <w:rFonts w:ascii="宋体" w:hAnsi="宋体"/>
          <w:b/>
          <w:color w:val="000000" w:themeColor="text1"/>
          <w:sz w:val="44"/>
          <w:szCs w:val="44"/>
          <w14:textFill>
            <w14:solidFill>
              <w14:schemeClr w14:val="tx1"/>
            </w14:solidFill>
          </w14:textFill>
        </w:rPr>
        <w:br w:type="page"/>
      </w:r>
      <w:r>
        <w:rPr>
          <w:rFonts w:hint="eastAsia" w:ascii="宋体" w:hAnsi="宋体"/>
          <w:b/>
          <w:color w:val="000000" w:themeColor="text1"/>
          <w:sz w:val="44"/>
          <w:szCs w:val="44"/>
          <w14:textFill>
            <w14:solidFill>
              <w14:schemeClr w14:val="tx1"/>
            </w14:solidFill>
          </w14:textFill>
        </w:rPr>
        <w:t>目   录</w:t>
      </w:r>
    </w:p>
    <w:p w14:paraId="4868C801">
      <w:pPr>
        <w:numPr>
          <w:ilvl w:val="0"/>
          <w:numId w:val="1"/>
        </w:numPr>
        <w:spacing w:line="800" w:lineRule="exact"/>
        <w:ind w:left="1077" w:hanging="717"/>
        <w:jc w:val="left"/>
        <w:rPr>
          <w:rFonts w:hint="eastAsia" w:ascii="宋体" w:hAnsi="宋体"/>
          <w:b/>
          <w:color w:val="000000" w:themeColor="text1"/>
          <w:sz w:val="28"/>
          <w:szCs w:val="32"/>
          <w14:textFill>
            <w14:solidFill>
              <w14:schemeClr w14:val="tx1"/>
            </w14:solidFill>
          </w14:textFill>
        </w:rPr>
      </w:pPr>
      <w:r>
        <w:rPr>
          <w:rFonts w:hint="eastAsia" w:ascii="宋体" w:hAnsi="宋体"/>
          <w:b/>
          <w:color w:val="000000" w:themeColor="text1"/>
          <w:sz w:val="28"/>
          <w:szCs w:val="32"/>
          <w14:textFill>
            <w14:solidFill>
              <w14:schemeClr w14:val="tx1"/>
            </w14:solidFill>
          </w14:textFill>
        </w:rPr>
        <w:t>采购公告…………………………………………………………</w:t>
      </w:r>
      <w:r>
        <w:rPr>
          <w:rFonts w:hint="eastAsia" w:ascii="宋体" w:hAnsi="宋体"/>
          <w:b/>
          <w:color w:val="000000" w:themeColor="text1"/>
          <w:sz w:val="28"/>
          <w:szCs w:val="32"/>
          <w:lang w:val="en-US" w:eastAsia="zh-CN"/>
          <w14:textFill>
            <w14:solidFill>
              <w14:schemeClr w14:val="tx1"/>
            </w14:solidFill>
          </w14:textFill>
        </w:rPr>
        <w:t>2</w:t>
      </w:r>
    </w:p>
    <w:p w14:paraId="76CDA008">
      <w:pPr>
        <w:numPr>
          <w:ilvl w:val="0"/>
          <w:numId w:val="1"/>
        </w:numPr>
        <w:spacing w:line="800" w:lineRule="exact"/>
        <w:ind w:left="1077" w:hanging="717"/>
        <w:jc w:val="left"/>
        <w:rPr>
          <w:rFonts w:hint="eastAsia" w:ascii="宋体" w:hAnsi="宋体"/>
          <w:b/>
          <w:color w:val="000000" w:themeColor="text1"/>
          <w:sz w:val="28"/>
          <w:szCs w:val="32"/>
          <w14:textFill>
            <w14:solidFill>
              <w14:schemeClr w14:val="tx1"/>
            </w14:solidFill>
          </w14:textFill>
        </w:rPr>
      </w:pPr>
      <w:r>
        <w:rPr>
          <w:rFonts w:hint="eastAsia" w:hAnsi="宋体"/>
          <w:b/>
          <w:color w:val="000000" w:themeColor="text1"/>
          <w:sz w:val="28"/>
          <w:szCs w:val="32"/>
          <w14:textFill>
            <w14:solidFill>
              <w14:schemeClr w14:val="tx1"/>
            </w14:solidFill>
          </w14:textFill>
        </w:rPr>
        <w:t>服务需求及说明</w:t>
      </w:r>
      <w:r>
        <w:rPr>
          <w:rFonts w:hint="eastAsia" w:ascii="宋体" w:hAnsi="宋体"/>
          <w:b/>
          <w:color w:val="000000" w:themeColor="text1"/>
          <w:sz w:val="28"/>
          <w:szCs w:val="32"/>
          <w14:textFill>
            <w14:solidFill>
              <w14:schemeClr w14:val="tx1"/>
            </w14:solidFill>
          </w14:textFill>
        </w:rPr>
        <w:t>…………………………………………………3</w:t>
      </w:r>
    </w:p>
    <w:p w14:paraId="498152A9">
      <w:pPr>
        <w:numPr>
          <w:ilvl w:val="0"/>
          <w:numId w:val="1"/>
        </w:numPr>
        <w:spacing w:line="800" w:lineRule="exact"/>
        <w:ind w:left="1077" w:hanging="717"/>
        <w:jc w:val="left"/>
        <w:rPr>
          <w:rFonts w:hint="eastAsia" w:ascii="宋体" w:hAnsi="宋体"/>
          <w:b/>
          <w:color w:val="000000" w:themeColor="text1"/>
          <w:sz w:val="28"/>
          <w:szCs w:val="32"/>
          <w14:textFill>
            <w14:solidFill>
              <w14:schemeClr w14:val="tx1"/>
            </w14:solidFill>
          </w14:textFill>
        </w:rPr>
      </w:pPr>
      <w:r>
        <w:rPr>
          <w:rFonts w:hint="eastAsia" w:ascii="宋体" w:hAnsi="宋体"/>
          <w:b/>
          <w:color w:val="000000" w:themeColor="text1"/>
          <w:sz w:val="28"/>
          <w:szCs w:val="32"/>
          <w14:textFill>
            <w14:solidFill>
              <w14:schemeClr w14:val="tx1"/>
            </w14:solidFill>
          </w14:textFill>
        </w:rPr>
        <w:t>评审办法及成交标准……………………………………………6</w:t>
      </w:r>
    </w:p>
    <w:p w14:paraId="014CEBB3">
      <w:pPr>
        <w:numPr>
          <w:ilvl w:val="0"/>
          <w:numId w:val="1"/>
        </w:numPr>
        <w:spacing w:line="800" w:lineRule="exact"/>
        <w:ind w:left="1077" w:hanging="717"/>
        <w:jc w:val="left"/>
        <w:rPr>
          <w:rFonts w:hint="eastAsia" w:ascii="宋体" w:hAnsi="宋体"/>
          <w:b/>
          <w:color w:val="000000" w:themeColor="text1"/>
          <w:sz w:val="28"/>
          <w:szCs w:val="32"/>
          <w14:textFill>
            <w14:solidFill>
              <w14:schemeClr w14:val="tx1"/>
            </w14:solidFill>
          </w14:textFill>
        </w:rPr>
      </w:pPr>
      <w:r>
        <w:rPr>
          <w:rFonts w:hint="eastAsia" w:ascii="宋体" w:hAnsi="宋体"/>
          <w:b/>
          <w:color w:val="000000" w:themeColor="text1"/>
          <w:sz w:val="28"/>
          <w:szCs w:val="32"/>
          <w14:textFill>
            <w14:solidFill>
              <w14:schemeClr w14:val="tx1"/>
            </w14:solidFill>
          </w14:textFill>
        </w:rPr>
        <w:t>响应文件格式……………………………………………………</w:t>
      </w:r>
      <w:r>
        <w:rPr>
          <w:rFonts w:hint="eastAsia" w:ascii="宋体" w:hAnsi="宋体"/>
          <w:b/>
          <w:color w:val="000000" w:themeColor="text1"/>
          <w:sz w:val="28"/>
          <w:szCs w:val="32"/>
          <w:lang w:val="en-US" w:eastAsia="zh-CN"/>
          <w14:textFill>
            <w14:solidFill>
              <w14:schemeClr w14:val="tx1"/>
            </w14:solidFill>
          </w14:textFill>
        </w:rPr>
        <w:t>8</w:t>
      </w:r>
    </w:p>
    <w:p w14:paraId="7EFADE62">
      <w:pPr>
        <w:spacing w:line="400" w:lineRule="exact"/>
        <w:jc w:val="left"/>
        <w:rPr>
          <w:rFonts w:hint="eastAsia" w:ascii="宋体" w:hAnsi="宋体"/>
          <w:b/>
          <w:color w:val="000000" w:themeColor="text1"/>
          <w:sz w:val="32"/>
          <w:szCs w:val="32"/>
          <w14:textFill>
            <w14:solidFill>
              <w14:schemeClr w14:val="tx1"/>
            </w14:solidFill>
          </w14:textFill>
        </w:rPr>
      </w:pPr>
    </w:p>
    <w:p w14:paraId="793243D2">
      <w:pPr>
        <w:spacing w:line="400" w:lineRule="exact"/>
        <w:jc w:val="center"/>
        <w:rPr>
          <w:rFonts w:hint="eastAsia" w:ascii="宋体" w:hAnsi="宋体"/>
          <w:b/>
          <w:color w:val="000000" w:themeColor="text1"/>
          <w:sz w:val="32"/>
          <w:szCs w:val="32"/>
          <w14:textFill>
            <w14:solidFill>
              <w14:schemeClr w14:val="tx1"/>
            </w14:solidFill>
          </w14:textFill>
        </w:rPr>
      </w:pPr>
    </w:p>
    <w:p w14:paraId="1860BC2A">
      <w:pPr>
        <w:spacing w:line="400" w:lineRule="exact"/>
        <w:jc w:val="center"/>
        <w:rPr>
          <w:rFonts w:hint="eastAsia" w:ascii="宋体" w:hAnsi="宋体"/>
          <w:b/>
          <w:color w:val="000000" w:themeColor="text1"/>
          <w:sz w:val="32"/>
          <w:szCs w:val="32"/>
          <w14:textFill>
            <w14:solidFill>
              <w14:schemeClr w14:val="tx1"/>
            </w14:solidFill>
          </w14:textFill>
        </w:rPr>
      </w:pPr>
    </w:p>
    <w:p w14:paraId="521F47E3">
      <w:pPr>
        <w:spacing w:line="400" w:lineRule="exact"/>
        <w:jc w:val="center"/>
        <w:rPr>
          <w:rFonts w:hint="eastAsia" w:ascii="宋体" w:hAnsi="宋体"/>
          <w:b/>
          <w:color w:val="000000" w:themeColor="text1"/>
          <w:sz w:val="32"/>
          <w:szCs w:val="32"/>
          <w14:textFill>
            <w14:solidFill>
              <w14:schemeClr w14:val="tx1"/>
            </w14:solidFill>
          </w14:textFill>
        </w:rPr>
      </w:pPr>
    </w:p>
    <w:p w14:paraId="1515A4E3">
      <w:pPr>
        <w:spacing w:line="400" w:lineRule="exact"/>
        <w:jc w:val="center"/>
        <w:rPr>
          <w:rFonts w:hint="eastAsia" w:ascii="宋体" w:hAnsi="宋体"/>
          <w:b/>
          <w:color w:val="000000" w:themeColor="text1"/>
          <w:sz w:val="32"/>
          <w:szCs w:val="32"/>
          <w14:textFill>
            <w14:solidFill>
              <w14:schemeClr w14:val="tx1"/>
            </w14:solidFill>
          </w14:textFill>
        </w:rPr>
      </w:pPr>
    </w:p>
    <w:p w14:paraId="7A634EA2">
      <w:pPr>
        <w:spacing w:line="400" w:lineRule="exact"/>
        <w:jc w:val="center"/>
        <w:rPr>
          <w:rFonts w:hint="eastAsia" w:ascii="宋体" w:hAnsi="宋体"/>
          <w:b/>
          <w:color w:val="000000" w:themeColor="text1"/>
          <w:sz w:val="32"/>
          <w:szCs w:val="32"/>
          <w14:textFill>
            <w14:solidFill>
              <w14:schemeClr w14:val="tx1"/>
            </w14:solidFill>
          </w14:textFill>
        </w:rPr>
      </w:pPr>
    </w:p>
    <w:p w14:paraId="4ECCA991">
      <w:pPr>
        <w:spacing w:line="400" w:lineRule="exact"/>
        <w:jc w:val="center"/>
        <w:rPr>
          <w:rFonts w:hint="eastAsia" w:ascii="宋体" w:hAnsi="宋体"/>
          <w:b/>
          <w:color w:val="000000" w:themeColor="text1"/>
          <w:sz w:val="32"/>
          <w:szCs w:val="32"/>
          <w14:textFill>
            <w14:solidFill>
              <w14:schemeClr w14:val="tx1"/>
            </w14:solidFill>
          </w14:textFill>
        </w:rPr>
      </w:pPr>
    </w:p>
    <w:p w14:paraId="1C91FE50">
      <w:pPr>
        <w:spacing w:line="400" w:lineRule="exact"/>
        <w:jc w:val="center"/>
        <w:rPr>
          <w:rFonts w:hint="eastAsia" w:ascii="宋体" w:hAnsi="宋体"/>
          <w:b/>
          <w:color w:val="000000" w:themeColor="text1"/>
          <w:sz w:val="32"/>
          <w:szCs w:val="32"/>
          <w14:textFill>
            <w14:solidFill>
              <w14:schemeClr w14:val="tx1"/>
            </w14:solidFill>
          </w14:textFill>
        </w:rPr>
      </w:pPr>
    </w:p>
    <w:p w14:paraId="27D6065A">
      <w:pPr>
        <w:spacing w:line="400" w:lineRule="exact"/>
        <w:jc w:val="center"/>
        <w:rPr>
          <w:rFonts w:hint="eastAsia" w:ascii="宋体" w:hAnsi="宋体"/>
          <w:b/>
          <w:color w:val="000000" w:themeColor="text1"/>
          <w:sz w:val="32"/>
          <w:szCs w:val="32"/>
          <w14:textFill>
            <w14:solidFill>
              <w14:schemeClr w14:val="tx1"/>
            </w14:solidFill>
          </w14:textFill>
        </w:rPr>
      </w:pPr>
    </w:p>
    <w:p w14:paraId="58BE6284">
      <w:pPr>
        <w:spacing w:line="400" w:lineRule="exact"/>
        <w:jc w:val="center"/>
        <w:rPr>
          <w:rFonts w:hint="eastAsia" w:ascii="宋体" w:hAnsi="宋体"/>
          <w:b/>
          <w:color w:val="000000" w:themeColor="text1"/>
          <w:sz w:val="32"/>
          <w:szCs w:val="32"/>
          <w14:textFill>
            <w14:solidFill>
              <w14:schemeClr w14:val="tx1"/>
            </w14:solidFill>
          </w14:textFill>
        </w:rPr>
      </w:pPr>
    </w:p>
    <w:p w14:paraId="1AD64828">
      <w:pPr>
        <w:spacing w:line="400" w:lineRule="exact"/>
        <w:jc w:val="center"/>
        <w:rPr>
          <w:rFonts w:hint="eastAsia" w:ascii="宋体" w:hAnsi="宋体"/>
          <w:b/>
          <w:color w:val="000000" w:themeColor="text1"/>
          <w:sz w:val="32"/>
          <w:szCs w:val="32"/>
          <w14:textFill>
            <w14:solidFill>
              <w14:schemeClr w14:val="tx1"/>
            </w14:solidFill>
          </w14:textFill>
        </w:rPr>
      </w:pPr>
    </w:p>
    <w:p w14:paraId="299AF715">
      <w:pPr>
        <w:spacing w:line="400" w:lineRule="exact"/>
        <w:jc w:val="center"/>
        <w:rPr>
          <w:rFonts w:hint="eastAsia" w:ascii="宋体" w:hAnsi="宋体"/>
          <w:b/>
          <w:color w:val="000000" w:themeColor="text1"/>
          <w:sz w:val="32"/>
          <w:szCs w:val="32"/>
          <w14:textFill>
            <w14:solidFill>
              <w14:schemeClr w14:val="tx1"/>
            </w14:solidFill>
          </w14:textFill>
        </w:rPr>
      </w:pPr>
    </w:p>
    <w:p w14:paraId="39059E39">
      <w:pPr>
        <w:spacing w:line="400" w:lineRule="exact"/>
        <w:rPr>
          <w:rFonts w:hint="eastAsia" w:ascii="宋体" w:hAnsi="宋体"/>
          <w:b/>
          <w:color w:val="000000" w:themeColor="text1"/>
          <w:sz w:val="32"/>
          <w:szCs w:val="32"/>
          <w14:textFill>
            <w14:solidFill>
              <w14:schemeClr w14:val="tx1"/>
            </w14:solidFill>
          </w14:textFill>
        </w:rPr>
      </w:pPr>
    </w:p>
    <w:p w14:paraId="62D99CDC">
      <w:pPr>
        <w:numPr>
          <w:ilvl w:val="0"/>
          <w:numId w:val="2"/>
        </w:numPr>
        <w:spacing w:line="500" w:lineRule="exact"/>
        <w:jc w:val="center"/>
        <w:rPr>
          <w:rFonts w:hint="eastAsia" w:ascii="宋体" w:hAnsi="宋体"/>
          <w:b/>
          <w:color w:val="000000" w:themeColor="text1"/>
          <w:sz w:val="28"/>
          <w:szCs w:val="28"/>
          <w14:textFill>
            <w14:solidFill>
              <w14:schemeClr w14:val="tx1"/>
            </w14:solidFill>
          </w14:textFill>
        </w:rPr>
        <w:sectPr>
          <w:headerReference r:id="rId3" w:type="default"/>
          <w:footerReference r:id="rId5" w:type="default"/>
          <w:headerReference r:id="rId4" w:type="even"/>
          <w:footerReference r:id="rId6" w:type="even"/>
          <w:pgSz w:w="11906" w:h="16838"/>
          <w:pgMar w:top="1304" w:right="1247" w:bottom="1304" w:left="1247" w:header="794" w:footer="992" w:gutter="0"/>
          <w:pgNumType w:fmt="decimal" w:start="0"/>
          <w:cols w:space="720" w:num="1"/>
          <w:titlePg/>
          <w:docGrid w:type="lines" w:linePitch="312" w:charSpace="0"/>
        </w:sectPr>
      </w:pPr>
    </w:p>
    <w:p w14:paraId="67D49C4F">
      <w:pPr>
        <w:numPr>
          <w:ilvl w:val="0"/>
          <w:numId w:val="2"/>
        </w:numPr>
        <w:jc w:val="center"/>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采购公告</w:t>
      </w:r>
    </w:p>
    <w:p w14:paraId="627D8380">
      <w:pPr>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柳州市信息化建设管理中心关于《2025年柳州市政府网站与政务新媒体安全检查和监测服务》采购公告</w:t>
      </w:r>
    </w:p>
    <w:p w14:paraId="042AA88F">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根据工作需要，柳州市信息化建设管理中心计划采购《2025年柳州市政府网站与政务新媒体安全检查和监测服务》项目，欢迎符合条件的供应商参加报价。柳州市信息化建设管理中心将</w:t>
      </w:r>
      <w:r>
        <w:rPr>
          <w:rFonts w:hint="eastAsia" w:ascii="宋体" w:hAnsi="宋体"/>
          <w:bCs/>
          <w:color w:val="000000" w:themeColor="text1"/>
          <w:sz w:val="24"/>
          <w:lang w:val="en-US" w:eastAsia="zh-CN"/>
          <w14:textFill>
            <w14:solidFill>
              <w14:schemeClr w14:val="tx1"/>
            </w14:solidFill>
          </w14:textFill>
        </w:rPr>
        <w:t>参</w:t>
      </w:r>
      <w:bookmarkStart w:id="4" w:name="_GoBack"/>
      <w:bookmarkEnd w:id="4"/>
      <w:r>
        <w:rPr>
          <w:rFonts w:hint="eastAsia" w:ascii="宋体" w:hAnsi="宋体"/>
          <w:bCs/>
          <w:color w:val="000000" w:themeColor="text1"/>
          <w:sz w:val="24"/>
          <w14:textFill>
            <w14:solidFill>
              <w14:schemeClr w14:val="tx1"/>
            </w14:solidFill>
          </w14:textFill>
        </w:rPr>
        <w:t>照《中华人民共和国政府采购法》等有关规定要求，本着遵循公开透明原则、公平竞争原则、公正原则和诚实信用原则，对参与报价的单位进行综合比选后择优确定供应商。有关事项公告如下：</w:t>
      </w:r>
    </w:p>
    <w:p w14:paraId="73912E5E">
      <w:pPr>
        <w:ind w:firstLine="482" w:firstLineChars="200"/>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一、采购项目名称</w:t>
      </w:r>
    </w:p>
    <w:p w14:paraId="23ACC3BC">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项目名称：2025年柳州市政府网站与政务新媒体安全检查和监测服务</w:t>
      </w:r>
    </w:p>
    <w:p w14:paraId="35DDD93E">
      <w:pPr>
        <w:pStyle w:val="2"/>
        <w:ind w:firstLine="480" w:firstLineChars="200"/>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项目编码：</w:t>
      </w:r>
      <w:r>
        <w:rPr>
          <w:rFonts w:ascii="宋体" w:hAnsi="宋体"/>
          <w:bCs/>
          <w:color w:val="000000" w:themeColor="text1"/>
          <w:kern w:val="2"/>
          <w:sz w:val="24"/>
          <w:szCs w:val="24"/>
          <w14:textFill>
            <w14:solidFill>
              <w14:schemeClr w14:val="tx1"/>
            </w14:solidFill>
          </w14:textFill>
        </w:rPr>
        <w:t>LZIC202</w:t>
      </w:r>
      <w:r>
        <w:rPr>
          <w:rFonts w:hint="eastAsia" w:ascii="宋体" w:hAnsi="宋体"/>
          <w:bCs/>
          <w:color w:val="000000" w:themeColor="text1"/>
          <w:kern w:val="2"/>
          <w:sz w:val="24"/>
          <w:szCs w:val="24"/>
          <w14:textFill>
            <w14:solidFill>
              <w14:schemeClr w14:val="tx1"/>
            </w14:solidFill>
          </w14:textFill>
        </w:rPr>
        <w:t>5</w:t>
      </w:r>
      <w:r>
        <w:rPr>
          <w:rFonts w:ascii="宋体" w:hAnsi="宋体"/>
          <w:bCs/>
          <w:color w:val="000000" w:themeColor="text1"/>
          <w:kern w:val="2"/>
          <w:sz w:val="24"/>
          <w:szCs w:val="24"/>
          <w14:textFill>
            <w14:solidFill>
              <w14:schemeClr w14:val="tx1"/>
            </w14:solidFill>
          </w14:textFill>
        </w:rPr>
        <w:t>-C-00</w:t>
      </w:r>
      <w:r>
        <w:rPr>
          <w:rFonts w:hint="eastAsia" w:ascii="宋体" w:hAnsi="宋体"/>
          <w:bCs/>
          <w:color w:val="000000" w:themeColor="text1"/>
          <w:kern w:val="2"/>
          <w:sz w:val="24"/>
          <w:szCs w:val="24"/>
          <w14:textFill>
            <w14:solidFill>
              <w14:schemeClr w14:val="tx1"/>
            </w14:solidFill>
          </w14:textFill>
        </w:rPr>
        <w:t>6</w:t>
      </w:r>
    </w:p>
    <w:p w14:paraId="1AE3E01D">
      <w:pPr>
        <w:ind w:firstLine="482" w:firstLineChars="200"/>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二、项目预算</w:t>
      </w:r>
    </w:p>
    <w:p w14:paraId="3319820A">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项目服务期一年，预算为人民币壹拾玖万元整（¥190,000.00元）。供应商的报价不得超出项目预算，否则按无效投标处理。</w:t>
      </w:r>
    </w:p>
    <w:p w14:paraId="749E9ABD">
      <w:pPr>
        <w:ind w:firstLine="482" w:firstLineChars="200"/>
        <w:jc w:val="left"/>
        <w:rPr>
          <w:rFonts w:hint="eastAsia"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三、项目服务地点</w:t>
      </w:r>
    </w:p>
    <w:p w14:paraId="03A32E17">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柳州市三中路66号</w:t>
      </w:r>
    </w:p>
    <w:p w14:paraId="262BCB59">
      <w:pPr>
        <w:ind w:firstLine="482" w:firstLineChars="200"/>
        <w:jc w:val="left"/>
        <w:rPr>
          <w:rFonts w:hint="eastAsia"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四、采购项目基本情况、采购需求</w:t>
      </w:r>
    </w:p>
    <w:p w14:paraId="7924E880">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详见采购需求。</w:t>
      </w:r>
    </w:p>
    <w:p w14:paraId="17F8682B">
      <w:pPr>
        <w:ind w:firstLine="482" w:firstLineChars="200"/>
        <w:jc w:val="left"/>
        <w:rPr>
          <w:rFonts w:hint="eastAsia"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五、报价人资格要求</w:t>
      </w:r>
    </w:p>
    <w:p w14:paraId="2FC1023A">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1.符合《中华人民共和国政府采购法》第二十二条的规定，国内注册（指按国家有关规定要求注册的）生产或经营本次采购项目内容，同时具备法人资格的供应商。</w:t>
      </w:r>
    </w:p>
    <w:p w14:paraId="1A7F4549">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1F91CFAC">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3.本项目不接受联合体报价。</w:t>
      </w:r>
    </w:p>
    <w:p w14:paraId="37D8BE45">
      <w:pPr>
        <w:ind w:firstLine="482" w:firstLineChars="200"/>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六、相应文件提交</w:t>
      </w:r>
    </w:p>
    <w:p w14:paraId="11082D2B">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提交时间及地址：</w:t>
      </w:r>
    </w:p>
    <w:p w14:paraId="01B984C5">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请于2025年11月27日18：00前将加盖公章的材料以密封报价文件方式（一正一副）</w:t>
      </w:r>
      <w:r>
        <w:rPr>
          <w:rFonts w:hint="eastAsia" w:ascii="宋体" w:hAnsi="宋体"/>
          <w:b/>
          <w:color w:val="000000" w:themeColor="text1"/>
          <w:sz w:val="24"/>
          <w14:textFill>
            <w14:solidFill>
              <w14:schemeClr w14:val="tx1"/>
            </w14:solidFill>
          </w14:textFill>
        </w:rPr>
        <w:t>提交或邮寄</w:t>
      </w:r>
      <w:r>
        <w:rPr>
          <w:rFonts w:hint="eastAsia" w:ascii="宋体" w:hAnsi="宋体"/>
          <w:bCs/>
          <w:color w:val="000000" w:themeColor="text1"/>
          <w:sz w:val="24"/>
          <w14:textFill>
            <w14:solidFill>
              <w14:schemeClr w14:val="tx1"/>
            </w14:solidFill>
          </w14:textFill>
        </w:rPr>
        <w:t>至柳州市信息化建设管理中心，逾期送达的将予以拒收（或作无效报价文件处理）。</w:t>
      </w:r>
    </w:p>
    <w:p w14:paraId="45272B3E">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材料接收地址：</w:t>
      </w:r>
    </w:p>
    <w:p w14:paraId="0AB2D3C7">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柳州市三中路66号1号办公楼117</w:t>
      </w:r>
    </w:p>
    <w:p w14:paraId="09733324">
      <w:pPr>
        <w:ind w:firstLine="482" w:firstLineChars="200"/>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七、我中心将适时组成采购小组，依法确定成交单位</w:t>
      </w:r>
    </w:p>
    <w:p w14:paraId="237DA83F">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1.联系人：张颖  联系电话：0772-2822881 </w:t>
      </w:r>
    </w:p>
    <w:p w14:paraId="26AC4D42">
      <w:pPr>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2.通讯地址：柳州市三中路66号1号办公楼117，邮编：545001。</w:t>
      </w:r>
    </w:p>
    <w:p w14:paraId="3F9551DE">
      <w:pPr>
        <w:pStyle w:val="2"/>
      </w:pPr>
    </w:p>
    <w:p w14:paraId="6808527D"/>
    <w:p w14:paraId="2BE190D2">
      <w:pPr>
        <w:pStyle w:val="2"/>
      </w:pPr>
    </w:p>
    <w:p w14:paraId="79294483"/>
    <w:p w14:paraId="54E6A0E5">
      <w:pPr>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柳州市信息化建设管理中心</w:t>
      </w:r>
    </w:p>
    <w:p w14:paraId="2EB74A6F">
      <w:pPr>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2025年11月21日</w:t>
      </w:r>
    </w:p>
    <w:p w14:paraId="48AF449D">
      <w:pPr>
        <w:rPr>
          <w:rFonts w:hint="eastAsia" w:ascii="宋体" w:hAnsi="宋体"/>
          <w:b/>
          <w:color w:val="000000" w:themeColor="text1"/>
          <w:sz w:val="28"/>
          <w:szCs w:val="32"/>
          <w14:textFill>
            <w14:solidFill>
              <w14:schemeClr w14:val="tx1"/>
            </w14:solidFill>
          </w14:textFill>
        </w:rPr>
      </w:pPr>
    </w:p>
    <w:p w14:paraId="32C55A4D">
      <w:pPr>
        <w:pStyle w:val="10"/>
        <w:snapToGrid w:val="0"/>
        <w:spacing w:line="400" w:lineRule="exact"/>
        <w:ind w:firstLine="562" w:firstLineChars="200"/>
        <w:jc w:val="center"/>
        <w:outlineLvl w:val="0"/>
        <w:rPr>
          <w:rFonts w:hint="eastAsia" w:hAnsi="宋体"/>
          <w:b/>
          <w:color w:val="000000" w:themeColor="text1"/>
          <w:sz w:val="28"/>
          <w:szCs w:val="32"/>
          <w14:textFill>
            <w14:solidFill>
              <w14:schemeClr w14:val="tx1"/>
            </w14:solidFill>
          </w14:textFill>
        </w:rPr>
        <w:sectPr>
          <w:footerReference r:id="rId7" w:type="default"/>
          <w:pgSz w:w="11906" w:h="16838"/>
          <w:pgMar w:top="1104" w:right="999" w:bottom="1080" w:left="1247" w:header="794" w:footer="992" w:gutter="0"/>
          <w:pgNumType w:fmt="decimal"/>
          <w:cols w:space="720" w:num="1"/>
          <w:docGrid w:type="lines" w:linePitch="312" w:charSpace="0"/>
        </w:sectPr>
      </w:pPr>
    </w:p>
    <w:p w14:paraId="0F957123">
      <w:pPr>
        <w:pStyle w:val="10"/>
        <w:snapToGrid w:val="0"/>
        <w:spacing w:line="400" w:lineRule="exact"/>
        <w:ind w:firstLine="562" w:firstLineChars="200"/>
        <w:jc w:val="center"/>
        <w:outlineLvl w:val="0"/>
        <w:rPr>
          <w:rFonts w:hint="eastAsia" w:hAnsi="宋体"/>
          <w:b/>
          <w:color w:val="000000" w:themeColor="text1"/>
          <w:sz w:val="32"/>
          <w:szCs w:val="32"/>
          <w14:textFill>
            <w14:solidFill>
              <w14:schemeClr w14:val="tx1"/>
            </w14:solidFill>
          </w14:textFill>
        </w:rPr>
      </w:pPr>
      <w:r>
        <w:rPr>
          <w:rFonts w:hint="eastAsia" w:hAnsi="宋体"/>
          <w:b/>
          <w:color w:val="000000" w:themeColor="text1"/>
          <w:sz w:val="28"/>
          <w:szCs w:val="32"/>
          <w14:textFill>
            <w14:solidFill>
              <w14:schemeClr w14:val="tx1"/>
            </w14:solidFill>
          </w14:textFill>
        </w:rPr>
        <w:t>第二章 服务需求及说明</w:t>
      </w:r>
    </w:p>
    <w:p w14:paraId="73220D46">
      <w:pPr>
        <w:spacing w:line="56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7C643428">
      <w:pPr>
        <w:spacing w:line="400" w:lineRule="exact"/>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一、总体目标</w:t>
      </w:r>
    </w:p>
    <w:p w14:paraId="2B31DAF1">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第三方监测服务实现对柳州市本级政府网站53个（其中：1个市人民政府门户网站，10个县区人民政府门户网站，42个市直部门网站）和237个政务新媒体（数量以实际为准）运行情况的数据采集、数据处理和数据分析功能，为市本级政府网站与政务新媒体提供监测预警服务，对于单项否决指标和扣分指标时时监测，网站、新媒体可用性、信息更新情况、互动回应情况、服务实用情况以及网站访问状态和错断链情况进行及时预警和告知。根据常态化的监测要求，按照国办和自治区的检查指标以月份、季度和年度为单位，进行检查采样生成月检查情况、季度检查情况和年度总结报告，为</w:t>
      </w:r>
      <w:r>
        <w:rPr>
          <w:rFonts w:hint="eastAsia" w:ascii="宋体" w:hAnsi="宋体" w:cs="宋体"/>
          <w:color w:val="000000" w:themeColor="text1"/>
          <w:sz w:val="24"/>
          <w:lang w:eastAsia="zh-CN"/>
          <w14:textFill>
            <w14:solidFill>
              <w14:schemeClr w14:val="tx1"/>
            </w14:solidFill>
          </w14:textFill>
        </w:rPr>
        <w:t>政府网站与政务</w:t>
      </w:r>
      <w:r>
        <w:rPr>
          <w:rFonts w:hint="eastAsia" w:ascii="宋体" w:hAnsi="宋体" w:cs="宋体"/>
          <w:color w:val="000000" w:themeColor="text1"/>
          <w:sz w:val="24"/>
          <w14:textFill>
            <w14:solidFill>
              <w14:schemeClr w14:val="tx1"/>
            </w14:solidFill>
          </w14:textFill>
        </w:rPr>
        <w:t>新媒体管理部门提供运行情况报告。</w:t>
      </w:r>
    </w:p>
    <w:p w14:paraId="32A9257F">
      <w:pPr>
        <w:spacing w:line="400" w:lineRule="exact"/>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二、服务需求</w:t>
      </w:r>
    </w:p>
    <w:p w14:paraId="1E1039BA">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（一）政府网站与政务新媒体监管PC端系统服务</w:t>
      </w:r>
    </w:p>
    <w:p w14:paraId="6F835E13">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国务院办公厅秘书局关于印发政府网站与政务新媒体检查指标、监管工作年度考核指标》（国办秘函〔2019〕19号）文件要求，利用专业自动监测技术服务，检查网站站点无法访问、栏目不更新、错断链、附件下载、网站响应、IPv6访问监测问题；检查政务新媒体（微信、微博、头条号等）账号安全、泄密事故、发布内容不更新、响应等方面；检查新增稿件及历史稿件内容安全是否存在严重表述错误、是否存在敏感图片、潜在问题等方面进行扫描等。</w:t>
      </w:r>
    </w:p>
    <w:p w14:paraId="1DBCE003">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2.监测数据支持实时在线查看或下载，了解整体网站及政务新媒体的整体健康状况，提供整改通知和反馈的渠道，方便及时整改，提升工作效率；对督办过程进行管理，掌握整改进度。</w:t>
      </w:r>
    </w:p>
    <w:p w14:paraId="71EA9626">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平台功能要求：通过网站和政务新媒体监测平台对网站及政务新媒体开展技术监测，实现监测过程、监测结果和结果整改的全过程留痕可见。供应商必须提供的电脑端监测系统（平台）支持，并满足以下功能需求。</w:t>
      </w:r>
    </w:p>
    <w:p w14:paraId="4F8F1F72">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监测系统和政务新媒体检查系统支持监测总览、数据看板、首页更新情况、栏目更新情况、错敏信息情况、隐私泄露、外链暗链、首页连通性、IPV6监测情况、栏目管理和高级服务（报告服务、数据自查、自定义词）等。</w:t>
      </w:r>
    </w:p>
    <w:p w14:paraId="40B64B21">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（2）提供系统PC端监测系统和网站人工检查复核报告服务有关材料下载。PC端监测系统反映的稿件内容安全是否存在严重错别字和其他潜在问题等方面，提供扫描和内容安全检测服务报告下载等。</w:t>
      </w:r>
    </w:p>
    <w:p w14:paraId="2C6D0E5A">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（3）系统支持服务期间设置的预警机制，预警方式包括：在线预警、微信预警、短信预警或邮件预警等功能。</w:t>
      </w:r>
    </w:p>
    <w:p w14:paraId="45B031A5">
      <w:pPr>
        <w:rPr>
          <w:rFonts w:hint="eastAsia" w:ascii="宋体" w:hAnsi="宋体" w:cs="宋体"/>
          <w:sz w:val="24"/>
        </w:rPr>
      </w:pPr>
    </w:p>
    <w:p w14:paraId="71C29EBE">
      <w:pPr>
        <w:rPr>
          <w:rFonts w:hint="eastAsia" w:ascii="宋体" w:hAnsi="宋体" w:cs="宋体"/>
          <w:sz w:val="24"/>
        </w:rPr>
        <w:sectPr>
          <w:footerReference r:id="rId8" w:type="default"/>
          <w:pgSz w:w="11906" w:h="16838"/>
          <w:pgMar w:top="1104" w:right="999" w:bottom="1080" w:left="1247" w:header="794" w:footer="992" w:gutter="0"/>
          <w:pgNumType w:fmt="decimal"/>
          <w:cols w:space="720" w:num="1"/>
          <w:docGrid w:type="lines" w:linePitch="312" w:charSpace="0"/>
        </w:sectPr>
      </w:pPr>
    </w:p>
    <w:p w14:paraId="2F8A0230">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提供的系统可实时在PC端在线查看是否整改存在问题的错误或下载EXCEL表，支持实时查看错别字是否修改状态提示，支持手动调整状态。采购人可在后台系统了解和掌握网站整体健康状况，并方便及时整改。</w:t>
      </w:r>
    </w:p>
    <w:p w14:paraId="5C82CB45">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（5）提供事后监测服务要求为24小时*7天的PC系统实时监测服务，支持短信、微信等提醒，支持自主增减负责人和提示提醒模式。</w:t>
      </w:r>
    </w:p>
    <w:p w14:paraId="20BCFC1F">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（6）提供网站历史稿件和新增稿件严重表述错误和敏感信息等内容安全问题支持勾选。</w:t>
      </w:r>
    </w:p>
    <w:p w14:paraId="0D20F3E0">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（7）系统支持大数据分析系统展示，系统支持人工复查和及时预警功能。</w:t>
      </w:r>
    </w:p>
    <w:p w14:paraId="44389E35">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（二）政府网站全面检测服务</w:t>
      </w:r>
    </w:p>
    <w:p w14:paraId="4B1A3C2F">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市和县区人民政府门户网站检测报告：对门户网站严格按照《国务院办公厅秘书局关于印发政府网站与政务新媒体检查指标》的三大部分指标（单项否决项、加分项与扣分项）的网站各项指标要求，通过对网站监测数据以及对政策文件、政策解读、解读比例、解读关联、办事内容准确度、表格样表、IPv6改造情况、页面兼容性等信息进行人工核实筛选出具数据报告或问题清单作为服务交付成果。</w:t>
      </w:r>
    </w:p>
    <w:p w14:paraId="4883A440">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市直部门网站检测报告：对市直部门网站严格按照《国务院办公厅秘书局关于印发政府网站与政务新媒体检查指标》第一部分指标（单项否决项）关于网站的各项指标需进行人工核实筛选出具数据报告或问题清单作为服务交付成果。</w:t>
      </w:r>
    </w:p>
    <w:p w14:paraId="7D410888">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3.服务方式：按季度和年度频率提供检测报告方式。</w:t>
      </w:r>
    </w:p>
    <w:p w14:paraId="42F14F14">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（三）政务新媒体全面检测服务</w:t>
      </w:r>
    </w:p>
    <w:p w14:paraId="3E738DE7">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每日或每周对政务新媒体（微信、微博及头条号等）账号安全、泄密事故、发布内容不更新、响应等方面进行自动扫描等，监测结果在系统后台展示，支持用户实时查看和下载，也可通过短信、微信及邮件等方式进行预警；主管单位通过系统后台可以查看管辖区域内政务新媒体的监测情况。</w:t>
      </w:r>
    </w:p>
    <w:p w14:paraId="7217B660">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务新媒体检测报告：严格按照《国务院办公厅秘书局关于印发政府网站与政务新媒体检查指标》中的政务新媒体指标要求，根据系统监测数据，结合人工监测对监测时间点前两周内无更新、无法下载或使用，提供有效互动功能等。通过系统+人工核查中将予以排查；出具数据报告或问题清单，作为服务交付成果。</w:t>
      </w:r>
    </w:p>
    <w:p w14:paraId="12BC6A74">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3.服务方式：每周对提供政务新媒体的更新情况统计表。</w:t>
      </w:r>
    </w:p>
    <w:p w14:paraId="011242B7">
      <w:pPr>
        <w:pStyle w:val="2"/>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4.政务新媒体更名提醒</w:t>
      </w:r>
    </w:p>
    <w:p w14:paraId="6EF9B01D">
      <w:pPr>
        <w:pStyle w:val="2"/>
        <w:ind w:firstLine="480" w:firstLineChars="200"/>
        <w:rPr>
          <w:color w:val="000000" w:themeColor="text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为防止政务新媒体单位未审批改名，在每周检查如发现有政务新媒体跟系统填报的名称不一致，需在列表里备注提醒，以便于采购方能及时通知政务新媒体单位及时按流程审批更名。</w:t>
      </w:r>
    </w:p>
    <w:p w14:paraId="614C9511">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（四）内容安全全面检测服务</w:t>
      </w:r>
    </w:p>
    <w:p w14:paraId="51FF9E77">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每日针对网站与政务新媒体监测的新增稿件提供错敏字隐私内容，暗链等情况进行检查，详情记录相应问题所在位置并给出相应的修改建议等，通过短信、微信及邮件等方式进行预警，可实时查看网站内容安全监测综述报告。主管单位通过系统后台可以查看管辖区域内网站及政务新媒体内容安全的监测情况。</w:t>
      </w:r>
    </w:p>
    <w:p w14:paraId="566F2DA5">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2.政府网站与政务新媒体内容安全审核报告：针对系统对政府网站（政务新媒体）进行全面检测的系统数据，进行人工审核排查并进行总结分析编制报告。</w:t>
      </w:r>
    </w:p>
    <w:p w14:paraId="0236FACC">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3.服务方式：提供7*24小时的系统或平台监测服务，建立六人以上专群服务小组，做到工作日内发现严重错别字的情况下第一时间通知和提醒。</w:t>
      </w:r>
    </w:p>
    <w:p w14:paraId="12400E26">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（五）事前检测平台</w:t>
      </w:r>
    </w:p>
    <w:p w14:paraId="3BD2C86D">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1.基于柳州市集约化网站（拓尔思）平台部署事前监管接口代码，实现对文本内容做事前检查服务。点击纠错，即可对文本内容做错别字/敏感词词扫描。</w:t>
      </w:r>
    </w:p>
    <w:p w14:paraId="35252B8D">
      <w:pPr>
        <w:pStyle w:val="2"/>
        <w:ind w:firstLine="480" w:firstLineChars="20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2.提供10个以上账号的互联网端发稿</w:t>
      </w:r>
      <w:r>
        <w:rPr>
          <w:rFonts w:hint="eastAsia" w:ascii="宋体" w:hAnsi="宋体" w:cs="宋体"/>
          <w:color w:val="000000" w:themeColor="text1"/>
          <w:sz w:val="24"/>
          <w14:textFill>
            <w14:solidFill>
              <w14:schemeClr w14:val="tx1"/>
            </w14:solidFill>
          </w14:textFill>
        </w:rPr>
        <w:t>事前</w:t>
      </w:r>
      <w:r>
        <w:rPr>
          <w:rFonts w:hint="eastAsia" w:ascii="宋体" w:hAnsi="宋体" w:cs="宋体"/>
          <w:color w:val="000000" w:themeColor="text1"/>
          <w:kern w:val="2"/>
          <w:sz w:val="24"/>
          <w:szCs w:val="24"/>
          <w14:textFill>
            <w14:solidFill>
              <w14:schemeClr w14:val="tx1"/>
            </w14:solidFill>
          </w14:textFill>
        </w:rPr>
        <w:t>校对服务，支持多个账户同时在线使用。</w:t>
      </w:r>
    </w:p>
    <w:p w14:paraId="1DEA3511">
      <w:pPr>
        <w:pStyle w:val="2"/>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以云服务方式提供在线检测、文件检测、URL监测、自定义敏感词等功能，针对文本编辑、网站稿件发布、其他稿件发布、URL监测等多个场景的事前检测能力，帮助用户在发稿前有效检测不良信息。实时更新最新字库和功能模块。使用统一的云平台管理账号浏览器登录即可使用，用户无需部署任何软硬件产品。事前监测平台支持上传文件校对，要求支持文件类型必须包含：xls、xlsx、et、doc、docx、wps、txt、html/shtml、ppt、pptx、ofd、pdf、压缩文件格式支持zip、tar、rar仅对压缩文件中以上非压缩格式的文件进行检测， 文件支持30M以下扫描。</w:t>
      </w:r>
    </w:p>
    <w:p w14:paraId="2664841B">
      <w:pPr>
        <w:pStyle w:val="2"/>
        <w:ind w:firstLine="480" w:firstLineChars="200"/>
        <w:rPr>
          <w:rFonts w:hint="eastAsia"/>
        </w:rPr>
      </w:pPr>
      <w:r>
        <w:rPr>
          <w:rFonts w:hint="eastAsia" w:ascii="宋体" w:hAnsi="宋体" w:cs="宋体"/>
          <w:color w:val="000000" w:themeColor="text1"/>
          <w:kern w:val="2"/>
          <w:sz w:val="24"/>
          <w:szCs w:val="24"/>
          <w14:textFill>
            <w14:solidFill>
              <w14:schemeClr w14:val="tx1"/>
            </w14:solidFill>
          </w14:textFill>
        </w:rPr>
        <w:t>3.内容安全监测系统的字库包含领导人姓名、职务和领导人排序错误、涉及敏感错误、法律法规、广告法违禁词、不文明用语、语法性错误、省市县搭配错误、禁用词、重复表述等语法错误不良信息监测内容等词库类别。</w:t>
      </w:r>
    </w:p>
    <w:p w14:paraId="192BE61A">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（六）其他服务</w:t>
      </w:r>
    </w:p>
    <w:p w14:paraId="442732E9">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在合同期内提供必要的业务培训指导，及时报告并全程提供技术支持与配合。</w:t>
      </w:r>
    </w:p>
    <w:p w14:paraId="2ED8E8B7">
      <w:pPr>
        <w:spacing w:line="400" w:lineRule="exact"/>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三、服务成果</w:t>
      </w:r>
    </w:p>
    <w:p w14:paraId="526486AD">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（一）提供市本级政府网站和政务新媒体7*24小时不间断服务，实现严重问题及时预警。</w:t>
      </w:r>
    </w:p>
    <w:p w14:paraId="758F7EA6">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（二）每日、每周、每月自动生成系统监测结果。</w:t>
      </w:r>
    </w:p>
    <w:p w14:paraId="1CFAA469">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（三）每季度出具系统+人工监测报告。</w:t>
      </w:r>
    </w:p>
    <w:p w14:paraId="56821E98">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（四）每年出具年度监测总结报告。</w:t>
      </w:r>
    </w:p>
    <w:p w14:paraId="58DC8DE0">
      <w:pPr>
        <w:spacing w:line="400" w:lineRule="exact"/>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四、服务期限</w:t>
      </w:r>
    </w:p>
    <w:p w14:paraId="203BB05B">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按上一年度服务结束期起1年。</w:t>
      </w:r>
    </w:p>
    <w:p w14:paraId="2CE94EB4">
      <w:pPr>
        <w:spacing w:line="400" w:lineRule="exact"/>
        <w:ind w:firstLine="480" w:firstLineChars="200"/>
        <w:rPr>
          <w:rFonts w:hint="eastAsia" w:ascii="宋体" w:hAnsi="宋体" w:cs="宋体"/>
          <w:color w:val="000000" w:themeColor="text1"/>
          <w:sz w:val="24"/>
          <w14:textFill>
            <w14:solidFill>
              <w14:schemeClr w14:val="tx1"/>
            </w14:solidFill>
          </w14:textFill>
        </w:rPr>
      </w:pPr>
    </w:p>
    <w:p w14:paraId="0D7D1959">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13422987">
      <w:pPr>
        <w:spacing w:line="500" w:lineRule="exact"/>
        <w:jc w:val="center"/>
        <w:outlineLvl w:val="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28"/>
          <w:szCs w:val="32"/>
          <w14:textFill>
            <w14:solidFill>
              <w14:schemeClr w14:val="tx1"/>
            </w14:solidFill>
          </w14:textFill>
        </w:rPr>
        <w:t>第三章 评审办法及成交标准</w:t>
      </w:r>
    </w:p>
    <w:p w14:paraId="6C3FCA60">
      <w:pPr>
        <w:pStyle w:val="10"/>
        <w:spacing w:before="93" w:beforeLines="30" w:after="93" w:afterLines="30"/>
        <w:ind w:firstLine="482" w:firstLineChars="200"/>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综合评分法</w:t>
      </w:r>
    </w:p>
    <w:p w14:paraId="6643B6C4">
      <w:pPr>
        <w:pStyle w:val="10"/>
        <w:spacing w:line="400" w:lineRule="exact"/>
        <w:ind w:firstLine="482" w:firstLineChars="200"/>
        <w:outlineLvl w:val="1"/>
        <w:rPr>
          <w:rFonts w:hint="eastAsia"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一、评审原则</w:t>
      </w:r>
    </w:p>
    <w:p w14:paraId="4EC75AA3">
      <w:pPr>
        <w:pStyle w:val="10"/>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(一)评审小组构成：本项目的评审小组由采购人单位采购小组成员组成，成员人数应当为三人以上（含三人）单数。</w:t>
      </w:r>
    </w:p>
    <w:p w14:paraId="50ED0C76">
      <w:pPr>
        <w:pStyle w:val="10"/>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(二)评审依据：评审小组将以采购文件和响应文件为评定依据进行评审。</w:t>
      </w:r>
    </w:p>
    <w:p w14:paraId="3103DE43">
      <w:pPr>
        <w:pStyle w:val="10"/>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(三)评审办法：采用百分制综合评分法。</w:t>
      </w:r>
    </w:p>
    <w:p w14:paraId="7C72908B">
      <w:pPr>
        <w:pStyle w:val="10"/>
        <w:spacing w:line="400" w:lineRule="exact"/>
        <w:ind w:firstLine="482" w:firstLineChars="200"/>
        <w:outlineLvl w:val="1"/>
        <w:rPr>
          <w:rFonts w:hint="eastAsia"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二、评审方法</w:t>
      </w:r>
    </w:p>
    <w:p w14:paraId="52202D64">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评审小组会对报价人的响应文件资格性和符合性进行检查，对合格的响应文件，采用百分制综合评分法进行评审。</w:t>
      </w:r>
    </w:p>
    <w:p w14:paraId="377A29C6">
      <w:pPr>
        <w:spacing w:line="4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评审小组将以采购文件、响应文件为评审依据，提出最后总得分最高的报价人作为成交人。</w:t>
      </w:r>
    </w:p>
    <w:p w14:paraId="64A15F9A">
      <w:pPr>
        <w:pStyle w:val="10"/>
        <w:spacing w:line="400" w:lineRule="exact"/>
        <w:ind w:left="420"/>
        <w:outlineLvl w:val="1"/>
        <w:rPr>
          <w:rFonts w:hint="eastAsia" w:hAnsi="宋体" w:cs="宋体"/>
          <w:color w:val="000000" w:themeColor="text1"/>
          <w:kern w:val="2"/>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三、评分细则</w:t>
      </w:r>
      <w:r>
        <w:rPr>
          <w:rFonts w:hint="eastAsia" w:hAnsi="宋体" w:cs="宋体"/>
          <w:color w:val="000000" w:themeColor="text1"/>
          <w:kern w:val="2"/>
          <w:sz w:val="24"/>
          <w:szCs w:val="24"/>
          <w14:textFill>
            <w14:solidFill>
              <w14:schemeClr w14:val="tx1"/>
            </w14:solidFill>
          </w14:textFill>
        </w:rPr>
        <w:t>（按四舍五入取至百分位）</w:t>
      </w:r>
    </w:p>
    <w:p w14:paraId="1DDD8C83">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1．价格分……………………………………………（满分10分）</w:t>
      </w:r>
    </w:p>
    <w:p w14:paraId="576430D7">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价格分计算公式：某投标人价格分=基准价（最低投标人报价）/某投标人评标报价金额×10分</w:t>
      </w:r>
    </w:p>
    <w:p w14:paraId="39B28B3C">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 技术分……………………………………………（满分70分）</w:t>
      </w:r>
    </w:p>
    <w:p w14:paraId="1194628D">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（1）监测服务内容响应分（满分40分）：</w:t>
      </w:r>
    </w:p>
    <w:p w14:paraId="04958854">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一档（15）：满足响应文件要求，简单描述了服务内容以及服务方式，方案具有一定的可行性。</w:t>
      </w:r>
    </w:p>
    <w:p w14:paraId="779BAE77">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二档（28）：满足响应文件要求，详细描述了服务内容以及服务方式，并提供有服务保障方案。</w:t>
      </w:r>
    </w:p>
    <w:p w14:paraId="2A811506">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三档（40）：满足响应文件要求，监测服务实施方案详细描述了服务内容以及服务方式；并提供有针对性做出一个市门户人工检查报告、事前监测实施方案和服务保障方案。</w:t>
      </w:r>
    </w:p>
    <w:p w14:paraId="35106285">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（2）监测系统（平台）功能分（满分30分）</w:t>
      </w:r>
    </w:p>
    <w:p w14:paraId="50A04BE7">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一档（10）：监测云系统（平台）功能一般，基本满足监测需求。</w:t>
      </w:r>
    </w:p>
    <w:p w14:paraId="308CB09D">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二档（20）：监测云系统（平台）功能良好，能满足监测需求。</w:t>
      </w:r>
    </w:p>
    <w:p w14:paraId="72BE5FAA">
      <w:pPr>
        <w:pStyle w:val="10"/>
        <w:spacing w:line="400" w:lineRule="exact"/>
        <w:ind w:firstLine="480" w:firstLineChars="200"/>
        <w:outlineLvl w:val="1"/>
        <w:rPr>
          <w:rFonts w:hAnsi="宋体" w:cs="宋体"/>
          <w:color w:val="000000" w:themeColor="text1"/>
          <w:sz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三档（30）：监测云系统（平台）功能先进，能满足全方面监测需求。</w:t>
      </w:r>
      <w:r>
        <w:rPr>
          <w:rFonts w:hint="eastAsia" w:hAnsi="宋体" w:cs="宋体"/>
          <w:color w:val="000000" w:themeColor="text1"/>
          <w:sz w:val="24"/>
          <w14:textFill>
            <w14:solidFill>
              <w14:schemeClr w14:val="tx1"/>
            </w14:solidFill>
          </w14:textFill>
        </w:rPr>
        <w:t>监测云系统（平台）提供监测系统（平台）截图，功能先进，能满足全方面监测需求，系统发现增量信息内容错敏在1天内监测出截图，系统有推送错敏信息对接邮件或短信等功能截图。</w:t>
      </w:r>
    </w:p>
    <w:p w14:paraId="296D5A29">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3.业绩分……………………………………………（满分20分）</w:t>
      </w:r>
    </w:p>
    <w:p w14:paraId="6328ACC3">
      <w:pPr>
        <w:pStyle w:val="10"/>
        <w:spacing w:line="400" w:lineRule="exact"/>
        <w:ind w:firstLine="480" w:firstLineChars="200"/>
        <w:outlineLvl w:val="1"/>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供应商2022年以来有地市级及以上同类项目业绩的（提供合同复印件或相关证明材料），每有一个案例得5分，满分20分。</w:t>
      </w:r>
    </w:p>
    <w:p w14:paraId="2A7894D3">
      <w:pPr>
        <w:pStyle w:val="10"/>
        <w:spacing w:line="400" w:lineRule="exact"/>
        <w:ind w:firstLine="482" w:firstLineChars="200"/>
        <w:outlineLvl w:val="1"/>
        <w:rPr>
          <w:rFonts w:hint="eastAsia"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四、成交候选人推荐原则</w:t>
      </w:r>
    </w:p>
    <w:p w14:paraId="6EF23047">
      <w:pPr>
        <w:spacing w:line="400" w:lineRule="exact"/>
        <w:ind w:firstLine="480" w:firstLineChars="200"/>
        <w:jc w:val="left"/>
        <w:rPr>
          <w:rFonts w:hint="eastAsia" w:ascii="宋体" w:hAnsi="宋体"/>
          <w:bCs/>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hint="eastAsia" w:ascii="宋体" w:hAnsi="宋体" w:cs="宋体"/>
          <w:bCs/>
          <w:color w:val="000000" w:themeColor="text1"/>
          <w:sz w:val="24"/>
          <w14:textFill>
            <w14:solidFill>
              <w14:schemeClr w14:val="tx1"/>
            </w14:solidFill>
          </w14:textFill>
        </w:rPr>
        <w:br w:type="page"/>
      </w:r>
    </w:p>
    <w:p w14:paraId="5C32F486">
      <w:pPr>
        <w:spacing w:line="500" w:lineRule="exact"/>
        <w:ind w:firstLine="3534" w:firstLineChars="1100"/>
        <w:outlineLvl w:val="0"/>
        <w:rPr>
          <w:rFonts w:hint="eastAsia" w:ascii="宋体" w:hAnsi="宋体"/>
          <w:b/>
          <w:color w:val="000000" w:themeColor="text1"/>
          <w:sz w:val="28"/>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28"/>
          <w:szCs w:val="32"/>
          <w14:textFill>
            <w14:solidFill>
              <w14:schemeClr w14:val="tx1"/>
            </w14:solidFill>
          </w14:textFill>
        </w:rPr>
        <w:t>四</w:t>
      </w:r>
      <w:r>
        <w:rPr>
          <w:rFonts w:hint="eastAsia" w:ascii="宋体" w:hAnsi="宋体"/>
          <w:b/>
          <w:color w:val="000000" w:themeColor="text1"/>
          <w:sz w:val="32"/>
          <w:szCs w:val="32"/>
          <w14:textFill>
            <w14:solidFill>
              <w14:schemeClr w14:val="tx1"/>
            </w14:solidFill>
          </w14:textFill>
        </w:rPr>
        <w:t>章</w:t>
      </w:r>
      <w:r>
        <w:rPr>
          <w:rFonts w:hint="eastAsia" w:eastAsia="仿宋_GB2312"/>
          <w:b/>
          <w:bCs/>
          <w:color w:val="000000" w:themeColor="text1"/>
          <w:sz w:val="32"/>
          <w:szCs w:val="32"/>
          <w14:textFill>
            <w14:solidFill>
              <w14:schemeClr w14:val="tx1"/>
            </w14:solidFill>
          </w14:textFill>
        </w:rPr>
        <w:t>响应文件提供资料</w:t>
      </w:r>
    </w:p>
    <w:p w14:paraId="29DBA5B4">
      <w:pPr>
        <w:spacing w:line="500" w:lineRule="exact"/>
        <w:jc w:val="center"/>
        <w:rPr>
          <w:rFonts w:hint="eastAsia" w:ascii="宋体" w:hAnsi="宋体"/>
          <w:b/>
          <w:color w:val="000000" w:themeColor="text1"/>
          <w:sz w:val="28"/>
          <w:szCs w:val="32"/>
          <w14:textFill>
            <w14:solidFill>
              <w14:schemeClr w14:val="tx1"/>
            </w14:solidFill>
          </w14:textFill>
        </w:rPr>
      </w:pPr>
    </w:p>
    <w:p w14:paraId="6A70A8E1">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bookmarkStart w:id="0" w:name="_Toc301424939"/>
      <w:bookmarkStart w:id="1" w:name="_Toc293863061"/>
      <w:bookmarkStart w:id="2" w:name="_Toc293863331"/>
      <w:bookmarkStart w:id="3" w:name="_Toc326217565"/>
      <w:r>
        <w:rPr>
          <w:rFonts w:hint="eastAsia" w:ascii="宋体" w:hAnsi="宋体" w:cs="宋体"/>
          <w:color w:val="000000" w:themeColor="text1"/>
          <w:sz w:val="24"/>
          <w14:textFill>
            <w14:solidFill>
              <w14:schemeClr w14:val="tx1"/>
            </w14:solidFill>
          </w14:textFill>
        </w:rPr>
        <w:t>一、</w:t>
      </w:r>
      <w:bookmarkEnd w:id="0"/>
      <w:bookmarkEnd w:id="1"/>
      <w:bookmarkEnd w:id="2"/>
      <w:bookmarkEnd w:id="3"/>
      <w:r>
        <w:rPr>
          <w:rFonts w:hint="eastAsia" w:ascii="宋体" w:hAnsi="宋体" w:cs="宋体"/>
          <w:color w:val="000000" w:themeColor="text1"/>
          <w:sz w:val="24"/>
          <w14:textFill>
            <w14:solidFill>
              <w14:schemeClr w14:val="tx1"/>
            </w14:solidFill>
          </w14:textFill>
        </w:rPr>
        <w:t>供应商响应文件提供资料（不限于提供以下材料）</w:t>
      </w:r>
    </w:p>
    <w:p w14:paraId="7F0BAC4E">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1.营业执照（三证合一）复印件一份；</w:t>
      </w:r>
    </w:p>
    <w:p w14:paraId="7DDE341A">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2.法定代表人身份证明书（或法定代表人授权委托书）原件；</w:t>
      </w:r>
    </w:p>
    <w:p w14:paraId="5081CEBE">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3.近一年有业绩合同；</w:t>
      </w:r>
    </w:p>
    <w:p w14:paraId="1EE52E42">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4.报价文件一份；</w:t>
      </w:r>
    </w:p>
    <w:p w14:paraId="592C6EA5">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5.内容响应表一份；</w:t>
      </w:r>
    </w:p>
    <w:p w14:paraId="189D9386">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6.技术文件；</w:t>
      </w:r>
    </w:p>
    <w:p w14:paraId="70313E83">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7.联系人及联系电话；</w:t>
      </w:r>
    </w:p>
    <w:p w14:paraId="2C3828B1">
      <w:pPr>
        <w:spacing w:line="40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8.供应商需要说明的其他文件和说明。</w:t>
      </w:r>
    </w:p>
    <w:p w14:paraId="017DE6F2">
      <w:pPr>
        <w:spacing w:line="400" w:lineRule="exact"/>
        <w:ind w:firstLine="480" w:firstLineChars="200"/>
        <w:jc w:val="left"/>
        <w:rPr>
          <w:rFonts w:eastAsia="仿宋"/>
          <w:bCs/>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注：格式自拟，文件必须包含以上1-7内容</w:t>
      </w:r>
    </w:p>
    <w:p w14:paraId="561180D1">
      <w:pPr>
        <w:snapToGrid w:val="0"/>
        <w:spacing w:before="156" w:beforeLines="50" w:after="50"/>
        <w:jc w:val="center"/>
        <w:rPr>
          <w:rFonts w:eastAsia="仿宋"/>
          <w:b/>
          <w:bCs/>
          <w:color w:val="000000" w:themeColor="text1"/>
          <w:sz w:val="52"/>
          <w:szCs w:val="52"/>
          <w14:textFill>
            <w14:solidFill>
              <w14:schemeClr w14:val="tx1"/>
            </w14:solidFill>
          </w14:textFill>
        </w:rPr>
      </w:pPr>
    </w:p>
    <w:p w14:paraId="7887C6E3">
      <w:pPr>
        <w:snapToGrid w:val="0"/>
        <w:spacing w:before="156" w:beforeLines="50" w:after="50"/>
        <w:jc w:val="center"/>
        <w:rPr>
          <w:rFonts w:eastAsia="仿宋"/>
          <w:b/>
          <w:bCs/>
          <w:color w:val="000000" w:themeColor="text1"/>
          <w:sz w:val="52"/>
          <w:szCs w:val="52"/>
          <w14:textFill>
            <w14:solidFill>
              <w14:schemeClr w14:val="tx1"/>
            </w14:solidFill>
          </w14:textFill>
        </w:rPr>
      </w:pPr>
    </w:p>
    <w:p w14:paraId="0BE5EC87">
      <w:pPr>
        <w:snapToGrid w:val="0"/>
        <w:spacing w:before="156" w:beforeLines="50" w:after="50"/>
        <w:jc w:val="center"/>
        <w:rPr>
          <w:rFonts w:eastAsia="仿宋"/>
          <w:b/>
          <w:bCs/>
          <w:color w:val="000000" w:themeColor="text1"/>
          <w:sz w:val="52"/>
          <w:szCs w:val="52"/>
          <w14:textFill>
            <w14:solidFill>
              <w14:schemeClr w14:val="tx1"/>
            </w14:solidFill>
          </w14:textFill>
        </w:rPr>
      </w:pPr>
      <w:r>
        <w:rPr>
          <w:rFonts w:eastAsia="仿宋"/>
          <w:b/>
          <w:bCs/>
          <w:color w:val="000000" w:themeColor="text1"/>
          <w:sz w:val="52"/>
          <w:szCs w:val="52"/>
          <w14:textFill>
            <w14:solidFill>
              <w14:schemeClr w14:val="tx1"/>
            </w14:solidFill>
          </w14:textFill>
        </w:rPr>
        <w:t>响应文件</w:t>
      </w:r>
    </w:p>
    <w:p w14:paraId="0EAFA67A">
      <w:pPr>
        <w:snapToGrid w:val="0"/>
        <w:spacing w:before="156" w:beforeLines="50" w:after="50"/>
        <w:rPr>
          <w:rFonts w:eastAsia="仿宋"/>
          <w:bCs/>
          <w:color w:val="000000" w:themeColor="text1"/>
          <w:sz w:val="24"/>
          <w:szCs w:val="20"/>
          <w14:textFill>
            <w14:solidFill>
              <w14:schemeClr w14:val="tx1"/>
            </w14:solidFill>
          </w14:textFill>
        </w:rPr>
      </w:pPr>
    </w:p>
    <w:p w14:paraId="039248FA">
      <w:pPr>
        <w:snapToGrid w:val="0"/>
        <w:spacing w:before="156" w:beforeLines="50" w:after="50"/>
        <w:ind w:firstLine="1100" w:firstLineChars="393"/>
        <w:rPr>
          <w:rFonts w:eastAsia="仿宋"/>
          <w:bCs/>
          <w:color w:val="000000" w:themeColor="text1"/>
          <w:sz w:val="28"/>
          <w:szCs w:val="28"/>
          <w14:textFill>
            <w14:solidFill>
              <w14:schemeClr w14:val="tx1"/>
            </w14:solidFill>
          </w14:textFill>
        </w:rPr>
      </w:pPr>
      <w:r>
        <w:rPr>
          <w:rFonts w:eastAsia="仿宋"/>
          <w:bCs/>
          <w:color w:val="000000" w:themeColor="text1"/>
          <w:sz w:val="28"/>
          <w:szCs w:val="28"/>
          <w14:textFill>
            <w14:solidFill>
              <w14:schemeClr w14:val="tx1"/>
            </w14:solidFill>
          </w14:textFill>
        </w:rPr>
        <w:t xml:space="preserve">项目名称： </w:t>
      </w:r>
    </w:p>
    <w:p w14:paraId="1E064A35">
      <w:pPr>
        <w:snapToGrid w:val="0"/>
        <w:spacing w:before="156" w:beforeLines="50" w:after="50"/>
        <w:ind w:firstLine="1100" w:firstLineChars="393"/>
        <w:rPr>
          <w:rFonts w:eastAsia="仿宋"/>
          <w:bCs/>
          <w:color w:val="000000" w:themeColor="text1"/>
          <w:sz w:val="28"/>
          <w:szCs w:val="28"/>
          <w14:textFill>
            <w14:solidFill>
              <w14:schemeClr w14:val="tx1"/>
            </w14:solidFill>
          </w14:textFill>
        </w:rPr>
      </w:pPr>
      <w:r>
        <w:rPr>
          <w:rFonts w:eastAsia="仿宋"/>
          <w:bCs/>
          <w:color w:val="000000" w:themeColor="text1"/>
          <w:sz w:val="28"/>
          <w:szCs w:val="28"/>
          <w14:textFill>
            <w14:solidFill>
              <w14:schemeClr w14:val="tx1"/>
            </w14:solidFill>
          </w14:textFill>
        </w:rPr>
        <w:t xml:space="preserve"> </w:t>
      </w:r>
    </w:p>
    <w:p w14:paraId="72598D3F">
      <w:pPr>
        <w:snapToGrid w:val="0"/>
        <w:spacing w:before="156" w:beforeLines="50" w:after="50"/>
        <w:ind w:firstLine="1100" w:firstLineChars="393"/>
        <w:rPr>
          <w:rFonts w:eastAsia="仿宋"/>
          <w:bCs/>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项目编号：</w:t>
      </w:r>
      <w:r>
        <w:rPr>
          <w:rFonts w:eastAsia="仿宋"/>
          <w:bCs/>
          <w:color w:val="000000" w:themeColor="text1"/>
          <w:sz w:val="28"/>
          <w:szCs w:val="28"/>
          <w14:textFill>
            <w14:solidFill>
              <w14:schemeClr w14:val="tx1"/>
            </w14:solidFill>
          </w14:textFill>
        </w:rPr>
        <w:t xml:space="preserve">    </w:t>
      </w:r>
    </w:p>
    <w:p w14:paraId="708C9A5A">
      <w:pPr>
        <w:pStyle w:val="4"/>
        <w:snapToGrid w:val="0"/>
        <w:spacing w:before="50" w:after="50"/>
        <w:ind w:firstLine="1164" w:firstLineChars="416"/>
        <w:rPr>
          <w:rFonts w:eastAsia="仿宋"/>
          <w:bCs/>
          <w:color w:val="000000" w:themeColor="text1"/>
          <w:sz w:val="28"/>
          <w:szCs w:val="28"/>
          <w14:textFill>
            <w14:solidFill>
              <w14:schemeClr w14:val="tx1"/>
            </w14:solidFill>
          </w14:textFill>
        </w:rPr>
      </w:pPr>
    </w:p>
    <w:p w14:paraId="5D0A6142">
      <w:pPr>
        <w:pStyle w:val="4"/>
        <w:snapToGrid w:val="0"/>
        <w:spacing w:before="50" w:after="50"/>
        <w:ind w:firstLine="1164" w:firstLineChars="416"/>
        <w:rPr>
          <w:rFonts w:eastAsia="仿宋"/>
          <w:bCs/>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投标人</w:t>
      </w:r>
      <w:r>
        <w:rPr>
          <w:rFonts w:eastAsia="仿宋"/>
          <w:bCs/>
          <w:color w:val="000000" w:themeColor="text1"/>
          <w:sz w:val="28"/>
          <w:szCs w:val="28"/>
          <w14:textFill>
            <w14:solidFill>
              <w14:schemeClr w14:val="tx1"/>
            </w14:solidFill>
          </w14:textFill>
        </w:rPr>
        <w:t>名称：</w:t>
      </w:r>
      <w:r>
        <w:rPr>
          <w:rFonts w:hint="eastAsia" w:eastAsia="仿宋"/>
          <w:bCs/>
          <w:color w:val="000000" w:themeColor="text1"/>
          <w:sz w:val="28"/>
          <w:szCs w:val="28"/>
          <w14:textFill>
            <w14:solidFill>
              <w14:schemeClr w14:val="tx1"/>
            </w14:solidFill>
          </w14:textFill>
        </w:rPr>
        <w:t>（公章）</w:t>
      </w:r>
    </w:p>
    <w:p w14:paraId="724216D6">
      <w:pPr>
        <w:pStyle w:val="4"/>
        <w:snapToGrid w:val="0"/>
        <w:spacing w:before="50" w:after="50"/>
        <w:ind w:firstLine="1164" w:firstLineChars="416"/>
        <w:rPr>
          <w:rFonts w:eastAsia="仿宋"/>
          <w:bCs/>
          <w:color w:val="000000" w:themeColor="text1"/>
          <w:sz w:val="28"/>
          <w:szCs w:val="28"/>
          <w14:textFill>
            <w14:solidFill>
              <w14:schemeClr w14:val="tx1"/>
            </w14:solidFill>
          </w14:textFill>
        </w:rPr>
      </w:pPr>
    </w:p>
    <w:p w14:paraId="6C73053A">
      <w:pPr>
        <w:pStyle w:val="4"/>
        <w:snapToGrid w:val="0"/>
        <w:spacing w:before="50" w:after="50"/>
        <w:ind w:firstLine="1164" w:firstLineChars="416"/>
        <w:rPr>
          <w:rFonts w:eastAsia="仿宋"/>
          <w:bCs/>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报价人</w:t>
      </w:r>
      <w:r>
        <w:rPr>
          <w:rFonts w:eastAsia="仿宋"/>
          <w:bCs/>
          <w:color w:val="000000" w:themeColor="text1"/>
          <w:sz w:val="28"/>
          <w:szCs w:val="28"/>
          <w14:textFill>
            <w14:solidFill>
              <w14:schemeClr w14:val="tx1"/>
            </w14:solidFill>
          </w14:textFill>
        </w:rPr>
        <w:t>地址：</w:t>
      </w:r>
    </w:p>
    <w:p w14:paraId="139C7B15">
      <w:pPr>
        <w:pStyle w:val="4"/>
        <w:snapToGrid w:val="0"/>
        <w:spacing w:before="50" w:after="50"/>
        <w:ind w:firstLine="1164" w:firstLineChars="416"/>
        <w:rPr>
          <w:rFonts w:eastAsia="仿宋"/>
          <w:bCs/>
          <w:color w:val="000000" w:themeColor="text1"/>
          <w:sz w:val="28"/>
          <w:szCs w:val="28"/>
          <w14:textFill>
            <w14:solidFill>
              <w14:schemeClr w14:val="tx1"/>
            </w14:solidFill>
          </w14:textFill>
        </w:rPr>
      </w:pPr>
    </w:p>
    <w:p w14:paraId="752A9597">
      <w:pPr>
        <w:pStyle w:val="4"/>
        <w:snapToGrid w:val="0"/>
        <w:spacing w:before="50" w:after="50"/>
        <w:ind w:firstLine="1164" w:firstLineChars="416"/>
        <w:rPr>
          <w:rFonts w:eastAsia="仿宋"/>
          <w:bCs/>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联系人及电话：</w:t>
      </w:r>
    </w:p>
    <w:p w14:paraId="7DB9AE33">
      <w:pPr>
        <w:pStyle w:val="4"/>
        <w:snapToGrid w:val="0"/>
        <w:spacing w:before="50" w:after="50"/>
        <w:ind w:firstLine="1120" w:firstLineChars="400"/>
        <w:rPr>
          <w:rFonts w:eastAsia="仿宋"/>
          <w:bCs/>
          <w:color w:val="000000" w:themeColor="text1"/>
          <w:sz w:val="28"/>
          <w:szCs w:val="28"/>
          <w14:textFill>
            <w14:solidFill>
              <w14:schemeClr w14:val="tx1"/>
            </w14:solidFill>
          </w14:textFill>
        </w:rPr>
      </w:pPr>
    </w:p>
    <w:p w14:paraId="575CCD8B">
      <w:pPr>
        <w:snapToGrid w:val="0"/>
        <w:spacing w:before="156" w:beforeLines="50" w:after="50"/>
        <w:ind w:firstLine="4760" w:firstLineChars="1700"/>
        <w:rPr>
          <w:rFonts w:eastAsia="仿宋"/>
          <w:bCs/>
          <w:color w:val="000000" w:themeColor="text1"/>
          <w:sz w:val="28"/>
          <w:szCs w:val="28"/>
          <w14:textFill>
            <w14:solidFill>
              <w14:schemeClr w14:val="tx1"/>
            </w14:solidFill>
          </w14:textFill>
        </w:rPr>
      </w:pPr>
    </w:p>
    <w:p w14:paraId="1E462072">
      <w:pPr>
        <w:snapToGrid w:val="0"/>
        <w:spacing w:before="156" w:beforeLines="50" w:after="50"/>
        <w:ind w:firstLine="645"/>
        <w:jc w:val="center"/>
        <w:rPr>
          <w:rFonts w:eastAsia="仿宋"/>
          <w:bCs/>
          <w:color w:val="000000" w:themeColor="text1"/>
          <w:sz w:val="28"/>
          <w:szCs w:val="28"/>
          <w14:textFill>
            <w14:solidFill>
              <w14:schemeClr w14:val="tx1"/>
            </w14:solidFill>
          </w14:textFill>
        </w:rPr>
      </w:pPr>
      <w:r>
        <w:rPr>
          <w:rFonts w:eastAsia="仿宋"/>
          <w:bCs/>
          <w:color w:val="000000" w:themeColor="text1"/>
          <w:sz w:val="28"/>
          <w:szCs w:val="28"/>
          <w14:textFill>
            <w14:solidFill>
              <w14:schemeClr w14:val="tx1"/>
            </w14:solidFill>
          </w14:textFill>
        </w:rPr>
        <w:t xml:space="preserve">                        年  月  日</w:t>
      </w:r>
    </w:p>
    <w:p w14:paraId="03576BD1">
      <w:pPr>
        <w:snapToGrid w:val="0"/>
        <w:spacing w:before="156" w:beforeLines="50" w:after="50"/>
        <w:ind w:firstLine="645"/>
        <w:rPr>
          <w:rFonts w:eastAsia="仿宋"/>
          <w:bCs/>
          <w:color w:val="000000" w:themeColor="text1"/>
          <w:sz w:val="24"/>
          <w14:textFill>
            <w14:solidFill>
              <w14:schemeClr w14:val="tx1"/>
            </w14:solidFill>
          </w14:textFill>
        </w:rPr>
      </w:pPr>
    </w:p>
    <w:sectPr>
      <w:footerReference r:id="rId9" w:type="default"/>
      <w:pgSz w:w="11906" w:h="16838"/>
      <w:pgMar w:top="1104" w:right="999" w:bottom="1080" w:left="1247" w:header="79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401E">
    <w:pPr>
      <w:pStyle w:val="2"/>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EE5BC7">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4AEE5BC7">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5A716">
    <w:pPr>
      <w:pStyle w:val="2"/>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F5C2C">
    <w:pPr>
      <w:pStyle w:val="2"/>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A21782">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51A21782">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E937">
    <w:pPr>
      <w:pStyle w:val="2"/>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5BCFBF">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1F5BCFBF">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107A">
    <w:pPr>
      <w:pStyle w:val="2"/>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FF32BD">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73FF32BD">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CACC">
    <w:pPr>
      <w:pStyle w:val="11"/>
      <w:pBdr>
        <w:bottom w:val="none" w:color="auto" w:sz="0" w:space="0"/>
      </w:pBdr>
      <w:wordWrap w:val="0"/>
      <w:spacing w:after="48" w:afterLines="20"/>
      <w:jc w:val="right"/>
      <w:rPr>
        <w:rFonts w:hint="eastAsia" w:ascii="楷体" w:hAnsi="楷体" w:eastAsia="楷体"/>
        <w:sz w:val="22"/>
        <w:szCs w:val="21"/>
        <w:u w:val="single"/>
      </w:rPr>
    </w:pPr>
  </w:p>
  <w:p w14:paraId="146CC988">
    <w:pPr>
      <w:rPr>
        <w:rFonts w:hint="eastAsia"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72C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MWUxNzQ1MmU4YWFmOWE0OTNlOGI4YWI0ZGU2ZmEifQ=="/>
  </w:docVars>
  <w:rsids>
    <w:rsidRoot w:val="00AB1BDE"/>
    <w:rsid w:val="0005280F"/>
    <w:rsid w:val="0005349F"/>
    <w:rsid w:val="00053BBD"/>
    <w:rsid w:val="00071FC6"/>
    <w:rsid w:val="000966E4"/>
    <w:rsid w:val="00096A90"/>
    <w:rsid w:val="000B0A64"/>
    <w:rsid w:val="000F5737"/>
    <w:rsid w:val="001D5956"/>
    <w:rsid w:val="001E1787"/>
    <w:rsid w:val="00212A44"/>
    <w:rsid w:val="00214BD0"/>
    <w:rsid w:val="002A6F84"/>
    <w:rsid w:val="002C58F5"/>
    <w:rsid w:val="003A2860"/>
    <w:rsid w:val="003B3085"/>
    <w:rsid w:val="003C4485"/>
    <w:rsid w:val="003D0823"/>
    <w:rsid w:val="00415B62"/>
    <w:rsid w:val="00551582"/>
    <w:rsid w:val="00554C33"/>
    <w:rsid w:val="0056043B"/>
    <w:rsid w:val="00563598"/>
    <w:rsid w:val="005714C6"/>
    <w:rsid w:val="005A1A74"/>
    <w:rsid w:val="005D3872"/>
    <w:rsid w:val="005E1F51"/>
    <w:rsid w:val="0066777F"/>
    <w:rsid w:val="006844C7"/>
    <w:rsid w:val="006E3700"/>
    <w:rsid w:val="0070579E"/>
    <w:rsid w:val="00710463"/>
    <w:rsid w:val="00721390"/>
    <w:rsid w:val="007402CA"/>
    <w:rsid w:val="007756C4"/>
    <w:rsid w:val="007855BF"/>
    <w:rsid w:val="00800F2C"/>
    <w:rsid w:val="00826694"/>
    <w:rsid w:val="00856E58"/>
    <w:rsid w:val="0087050D"/>
    <w:rsid w:val="00887A2B"/>
    <w:rsid w:val="008B5614"/>
    <w:rsid w:val="008C22F0"/>
    <w:rsid w:val="008D383C"/>
    <w:rsid w:val="008D4EE8"/>
    <w:rsid w:val="008F04D2"/>
    <w:rsid w:val="009C27ED"/>
    <w:rsid w:val="00A067C3"/>
    <w:rsid w:val="00A7231B"/>
    <w:rsid w:val="00AB1BDE"/>
    <w:rsid w:val="00B30F36"/>
    <w:rsid w:val="00BF1ED4"/>
    <w:rsid w:val="00C24034"/>
    <w:rsid w:val="00CA7056"/>
    <w:rsid w:val="00CD774A"/>
    <w:rsid w:val="00DF59D7"/>
    <w:rsid w:val="00E27597"/>
    <w:rsid w:val="00E4081A"/>
    <w:rsid w:val="00E55BD7"/>
    <w:rsid w:val="00EC00DA"/>
    <w:rsid w:val="00F623BD"/>
    <w:rsid w:val="00FB4968"/>
    <w:rsid w:val="00FC6150"/>
    <w:rsid w:val="00FE64CC"/>
    <w:rsid w:val="00FF3455"/>
    <w:rsid w:val="0136732D"/>
    <w:rsid w:val="014E5DF5"/>
    <w:rsid w:val="025E5706"/>
    <w:rsid w:val="028642E4"/>
    <w:rsid w:val="02BA5D3C"/>
    <w:rsid w:val="02C24BF1"/>
    <w:rsid w:val="031127D5"/>
    <w:rsid w:val="03B31109"/>
    <w:rsid w:val="03C926DB"/>
    <w:rsid w:val="03CE5F43"/>
    <w:rsid w:val="03F963E6"/>
    <w:rsid w:val="042518DB"/>
    <w:rsid w:val="04335DA6"/>
    <w:rsid w:val="0442389F"/>
    <w:rsid w:val="04AD1AFE"/>
    <w:rsid w:val="04E470A0"/>
    <w:rsid w:val="04EC6495"/>
    <w:rsid w:val="056B20A9"/>
    <w:rsid w:val="057E5747"/>
    <w:rsid w:val="05856AD5"/>
    <w:rsid w:val="05BE78F1"/>
    <w:rsid w:val="05D15877"/>
    <w:rsid w:val="05FD48BE"/>
    <w:rsid w:val="06316315"/>
    <w:rsid w:val="06493413"/>
    <w:rsid w:val="064C5DB5"/>
    <w:rsid w:val="064F0A23"/>
    <w:rsid w:val="06913840"/>
    <w:rsid w:val="06C85C87"/>
    <w:rsid w:val="07153E89"/>
    <w:rsid w:val="07322345"/>
    <w:rsid w:val="07593D76"/>
    <w:rsid w:val="078F3A9F"/>
    <w:rsid w:val="082779D0"/>
    <w:rsid w:val="082E55DF"/>
    <w:rsid w:val="085E53BC"/>
    <w:rsid w:val="08966904"/>
    <w:rsid w:val="08E86AEA"/>
    <w:rsid w:val="091268D2"/>
    <w:rsid w:val="092E1232"/>
    <w:rsid w:val="09685118"/>
    <w:rsid w:val="09BF1E8A"/>
    <w:rsid w:val="09F064E7"/>
    <w:rsid w:val="09F12AB2"/>
    <w:rsid w:val="09F77876"/>
    <w:rsid w:val="0A140428"/>
    <w:rsid w:val="0A206DCD"/>
    <w:rsid w:val="0C0D512F"/>
    <w:rsid w:val="0C175FAD"/>
    <w:rsid w:val="0C6133EF"/>
    <w:rsid w:val="0C8A49D1"/>
    <w:rsid w:val="0C931AD8"/>
    <w:rsid w:val="0D2070E4"/>
    <w:rsid w:val="0D21558D"/>
    <w:rsid w:val="0D7F3E0A"/>
    <w:rsid w:val="0D8633EB"/>
    <w:rsid w:val="0D9D7D6B"/>
    <w:rsid w:val="0DD549EB"/>
    <w:rsid w:val="0E2D3866"/>
    <w:rsid w:val="0EB14497"/>
    <w:rsid w:val="0EC266A4"/>
    <w:rsid w:val="0ED6529C"/>
    <w:rsid w:val="0EFF0C9B"/>
    <w:rsid w:val="0F1531DC"/>
    <w:rsid w:val="0F7A7366"/>
    <w:rsid w:val="0F8C6CB2"/>
    <w:rsid w:val="1001144E"/>
    <w:rsid w:val="105F5486"/>
    <w:rsid w:val="10613C9B"/>
    <w:rsid w:val="10A122E9"/>
    <w:rsid w:val="10BD2719"/>
    <w:rsid w:val="115F4513"/>
    <w:rsid w:val="117B4A09"/>
    <w:rsid w:val="118B3557"/>
    <w:rsid w:val="119B4F8B"/>
    <w:rsid w:val="122B4561"/>
    <w:rsid w:val="123E4148"/>
    <w:rsid w:val="12B878BF"/>
    <w:rsid w:val="12CA5B28"/>
    <w:rsid w:val="131548A6"/>
    <w:rsid w:val="13356166"/>
    <w:rsid w:val="13853036"/>
    <w:rsid w:val="13AC347F"/>
    <w:rsid w:val="13AE369B"/>
    <w:rsid w:val="13B00617"/>
    <w:rsid w:val="141C379C"/>
    <w:rsid w:val="142D2812"/>
    <w:rsid w:val="143E23EE"/>
    <w:rsid w:val="144E2FFD"/>
    <w:rsid w:val="14991C55"/>
    <w:rsid w:val="15D05B4B"/>
    <w:rsid w:val="15D075D8"/>
    <w:rsid w:val="16161084"/>
    <w:rsid w:val="164F4421"/>
    <w:rsid w:val="16CE4118"/>
    <w:rsid w:val="16FB690E"/>
    <w:rsid w:val="17563E2E"/>
    <w:rsid w:val="17AA4179"/>
    <w:rsid w:val="17CA0378"/>
    <w:rsid w:val="189F33C8"/>
    <w:rsid w:val="18C43019"/>
    <w:rsid w:val="18DC4807"/>
    <w:rsid w:val="19641FF0"/>
    <w:rsid w:val="196A07DA"/>
    <w:rsid w:val="19EB461F"/>
    <w:rsid w:val="1AA80041"/>
    <w:rsid w:val="1ABC48F0"/>
    <w:rsid w:val="1B18764C"/>
    <w:rsid w:val="1B391A9C"/>
    <w:rsid w:val="1BB83309"/>
    <w:rsid w:val="1CBC0BD7"/>
    <w:rsid w:val="1CCC06EE"/>
    <w:rsid w:val="1CE52895"/>
    <w:rsid w:val="1CEC4160"/>
    <w:rsid w:val="1CF33ECD"/>
    <w:rsid w:val="1D28001A"/>
    <w:rsid w:val="1D434E54"/>
    <w:rsid w:val="1D7B2840"/>
    <w:rsid w:val="1D85546D"/>
    <w:rsid w:val="1DEC7C46"/>
    <w:rsid w:val="1F8000AA"/>
    <w:rsid w:val="1FD40539"/>
    <w:rsid w:val="205A5DA4"/>
    <w:rsid w:val="20833F56"/>
    <w:rsid w:val="20EA55E7"/>
    <w:rsid w:val="20EE54BB"/>
    <w:rsid w:val="212343F7"/>
    <w:rsid w:val="21A47E8B"/>
    <w:rsid w:val="21F032CF"/>
    <w:rsid w:val="21F760FC"/>
    <w:rsid w:val="225F3B4C"/>
    <w:rsid w:val="226E6690"/>
    <w:rsid w:val="229E0197"/>
    <w:rsid w:val="23517B9F"/>
    <w:rsid w:val="235A3260"/>
    <w:rsid w:val="23971A56"/>
    <w:rsid w:val="23CE2F9E"/>
    <w:rsid w:val="23E92B18"/>
    <w:rsid w:val="24AB6318"/>
    <w:rsid w:val="24CC1ED5"/>
    <w:rsid w:val="24D10F97"/>
    <w:rsid w:val="24D208D2"/>
    <w:rsid w:val="24D34D10"/>
    <w:rsid w:val="24EF141E"/>
    <w:rsid w:val="250514BA"/>
    <w:rsid w:val="25331C52"/>
    <w:rsid w:val="25457290"/>
    <w:rsid w:val="257F7006"/>
    <w:rsid w:val="25867F11"/>
    <w:rsid w:val="25926675"/>
    <w:rsid w:val="25BE380B"/>
    <w:rsid w:val="25FC13F4"/>
    <w:rsid w:val="261E020C"/>
    <w:rsid w:val="26424C2F"/>
    <w:rsid w:val="264C11F7"/>
    <w:rsid w:val="26F73072"/>
    <w:rsid w:val="27514612"/>
    <w:rsid w:val="27553154"/>
    <w:rsid w:val="27572E3D"/>
    <w:rsid w:val="278052E7"/>
    <w:rsid w:val="27995E13"/>
    <w:rsid w:val="27AE55C0"/>
    <w:rsid w:val="280506A4"/>
    <w:rsid w:val="28CD1A76"/>
    <w:rsid w:val="29695C42"/>
    <w:rsid w:val="297B6785"/>
    <w:rsid w:val="2987256D"/>
    <w:rsid w:val="29932CBF"/>
    <w:rsid w:val="2AA50EFC"/>
    <w:rsid w:val="2B2C33CC"/>
    <w:rsid w:val="2B606BD1"/>
    <w:rsid w:val="2B6568DD"/>
    <w:rsid w:val="2B8E1990"/>
    <w:rsid w:val="2BC1139E"/>
    <w:rsid w:val="2BE33277"/>
    <w:rsid w:val="2CB35B02"/>
    <w:rsid w:val="2D7050C6"/>
    <w:rsid w:val="2D7D7F0E"/>
    <w:rsid w:val="2DFC0E9C"/>
    <w:rsid w:val="2E316A79"/>
    <w:rsid w:val="2EFA10EB"/>
    <w:rsid w:val="2EFC30B5"/>
    <w:rsid w:val="2F391C13"/>
    <w:rsid w:val="2F633134"/>
    <w:rsid w:val="2F837332"/>
    <w:rsid w:val="2F897353"/>
    <w:rsid w:val="2FAC314C"/>
    <w:rsid w:val="2FD162F0"/>
    <w:rsid w:val="30C506DF"/>
    <w:rsid w:val="30D07FA5"/>
    <w:rsid w:val="31197F4E"/>
    <w:rsid w:val="3126266B"/>
    <w:rsid w:val="313C59EB"/>
    <w:rsid w:val="31462D0D"/>
    <w:rsid w:val="318022F1"/>
    <w:rsid w:val="31903F88"/>
    <w:rsid w:val="31D9592F"/>
    <w:rsid w:val="31DF7DE0"/>
    <w:rsid w:val="31F44517"/>
    <w:rsid w:val="31F64DA9"/>
    <w:rsid w:val="31F75DB5"/>
    <w:rsid w:val="320D7387"/>
    <w:rsid w:val="32180206"/>
    <w:rsid w:val="32BF0681"/>
    <w:rsid w:val="32FB5998"/>
    <w:rsid w:val="34744645"/>
    <w:rsid w:val="35700359"/>
    <w:rsid w:val="35831E3A"/>
    <w:rsid w:val="359C2EFC"/>
    <w:rsid w:val="35A40002"/>
    <w:rsid w:val="36394B26"/>
    <w:rsid w:val="36932551"/>
    <w:rsid w:val="36EC75AB"/>
    <w:rsid w:val="37172680"/>
    <w:rsid w:val="37623CD1"/>
    <w:rsid w:val="376C4D88"/>
    <w:rsid w:val="37941532"/>
    <w:rsid w:val="38544F66"/>
    <w:rsid w:val="38670524"/>
    <w:rsid w:val="38887767"/>
    <w:rsid w:val="3891208E"/>
    <w:rsid w:val="38A10829"/>
    <w:rsid w:val="38B067D2"/>
    <w:rsid w:val="3A266722"/>
    <w:rsid w:val="3A540249"/>
    <w:rsid w:val="3A84050A"/>
    <w:rsid w:val="3ACA22B9"/>
    <w:rsid w:val="3AE74C19"/>
    <w:rsid w:val="3AF13CEA"/>
    <w:rsid w:val="3B7471A3"/>
    <w:rsid w:val="3B754A61"/>
    <w:rsid w:val="3B8A37F6"/>
    <w:rsid w:val="3BA00F37"/>
    <w:rsid w:val="3BA22C44"/>
    <w:rsid w:val="3BE455FD"/>
    <w:rsid w:val="3BE63123"/>
    <w:rsid w:val="3C485B8B"/>
    <w:rsid w:val="3C832CD1"/>
    <w:rsid w:val="3CAD3D74"/>
    <w:rsid w:val="3CBE11F9"/>
    <w:rsid w:val="3CCA65A0"/>
    <w:rsid w:val="3D034DD0"/>
    <w:rsid w:val="3D4520CB"/>
    <w:rsid w:val="3D680A02"/>
    <w:rsid w:val="3D8C4D41"/>
    <w:rsid w:val="3DBC05DF"/>
    <w:rsid w:val="3DCC6348"/>
    <w:rsid w:val="3DED69EA"/>
    <w:rsid w:val="3E2E636E"/>
    <w:rsid w:val="3E35213F"/>
    <w:rsid w:val="3E636CAD"/>
    <w:rsid w:val="3E815385"/>
    <w:rsid w:val="3E8F1850"/>
    <w:rsid w:val="3EB47508"/>
    <w:rsid w:val="3EEA4CD8"/>
    <w:rsid w:val="3EFB4447"/>
    <w:rsid w:val="3F37269C"/>
    <w:rsid w:val="3F7D3D9E"/>
    <w:rsid w:val="3F842F32"/>
    <w:rsid w:val="3F9410E8"/>
    <w:rsid w:val="3F9D1D4A"/>
    <w:rsid w:val="40994F31"/>
    <w:rsid w:val="40C1736C"/>
    <w:rsid w:val="40E35E83"/>
    <w:rsid w:val="413A5C3B"/>
    <w:rsid w:val="4154112E"/>
    <w:rsid w:val="41592D15"/>
    <w:rsid w:val="417364A2"/>
    <w:rsid w:val="41E77BF5"/>
    <w:rsid w:val="42933225"/>
    <w:rsid w:val="430D61CF"/>
    <w:rsid w:val="436B73EC"/>
    <w:rsid w:val="437F7839"/>
    <w:rsid w:val="43DE6D89"/>
    <w:rsid w:val="43FA212F"/>
    <w:rsid w:val="442672E1"/>
    <w:rsid w:val="4496717C"/>
    <w:rsid w:val="44D34460"/>
    <w:rsid w:val="4564475B"/>
    <w:rsid w:val="457E43CC"/>
    <w:rsid w:val="45DD5D17"/>
    <w:rsid w:val="4638096D"/>
    <w:rsid w:val="463F61A4"/>
    <w:rsid w:val="464B5345"/>
    <w:rsid w:val="46BB040B"/>
    <w:rsid w:val="46C35D27"/>
    <w:rsid w:val="46D71AE1"/>
    <w:rsid w:val="4707219F"/>
    <w:rsid w:val="47395E3D"/>
    <w:rsid w:val="47AB5220"/>
    <w:rsid w:val="47AF4D11"/>
    <w:rsid w:val="47EA2A16"/>
    <w:rsid w:val="4800012E"/>
    <w:rsid w:val="48E21116"/>
    <w:rsid w:val="49221512"/>
    <w:rsid w:val="49224E56"/>
    <w:rsid w:val="493C4382"/>
    <w:rsid w:val="499046CE"/>
    <w:rsid w:val="499E503D"/>
    <w:rsid w:val="49EF7646"/>
    <w:rsid w:val="4A420E14"/>
    <w:rsid w:val="4A435BE4"/>
    <w:rsid w:val="4A4C0E65"/>
    <w:rsid w:val="4A7A3BB1"/>
    <w:rsid w:val="4B133808"/>
    <w:rsid w:val="4B9F32EE"/>
    <w:rsid w:val="4BA40904"/>
    <w:rsid w:val="4BCA036B"/>
    <w:rsid w:val="4C446180"/>
    <w:rsid w:val="4C5E733D"/>
    <w:rsid w:val="4C6836E0"/>
    <w:rsid w:val="4CB61830"/>
    <w:rsid w:val="4D3A32CE"/>
    <w:rsid w:val="4D4C4DB0"/>
    <w:rsid w:val="4E1C4782"/>
    <w:rsid w:val="4E1E674C"/>
    <w:rsid w:val="4E252B4D"/>
    <w:rsid w:val="4E9B1B4B"/>
    <w:rsid w:val="4EDD11DF"/>
    <w:rsid w:val="4F073684"/>
    <w:rsid w:val="4F502B8D"/>
    <w:rsid w:val="4F683EEF"/>
    <w:rsid w:val="4F741B8E"/>
    <w:rsid w:val="4FA222A9"/>
    <w:rsid w:val="4FB355BA"/>
    <w:rsid w:val="4FB37368"/>
    <w:rsid w:val="504E1A5E"/>
    <w:rsid w:val="505043D5"/>
    <w:rsid w:val="507408A5"/>
    <w:rsid w:val="50AE3712"/>
    <w:rsid w:val="50BC10E3"/>
    <w:rsid w:val="51024103"/>
    <w:rsid w:val="51134562"/>
    <w:rsid w:val="511E6A63"/>
    <w:rsid w:val="51493AE0"/>
    <w:rsid w:val="519B6306"/>
    <w:rsid w:val="51B51175"/>
    <w:rsid w:val="51CB46D7"/>
    <w:rsid w:val="51DA5080"/>
    <w:rsid w:val="51E1416A"/>
    <w:rsid w:val="52306A4E"/>
    <w:rsid w:val="5261672F"/>
    <w:rsid w:val="52946FDD"/>
    <w:rsid w:val="52B96A43"/>
    <w:rsid w:val="52BA6E3D"/>
    <w:rsid w:val="52C06024"/>
    <w:rsid w:val="52FB012C"/>
    <w:rsid w:val="53915C12"/>
    <w:rsid w:val="53F71F19"/>
    <w:rsid w:val="54091C4C"/>
    <w:rsid w:val="54576514"/>
    <w:rsid w:val="54B25E40"/>
    <w:rsid w:val="55403CC4"/>
    <w:rsid w:val="555D3FFE"/>
    <w:rsid w:val="55782BE6"/>
    <w:rsid w:val="55E24503"/>
    <w:rsid w:val="561A05B4"/>
    <w:rsid w:val="56494582"/>
    <w:rsid w:val="564E08D4"/>
    <w:rsid w:val="565C542A"/>
    <w:rsid w:val="567F1D52"/>
    <w:rsid w:val="569F0646"/>
    <w:rsid w:val="56B536AE"/>
    <w:rsid w:val="56B934B6"/>
    <w:rsid w:val="57450167"/>
    <w:rsid w:val="57DD4F82"/>
    <w:rsid w:val="587B479B"/>
    <w:rsid w:val="58E546CE"/>
    <w:rsid w:val="592B61C1"/>
    <w:rsid w:val="5934151A"/>
    <w:rsid w:val="598C3104"/>
    <w:rsid w:val="59BD32BD"/>
    <w:rsid w:val="59E56370"/>
    <w:rsid w:val="5A296BA4"/>
    <w:rsid w:val="5A313817"/>
    <w:rsid w:val="5A7668FF"/>
    <w:rsid w:val="5AA12BDF"/>
    <w:rsid w:val="5AE1122D"/>
    <w:rsid w:val="5AE305F3"/>
    <w:rsid w:val="5AEE3BE5"/>
    <w:rsid w:val="5AF820D3"/>
    <w:rsid w:val="5B4A669B"/>
    <w:rsid w:val="5B4B66A7"/>
    <w:rsid w:val="5B5E0B79"/>
    <w:rsid w:val="5BC925AE"/>
    <w:rsid w:val="5BF1724E"/>
    <w:rsid w:val="5C073BD2"/>
    <w:rsid w:val="5C2E04A2"/>
    <w:rsid w:val="5C734107"/>
    <w:rsid w:val="5C82434A"/>
    <w:rsid w:val="5CA00C74"/>
    <w:rsid w:val="5D0D455B"/>
    <w:rsid w:val="5D3D30B2"/>
    <w:rsid w:val="5D5B728C"/>
    <w:rsid w:val="5D681792"/>
    <w:rsid w:val="5DC11D63"/>
    <w:rsid w:val="5E9F5661"/>
    <w:rsid w:val="5EA92062"/>
    <w:rsid w:val="5EE33562"/>
    <w:rsid w:val="5FE55EC1"/>
    <w:rsid w:val="601E303D"/>
    <w:rsid w:val="603B4F3C"/>
    <w:rsid w:val="60581DA0"/>
    <w:rsid w:val="606A5821"/>
    <w:rsid w:val="6072373D"/>
    <w:rsid w:val="61625772"/>
    <w:rsid w:val="62065A49"/>
    <w:rsid w:val="62085870"/>
    <w:rsid w:val="62135DC5"/>
    <w:rsid w:val="621A5814"/>
    <w:rsid w:val="621E2D67"/>
    <w:rsid w:val="622D318F"/>
    <w:rsid w:val="624D53FA"/>
    <w:rsid w:val="62C70D09"/>
    <w:rsid w:val="63E70923"/>
    <w:rsid w:val="63E8695C"/>
    <w:rsid w:val="63E92F01"/>
    <w:rsid w:val="6406462A"/>
    <w:rsid w:val="641C5084"/>
    <w:rsid w:val="64306D81"/>
    <w:rsid w:val="64502F80"/>
    <w:rsid w:val="6477675E"/>
    <w:rsid w:val="6480793D"/>
    <w:rsid w:val="648739B1"/>
    <w:rsid w:val="64BB489D"/>
    <w:rsid w:val="65CC6636"/>
    <w:rsid w:val="66061B92"/>
    <w:rsid w:val="664B39FF"/>
    <w:rsid w:val="669453A6"/>
    <w:rsid w:val="67D5211A"/>
    <w:rsid w:val="68071BA7"/>
    <w:rsid w:val="68227E19"/>
    <w:rsid w:val="68F56360"/>
    <w:rsid w:val="69280E4A"/>
    <w:rsid w:val="695B03FD"/>
    <w:rsid w:val="69627373"/>
    <w:rsid w:val="697D0373"/>
    <w:rsid w:val="69A43B52"/>
    <w:rsid w:val="69A91168"/>
    <w:rsid w:val="69C064B2"/>
    <w:rsid w:val="6A413E64"/>
    <w:rsid w:val="6A535578"/>
    <w:rsid w:val="6A5B1BF8"/>
    <w:rsid w:val="6A722E5C"/>
    <w:rsid w:val="6BA717F9"/>
    <w:rsid w:val="6C07239D"/>
    <w:rsid w:val="6C604227"/>
    <w:rsid w:val="6C762684"/>
    <w:rsid w:val="6C9102FF"/>
    <w:rsid w:val="6C9140BB"/>
    <w:rsid w:val="6D013069"/>
    <w:rsid w:val="6E762673"/>
    <w:rsid w:val="6E7A1325"/>
    <w:rsid w:val="6EDC3D8E"/>
    <w:rsid w:val="6EF47329"/>
    <w:rsid w:val="6EFC51A7"/>
    <w:rsid w:val="6F084B83"/>
    <w:rsid w:val="6F1E6154"/>
    <w:rsid w:val="6F315D49"/>
    <w:rsid w:val="6F415A91"/>
    <w:rsid w:val="6F655B31"/>
    <w:rsid w:val="6F6A0833"/>
    <w:rsid w:val="6F863CF9"/>
    <w:rsid w:val="6FB77DC3"/>
    <w:rsid w:val="700417EE"/>
    <w:rsid w:val="70626515"/>
    <w:rsid w:val="70986CED"/>
    <w:rsid w:val="70D70CB1"/>
    <w:rsid w:val="70F10A19"/>
    <w:rsid w:val="711B3F16"/>
    <w:rsid w:val="712A1FAD"/>
    <w:rsid w:val="71312C91"/>
    <w:rsid w:val="713526CC"/>
    <w:rsid w:val="71415D47"/>
    <w:rsid w:val="718B3849"/>
    <w:rsid w:val="7196420C"/>
    <w:rsid w:val="71CA5FB2"/>
    <w:rsid w:val="71CC00E9"/>
    <w:rsid w:val="71EE2817"/>
    <w:rsid w:val="72E70F53"/>
    <w:rsid w:val="72F773E8"/>
    <w:rsid w:val="73137F9A"/>
    <w:rsid w:val="734168B5"/>
    <w:rsid w:val="738F7621"/>
    <w:rsid w:val="73A40BF2"/>
    <w:rsid w:val="746C1710"/>
    <w:rsid w:val="747A4391"/>
    <w:rsid w:val="74972AE5"/>
    <w:rsid w:val="74B719EB"/>
    <w:rsid w:val="74E90FB2"/>
    <w:rsid w:val="75243D99"/>
    <w:rsid w:val="7592164A"/>
    <w:rsid w:val="75ED5866"/>
    <w:rsid w:val="761A4999"/>
    <w:rsid w:val="767E1BCE"/>
    <w:rsid w:val="76A74C81"/>
    <w:rsid w:val="76B20506"/>
    <w:rsid w:val="76DF6FFA"/>
    <w:rsid w:val="7758241F"/>
    <w:rsid w:val="77A60447"/>
    <w:rsid w:val="7856131C"/>
    <w:rsid w:val="792F71B0"/>
    <w:rsid w:val="794D6496"/>
    <w:rsid w:val="7956298E"/>
    <w:rsid w:val="79AB4A88"/>
    <w:rsid w:val="79D761D7"/>
    <w:rsid w:val="79FE4125"/>
    <w:rsid w:val="7A793FB8"/>
    <w:rsid w:val="7A807CC3"/>
    <w:rsid w:val="7AAB339E"/>
    <w:rsid w:val="7B430CF1"/>
    <w:rsid w:val="7B7535A0"/>
    <w:rsid w:val="7C33189E"/>
    <w:rsid w:val="7C372603"/>
    <w:rsid w:val="7C5C02BC"/>
    <w:rsid w:val="7CA13075"/>
    <w:rsid w:val="7D344D95"/>
    <w:rsid w:val="7DAF266D"/>
    <w:rsid w:val="7DE3422D"/>
    <w:rsid w:val="7E1626EC"/>
    <w:rsid w:val="7E372D8F"/>
    <w:rsid w:val="7EB54AA4"/>
    <w:rsid w:val="7EC76398"/>
    <w:rsid w:val="7ED77E14"/>
    <w:rsid w:val="7EDE145C"/>
    <w:rsid w:val="7EE66F68"/>
    <w:rsid w:val="7F054BD0"/>
    <w:rsid w:val="7FB87EFF"/>
    <w:rsid w:val="7FF4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footer"/>
    <w:basedOn w:val="1"/>
    <w:next w:val="1"/>
    <w:link w:val="24"/>
    <w:qFormat/>
    <w:uiPriority w:val="99"/>
    <w:pPr>
      <w:tabs>
        <w:tab w:val="center" w:pos="4153"/>
        <w:tab w:val="right" w:pos="8306"/>
      </w:tabs>
      <w:snapToGrid w:val="0"/>
      <w:jc w:val="left"/>
    </w:pPr>
    <w:rPr>
      <w:kern w:val="0"/>
      <w:sz w:val="18"/>
      <w:szCs w:val="18"/>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3"/>
    <w:basedOn w:val="1"/>
    <w:qFormat/>
    <w:uiPriority w:val="99"/>
    <w:pPr>
      <w:spacing w:after="120"/>
    </w:pPr>
    <w:rPr>
      <w:sz w:val="16"/>
      <w:szCs w:val="16"/>
    </w:rPr>
  </w:style>
  <w:style w:type="paragraph" w:styleId="7">
    <w:name w:val="Body Text"/>
    <w:basedOn w:val="1"/>
    <w:next w:val="8"/>
    <w:qFormat/>
    <w:uiPriority w:val="0"/>
    <w:pPr>
      <w:jc w:val="center"/>
    </w:pPr>
  </w:style>
  <w:style w:type="paragraph" w:styleId="8">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Plain Text"/>
    <w:basedOn w:val="1"/>
    <w:next w:val="3"/>
    <w:qFormat/>
    <w:uiPriority w:val="0"/>
    <w:rPr>
      <w:rFonts w:ascii="宋体" w:hAnsi="Courier New"/>
      <w:kern w:val="0"/>
      <w:sz w:val="20"/>
      <w:szCs w:val="21"/>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List"/>
    <w:basedOn w:val="1"/>
    <w:qFormat/>
    <w:uiPriority w:val="0"/>
    <w:pPr>
      <w:ind w:left="200" w:hanging="200" w:hangingChars="200"/>
    </w:pPr>
    <w:rPr>
      <w:sz w:val="28"/>
    </w:rPr>
  </w:style>
  <w:style w:type="paragraph" w:styleId="13">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14">
    <w:name w:val="Body Text First Indent 2"/>
    <w:basedOn w:val="9"/>
    <w:qFormat/>
    <w:uiPriority w:val="0"/>
    <w:pPr>
      <w:ind w:firstLine="420" w:firstLineChars="200"/>
    </w:pPr>
  </w:style>
  <w:style w:type="character" w:styleId="17">
    <w:name w:val="Strong"/>
    <w:basedOn w:val="16"/>
    <w:qFormat/>
    <w:uiPriority w:val="0"/>
    <w:rPr>
      <w:b/>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_Style 1"/>
    <w:basedOn w:val="1"/>
    <w:qFormat/>
    <w:uiPriority w:val="34"/>
    <w:pPr>
      <w:spacing w:line="560" w:lineRule="exact"/>
      <w:ind w:firstLine="420" w:firstLineChars="200"/>
    </w:pPr>
    <w:rPr>
      <w:szCs w:val="21"/>
    </w:rPr>
  </w:style>
  <w:style w:type="character" w:customStyle="1" w:styleId="22">
    <w:name w:val="font11"/>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cs="宋体"/>
      <w:lang w:val="zh-CN" w:bidi="zh-CN"/>
    </w:rPr>
  </w:style>
  <w:style w:type="character" w:customStyle="1" w:styleId="24">
    <w:name w:val="页脚 字符"/>
    <w:basedOn w:val="1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5847D-1010-4B1D-AEB9-461521FCF853}">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2589</Words>
  <Characters>2824</Characters>
  <Lines>148</Lines>
  <Paragraphs>77</Paragraphs>
  <TotalTime>401</TotalTime>
  <ScaleCrop>false</ScaleCrop>
  <LinksUpToDate>false</LinksUpToDate>
  <CharactersWithSpaces>5336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2022-08-29T08:52:00Z</dcterms:created>
  <dc:creator>LT</dc:creator>
  <cp:lastModifiedBy>LT</cp:lastModifiedBy>
  <cp:lastPrinted>2024-11-15T07:46:00Z</cp:lastPrinted>
  <dcterms:modified xsi:type="dcterms:W3CDTF">2025-11-21T08:31:47Z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88144EAF0B934441A101F9C5C047C4DA</vt:lpwstr>
  </property>
</Properties>
</file>