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bCs/>
          <w:color w:val="auto"/>
          <w:sz w:val="32"/>
          <w:szCs w:val="32"/>
          <w:highlight w:val="none"/>
        </w:rPr>
      </w:pPr>
      <w:r>
        <w:rPr>
          <w:rFonts w:ascii="Times New Roman" w:hAnsi="Times New Roman" w:eastAsia="黑体" w:cs="Times New Roman"/>
          <w:bCs/>
          <w:color w:val="auto"/>
          <w:sz w:val="32"/>
          <w:szCs w:val="32"/>
          <w:highlight w:val="none"/>
        </w:rPr>
        <w:t>附件1</w:t>
      </w:r>
    </w:p>
    <w:p>
      <w:pPr>
        <w:spacing w:line="560" w:lineRule="exact"/>
        <w:jc w:val="center"/>
        <w:rPr>
          <w:rFonts w:ascii="方正小标宋简体" w:hAnsi="方正小标宋简体" w:eastAsia="方正小标宋简体" w:cs="方正小标宋简体"/>
          <w:bCs/>
          <w:color w:val="auto"/>
          <w:sz w:val="44"/>
          <w:szCs w:val="44"/>
          <w:highlight w:val="none"/>
        </w:rPr>
      </w:pPr>
    </w:p>
    <w:p>
      <w:pPr>
        <w:spacing w:line="560" w:lineRule="exact"/>
        <w:jc w:val="center"/>
        <w:rPr>
          <w:rFonts w:ascii="方正小标宋简体" w:hAnsi="方正小标宋简体" w:eastAsia="方正小标宋简体" w:cs="方正小标宋简体"/>
          <w:bCs/>
          <w:color w:val="auto"/>
          <w:sz w:val="44"/>
          <w:szCs w:val="44"/>
          <w:highlight w:val="none"/>
        </w:rPr>
      </w:pPr>
      <w:bookmarkStart w:id="0" w:name="_GoBack"/>
      <w:r>
        <w:rPr>
          <w:rFonts w:hint="eastAsia" w:ascii="方正小标宋简体" w:hAnsi="方正小标宋简体" w:eastAsia="方正小标宋简体" w:cs="方正小标宋简体"/>
          <w:bCs/>
          <w:color w:val="auto"/>
          <w:sz w:val="44"/>
          <w:szCs w:val="44"/>
          <w:highlight w:val="none"/>
        </w:rPr>
        <w:t>医疗保障服务窗口示范点标准（试行）</w:t>
      </w:r>
    </w:p>
    <w:bookmarkEnd w:id="0"/>
    <w:p>
      <w:pPr>
        <w:spacing w:line="560" w:lineRule="exact"/>
        <w:ind w:firstLine="5120" w:firstLineChars="1600"/>
        <w:rPr>
          <w:rFonts w:ascii="Times New Roman" w:hAnsi="Times New Roman" w:eastAsia="仿宋_GB2312" w:cs="Times New Roman"/>
          <w:bCs/>
          <w:color w:val="auto"/>
          <w:sz w:val="32"/>
          <w:szCs w:val="32"/>
          <w:highlight w:val="none"/>
        </w:rPr>
      </w:pPr>
    </w:p>
    <w:p>
      <w:pPr>
        <w:spacing w:line="560" w:lineRule="exact"/>
        <w:ind w:firstLine="640" w:firstLineChars="200"/>
        <w:rPr>
          <w:rFonts w:hint="eastAsia" w:ascii="Times New Roman" w:hAnsi="Times New Roman" w:eastAsia="仿宋_GB2312" w:cs="Times New Roman"/>
          <w:bCs/>
          <w:color w:val="auto"/>
          <w:sz w:val="32"/>
          <w:szCs w:val="32"/>
          <w:highlight w:val="none"/>
          <w:lang w:eastAsia="zh-CN"/>
        </w:rPr>
      </w:pPr>
      <w:r>
        <w:rPr>
          <w:rFonts w:ascii="Times New Roman" w:hAnsi="Times New Roman" w:eastAsia="仿宋_GB2312" w:cs="Times New Roman"/>
          <w:bCs/>
          <w:color w:val="auto"/>
          <w:sz w:val="32"/>
          <w:szCs w:val="32"/>
          <w:highlight w:val="none"/>
        </w:rPr>
        <w:t>为优化医疗保障公共管理服务，推进医疗保障服务标准化，进一步加强医疗保障服务窗口建设，制定如下标准</w:t>
      </w:r>
      <w:r>
        <w:rPr>
          <w:rFonts w:hint="eastAsia" w:ascii="Times New Roman" w:hAnsi="Times New Roman" w:eastAsia="仿宋_GB2312" w:cs="Times New Roman"/>
          <w:bCs/>
          <w:color w:val="auto"/>
          <w:sz w:val="32"/>
          <w:szCs w:val="32"/>
          <w:highlight w:val="none"/>
          <w:lang w:eastAsia="zh-CN"/>
        </w:rPr>
        <w:t>：</w:t>
      </w:r>
    </w:p>
    <w:p>
      <w:pPr>
        <w:spacing w:line="560" w:lineRule="exact"/>
        <w:ind w:firstLine="640" w:firstLineChars="20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一、建设范围</w:t>
      </w:r>
    </w:p>
    <w:p>
      <w:pPr>
        <w:spacing w:line="560" w:lineRule="exact"/>
        <w:ind w:firstLine="640" w:firstLineChars="200"/>
        <w:rPr>
          <w:rFonts w:ascii="Times New Roman" w:hAnsi="Times New Roman" w:eastAsia="仿宋_GB2312" w:cs="Times New Roman"/>
          <w:bCs/>
          <w:color w:val="auto"/>
          <w:sz w:val="32"/>
          <w:szCs w:val="32"/>
          <w:highlight w:val="none"/>
        </w:rPr>
      </w:pPr>
      <w:r>
        <w:rPr>
          <w:rFonts w:ascii="Times New Roman" w:hAnsi="Times New Roman" w:eastAsia="仿宋_GB2312" w:cs="Times New Roman"/>
          <w:bCs/>
          <w:color w:val="auto"/>
          <w:sz w:val="32"/>
          <w:szCs w:val="32"/>
          <w:highlight w:val="none"/>
        </w:rPr>
        <w:t>医疗保障服务窗口示范点建设范围为市、县（区）级医疗保障经办机构服务窗口。已入驻各级政府政务服务大厅的医疗保障窗口，服务质量和水平达到本标准的可参与建设。</w:t>
      </w:r>
    </w:p>
    <w:p>
      <w:pPr>
        <w:spacing w:line="560" w:lineRule="exact"/>
        <w:ind w:firstLine="640" w:firstLineChars="200"/>
        <w:rPr>
          <w:rFonts w:ascii="黑体" w:hAnsi="黑体" w:eastAsia="黑体" w:cs="黑体"/>
          <w:bCs/>
          <w:color w:val="auto"/>
          <w:sz w:val="32"/>
          <w:szCs w:val="32"/>
          <w:highlight w:val="none"/>
        </w:rPr>
      </w:pPr>
      <w:r>
        <w:rPr>
          <w:rFonts w:ascii="黑体" w:hAnsi="黑体" w:eastAsia="黑体" w:cs="黑体"/>
          <w:bCs/>
          <w:color w:val="auto"/>
          <w:sz w:val="32"/>
          <w:szCs w:val="32"/>
          <w:highlight w:val="none"/>
        </w:rPr>
        <w:t>二、建设标准</w:t>
      </w:r>
    </w:p>
    <w:p>
      <w:pPr>
        <w:spacing w:line="560" w:lineRule="exact"/>
        <w:ind w:firstLine="640" w:firstLineChars="200"/>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（一）法律法规严格贯彻。</w:t>
      </w:r>
    </w:p>
    <w:p>
      <w:pPr>
        <w:spacing w:line="560" w:lineRule="exact"/>
        <w:ind w:firstLine="640" w:firstLineChars="200"/>
        <w:rPr>
          <w:rFonts w:ascii="Times New Roman" w:hAnsi="Times New Roman" w:eastAsia="仿宋_GB2312" w:cs="Times New Roman"/>
          <w:bCs/>
          <w:color w:val="auto"/>
          <w:sz w:val="32"/>
          <w:szCs w:val="32"/>
          <w:highlight w:val="none"/>
        </w:rPr>
      </w:pPr>
      <w:r>
        <w:rPr>
          <w:rFonts w:ascii="Times New Roman" w:hAnsi="Times New Roman" w:eastAsia="仿宋_GB2312" w:cs="Times New Roman"/>
          <w:bCs/>
          <w:color w:val="auto"/>
          <w:sz w:val="32"/>
          <w:szCs w:val="32"/>
          <w:highlight w:val="none"/>
        </w:rPr>
        <w:t>按照医疗保障相关法律法规及政策开展医疗保障服务，履行相应职责，开展业务经办，公平公正对待服务对象，规范医疗保障经办行为，切实保障参保群众的合法权益。严格执行财经纪律，无违规使用财政补助资金、基本医疗保险基金（含生育保险）、医疗救助基金或违反法律法规挪作其他用途的行为。无通过欺诈、伪造证明材料或者其他手段骗取上述资金的情形。凡出现相关问题的，实行一票否决，不得定为示范点。</w:t>
      </w:r>
    </w:p>
    <w:p>
      <w:pPr>
        <w:spacing w:line="560" w:lineRule="exact"/>
        <w:ind w:firstLine="640" w:firstLineChars="200"/>
        <w:rPr>
          <w:rFonts w:ascii="楷体_GB2312" w:hAnsi="楷体_GB2312" w:eastAsia="楷体_GB2312" w:cs="楷体_GB2312"/>
          <w:bCs/>
          <w:color w:val="auto"/>
          <w:sz w:val="32"/>
          <w:szCs w:val="32"/>
          <w:highlight w:val="none"/>
        </w:rPr>
      </w:pPr>
      <w:r>
        <w:rPr>
          <w:rFonts w:ascii="楷体_GB2312" w:hAnsi="楷体_GB2312" w:eastAsia="楷体_GB2312" w:cs="楷体_GB2312"/>
          <w:bCs/>
          <w:color w:val="auto"/>
          <w:sz w:val="32"/>
          <w:szCs w:val="32"/>
          <w:highlight w:val="none"/>
        </w:rPr>
        <w:t>（二）清单制度落实到位。</w:t>
      </w:r>
    </w:p>
    <w:p>
      <w:pPr>
        <w:spacing w:line="560" w:lineRule="exact"/>
        <w:ind w:firstLine="640" w:firstLineChars="200"/>
        <w:rPr>
          <w:rFonts w:ascii="Times New Roman" w:hAnsi="Times New Roman" w:eastAsia="仿宋_GB2312" w:cs="Times New Roman"/>
          <w:bCs/>
          <w:color w:val="auto"/>
          <w:sz w:val="32"/>
          <w:szCs w:val="32"/>
          <w:highlight w:val="none"/>
        </w:rPr>
      </w:pPr>
      <w:r>
        <w:rPr>
          <w:rFonts w:ascii="Times New Roman" w:hAnsi="Times New Roman" w:eastAsia="仿宋_GB2312" w:cs="Times New Roman"/>
          <w:bCs/>
          <w:color w:val="auto"/>
          <w:sz w:val="32"/>
          <w:szCs w:val="32"/>
          <w:highlight w:val="none"/>
        </w:rPr>
        <w:t>严格贯彻落实全国医疗保障经办政务服务事项清单制度，根据清单印发办事指南，办事指南编制应符合《国家医疗保障局关于印发全国医疗保障经办政务服务事项清单的通知》（医保发</w:t>
      </w:r>
      <w:r>
        <w:rPr>
          <w:rFonts w:hint="eastAsia" w:ascii="Times New Roman" w:hAnsi="Times New Roman" w:eastAsia="仿宋_GB2312" w:cs="Times New Roman"/>
          <w:bCs/>
          <w:color w:val="auto"/>
          <w:sz w:val="32"/>
          <w:szCs w:val="32"/>
          <w:highlight w:val="none"/>
        </w:rPr>
        <w:t>〔2020〕18</w:t>
      </w:r>
      <w:r>
        <w:rPr>
          <w:rFonts w:ascii="Times New Roman" w:hAnsi="Times New Roman" w:eastAsia="仿宋_GB2312" w:cs="Times New Roman"/>
          <w:bCs/>
          <w:color w:val="auto"/>
          <w:sz w:val="32"/>
          <w:szCs w:val="32"/>
          <w:highlight w:val="none"/>
        </w:rPr>
        <w:t>号）要求。</w:t>
      </w:r>
      <w:r>
        <w:rPr>
          <w:rFonts w:hint="eastAsia" w:ascii="仿宋_GB2312" w:hAnsi="仿宋_GB2312" w:eastAsia="仿宋_GB2312" w:cs="仿宋_GB2312"/>
          <w:bCs/>
          <w:color w:val="auto"/>
          <w:sz w:val="32"/>
          <w:szCs w:val="32"/>
          <w:highlight w:val="none"/>
        </w:rPr>
        <w:t>贯彻落实“四最”“六统一”要求，在全国清单基础上进一步精简办理材料、简化办理流程、缩短办理时限，取消不必要的环节和手续，打造群众满意的医疗保障服务。落实《医疗保障经办政务服务事项操作规范（试行）》，不断规范服务事项经办操作流程，推进业务办理标准化。</w:t>
      </w:r>
    </w:p>
    <w:p>
      <w:pPr>
        <w:spacing w:line="560" w:lineRule="exact"/>
        <w:ind w:firstLine="640" w:firstLineChars="200"/>
        <w:rPr>
          <w:rFonts w:ascii="楷体_GB2312" w:hAnsi="楷体_GB2312" w:eastAsia="楷体_GB2312" w:cs="楷体_GB2312"/>
          <w:bCs/>
          <w:color w:val="auto"/>
          <w:sz w:val="32"/>
          <w:szCs w:val="32"/>
          <w:highlight w:val="none"/>
        </w:rPr>
      </w:pPr>
      <w:r>
        <w:rPr>
          <w:rFonts w:ascii="楷体_GB2312" w:hAnsi="楷体_GB2312" w:eastAsia="楷体_GB2312" w:cs="楷体_GB2312"/>
          <w:bCs/>
          <w:color w:val="auto"/>
          <w:sz w:val="32"/>
          <w:szCs w:val="32"/>
          <w:highlight w:val="none"/>
        </w:rPr>
        <w:t>（三）经办服务提质增效。</w:t>
      </w:r>
    </w:p>
    <w:p>
      <w:pPr>
        <w:spacing w:line="560" w:lineRule="exact"/>
        <w:ind w:firstLine="640" w:firstLineChars="200"/>
        <w:rPr>
          <w:rFonts w:ascii="Times New Roman" w:hAnsi="Times New Roman" w:eastAsia="仿宋_GB2312" w:cs="Times New Roman"/>
          <w:bCs/>
          <w:color w:val="auto"/>
          <w:sz w:val="32"/>
          <w:szCs w:val="32"/>
          <w:highlight w:val="none"/>
        </w:rPr>
      </w:pPr>
      <w:r>
        <w:rPr>
          <w:rFonts w:ascii="Times New Roman" w:hAnsi="Times New Roman" w:eastAsia="仿宋_GB2312" w:cs="Times New Roman"/>
          <w:bCs/>
          <w:color w:val="auto"/>
          <w:sz w:val="32"/>
          <w:szCs w:val="32"/>
          <w:highlight w:val="none"/>
        </w:rPr>
        <w:t>坚持传统服务方式与智能化服务并行，提高服务适老化程度。至少开通窗口、网络、电话、移动终端4种服务渠道。落实首问负责制度、一次性告知制度、限时办结制度、同岗替代制度、信息公开制度、责任追究制度、延时服务制度、帮办代办制度等服务制度，推行文明服务，提高服务效率。建立健全窗口人员管理机制。共产党员（</w:t>
      </w:r>
      <w:r>
        <w:rPr>
          <w:rFonts w:hint="eastAsia" w:ascii="仿宋_GB2312" w:hAnsi="仿宋_GB2312" w:eastAsia="仿宋_GB2312" w:cs="仿宋_GB2312"/>
          <w:bCs/>
          <w:color w:val="auto"/>
          <w:sz w:val="32"/>
          <w:szCs w:val="32"/>
          <w:highlight w:val="none"/>
        </w:rPr>
        <w:t>共青团员）在工作期间应佩戴党（团）徽主动亮明身份，发挥先锋示范作用。实现数据共享应用，按时完成跨省通办事项。完善医保公共服务子系统，畅通“网办掌办”渠道，办理事项可“网办掌办”率</w:t>
      </w:r>
      <w:r>
        <w:rPr>
          <w:rFonts w:ascii="Times New Roman" w:hAnsi="Times New Roman" w:eastAsia="仿宋_GB2312" w:cs="Times New Roman"/>
          <w:bCs/>
          <w:color w:val="auto"/>
          <w:sz w:val="32"/>
          <w:szCs w:val="32"/>
          <w:highlight w:val="none"/>
        </w:rPr>
        <w:t>不低于80%。</w:t>
      </w:r>
    </w:p>
    <w:p>
      <w:pPr>
        <w:spacing w:line="560" w:lineRule="exact"/>
        <w:ind w:firstLine="640" w:firstLineChars="200"/>
        <w:rPr>
          <w:rFonts w:ascii="楷体_GB2312" w:hAnsi="楷体_GB2312" w:eastAsia="楷体_GB2312" w:cs="楷体_GB2312"/>
          <w:bCs/>
          <w:color w:val="auto"/>
          <w:sz w:val="32"/>
          <w:szCs w:val="32"/>
          <w:highlight w:val="none"/>
        </w:rPr>
      </w:pPr>
      <w:r>
        <w:rPr>
          <w:rFonts w:ascii="楷体_GB2312" w:hAnsi="楷体_GB2312" w:eastAsia="楷体_GB2312" w:cs="楷体_GB2312"/>
          <w:bCs/>
          <w:color w:val="auto"/>
          <w:sz w:val="32"/>
          <w:szCs w:val="32"/>
          <w:highlight w:val="none"/>
        </w:rPr>
        <w:t>（四）办事流程公开透明。</w:t>
      </w:r>
    </w:p>
    <w:p>
      <w:pPr>
        <w:spacing w:line="560" w:lineRule="exact"/>
        <w:ind w:firstLine="640" w:firstLineChars="200"/>
        <w:rPr>
          <w:rFonts w:ascii="Times New Roman" w:hAnsi="Times New Roman" w:eastAsia="仿宋_GB2312" w:cs="Times New Roman"/>
          <w:bCs/>
          <w:color w:val="auto"/>
          <w:sz w:val="32"/>
          <w:szCs w:val="32"/>
          <w:highlight w:val="none"/>
        </w:rPr>
      </w:pPr>
      <w:r>
        <w:rPr>
          <w:rFonts w:ascii="Times New Roman" w:hAnsi="Times New Roman" w:eastAsia="仿宋_GB2312" w:cs="Times New Roman"/>
          <w:bCs/>
          <w:color w:val="auto"/>
          <w:sz w:val="32"/>
          <w:szCs w:val="32"/>
          <w:highlight w:val="none"/>
        </w:rPr>
        <w:t>大力推进政务公开，向服务对象公开医保经办服务事项清单、事项办理服务指南、医疗保障政策</w:t>
      </w:r>
      <w:r>
        <w:rPr>
          <w:rFonts w:hint="eastAsia" w:ascii="仿宋_GB2312" w:hAnsi="仿宋_GB2312" w:eastAsia="仿宋_GB2312" w:cs="仿宋_GB2312"/>
          <w:bCs/>
          <w:color w:val="auto"/>
          <w:sz w:val="32"/>
          <w:szCs w:val="32"/>
          <w:highlight w:val="none"/>
        </w:rPr>
        <w:t>等内容，履行服务承诺。建立监督机制和投诉处置机制，全面落实“好差评”制度，开通多种评价方式，实现服务事项全覆盖、评价对象全覆盖、服务渠道全覆盖，畅通投诉渠道，建立问题调查核实、督促整改和反馈机制，形成评价、反馈、整改、监督全流程衔接。</w:t>
      </w:r>
    </w:p>
    <w:p>
      <w:pPr>
        <w:spacing w:line="560" w:lineRule="exact"/>
        <w:ind w:firstLine="640" w:firstLineChars="200"/>
        <w:rPr>
          <w:rFonts w:ascii="楷体_GB2312" w:hAnsi="楷体_GB2312" w:eastAsia="楷体_GB2312" w:cs="楷体_GB2312"/>
          <w:bCs/>
          <w:color w:val="auto"/>
          <w:sz w:val="32"/>
          <w:szCs w:val="32"/>
          <w:highlight w:val="none"/>
        </w:rPr>
      </w:pPr>
      <w:r>
        <w:rPr>
          <w:rFonts w:ascii="楷体_GB2312" w:hAnsi="楷体_GB2312" w:eastAsia="楷体_GB2312" w:cs="楷体_GB2312"/>
          <w:bCs/>
          <w:color w:val="auto"/>
          <w:sz w:val="32"/>
          <w:szCs w:val="32"/>
          <w:highlight w:val="none"/>
        </w:rPr>
        <w:t>（五）经办队伍素质过硬。</w:t>
      </w:r>
    </w:p>
    <w:p>
      <w:pPr>
        <w:spacing w:line="560" w:lineRule="exact"/>
        <w:ind w:firstLine="640" w:firstLineChars="200"/>
        <w:rPr>
          <w:rFonts w:ascii="Times New Roman" w:hAnsi="Times New Roman" w:eastAsia="仿宋_GB2312" w:cs="Times New Roman"/>
          <w:bCs/>
          <w:color w:val="auto"/>
          <w:sz w:val="32"/>
          <w:szCs w:val="32"/>
          <w:highlight w:val="none"/>
        </w:rPr>
      </w:pPr>
      <w:r>
        <w:rPr>
          <w:rFonts w:ascii="Times New Roman" w:hAnsi="Times New Roman" w:eastAsia="仿宋_GB2312" w:cs="Times New Roman"/>
          <w:bCs/>
          <w:color w:val="auto"/>
          <w:sz w:val="32"/>
          <w:szCs w:val="32"/>
          <w:highlight w:val="none"/>
        </w:rPr>
        <w:t>综合城乡布局、财政承受能力、人口结构和变动趋势，结合各类医疗保障服务的业务内容、服务半径、服务人口等因素，统筹用好编制内资源，以满足办事服务需要为标准，合理配备与参保人员数以及工作职责相匹配的医疗保障服务工作力量。加强对医疗保障窗口服务工作人员政策、经办流程、服务标准等业务方面的培训，注重对窗口服务的礼仪指导，要求做到主动热情、耐心周到、解释全面。医疗保障服务窗口队伍培训纳入年度培训计划，新招（录）用人员的岗前培训达到100%。窗口工作人员在履职期间应统一着装，具体要求、标准及经费来源参照有关规定执行。</w:t>
      </w:r>
    </w:p>
    <w:p>
      <w:pPr>
        <w:spacing w:line="560" w:lineRule="exact"/>
        <w:ind w:firstLine="640" w:firstLineChars="200"/>
        <w:rPr>
          <w:rFonts w:ascii="楷体_GB2312" w:hAnsi="楷体_GB2312" w:eastAsia="楷体_GB2312" w:cs="楷体_GB2312"/>
          <w:bCs/>
          <w:color w:val="auto"/>
          <w:sz w:val="32"/>
          <w:szCs w:val="32"/>
          <w:highlight w:val="none"/>
        </w:rPr>
      </w:pPr>
      <w:r>
        <w:rPr>
          <w:rFonts w:ascii="楷体_GB2312" w:hAnsi="楷体_GB2312" w:eastAsia="楷体_GB2312" w:cs="楷体_GB2312"/>
          <w:bCs/>
          <w:color w:val="auto"/>
          <w:sz w:val="32"/>
          <w:szCs w:val="32"/>
          <w:highlight w:val="none"/>
        </w:rPr>
        <w:t>（六）服务场所科学布局。</w:t>
      </w:r>
    </w:p>
    <w:p>
      <w:pPr>
        <w:spacing w:line="560" w:lineRule="exact"/>
        <w:ind w:firstLine="640" w:firstLineChars="200"/>
        <w:rPr>
          <w:rFonts w:ascii="Times New Roman" w:hAnsi="Times New Roman" w:eastAsia="仿宋_GB2312" w:cs="Times New Roman"/>
          <w:bCs/>
          <w:color w:val="auto"/>
          <w:sz w:val="32"/>
          <w:szCs w:val="32"/>
          <w:highlight w:val="none"/>
        </w:rPr>
      </w:pPr>
      <w:r>
        <w:rPr>
          <w:rFonts w:ascii="Times New Roman" w:hAnsi="Times New Roman" w:eastAsia="仿宋_GB2312" w:cs="Times New Roman"/>
          <w:bCs/>
          <w:color w:val="auto"/>
          <w:sz w:val="32"/>
          <w:szCs w:val="32"/>
          <w:highlight w:val="none"/>
        </w:rPr>
        <w:t>服务大厅选址应以便利为原则，据服务对象需求，应包括经办服务区、档案管理区、业务处理区和业务支持区四个功能。根据办事流程和公共安全应设置人员流动通道和无障碍通道，合理设置窗口数量，医疗保障业务原则上窗口可办。</w:t>
      </w:r>
    </w:p>
    <w:p>
      <w:pPr>
        <w:spacing w:line="560" w:lineRule="exact"/>
        <w:ind w:firstLine="640" w:firstLineChars="200"/>
        <w:rPr>
          <w:rFonts w:ascii="楷体_GB2312" w:hAnsi="楷体_GB2312" w:eastAsia="楷体_GB2312" w:cs="楷体_GB2312"/>
          <w:bCs/>
          <w:color w:val="auto"/>
          <w:sz w:val="32"/>
          <w:szCs w:val="32"/>
          <w:highlight w:val="none"/>
        </w:rPr>
      </w:pPr>
      <w:r>
        <w:rPr>
          <w:rFonts w:ascii="楷体_GB2312" w:hAnsi="楷体_GB2312" w:eastAsia="楷体_GB2312" w:cs="楷体_GB2312"/>
          <w:bCs/>
          <w:color w:val="auto"/>
          <w:sz w:val="32"/>
          <w:szCs w:val="32"/>
          <w:highlight w:val="none"/>
        </w:rPr>
        <w:t>（七）服务场所科学布局。</w:t>
      </w:r>
    </w:p>
    <w:p>
      <w:pPr>
        <w:spacing w:line="560" w:lineRule="exact"/>
        <w:ind w:firstLine="640" w:firstLineChars="200"/>
        <w:rPr>
          <w:rFonts w:ascii="Times New Roman" w:hAnsi="Times New Roman" w:eastAsia="仿宋_GB2312" w:cs="Times New Roman"/>
          <w:bCs/>
          <w:color w:val="auto"/>
          <w:sz w:val="32"/>
          <w:szCs w:val="32"/>
          <w:highlight w:val="none"/>
        </w:rPr>
      </w:pPr>
      <w:r>
        <w:rPr>
          <w:rFonts w:ascii="Times New Roman" w:hAnsi="Times New Roman" w:eastAsia="仿宋_GB2312" w:cs="Times New Roman"/>
          <w:bCs/>
          <w:color w:val="auto"/>
          <w:sz w:val="32"/>
          <w:szCs w:val="32"/>
          <w:highlight w:val="none"/>
        </w:rPr>
        <w:t>基础设施齐备，应符合《医疗保障经办大厅设置与服务规范（试行）》要求，标识标志应按照《中国医疗保障官方标识使用管理办法（暂行）》规定，标识统一规范。</w:t>
      </w:r>
    </w:p>
    <w:p>
      <w:pPr>
        <w:spacing w:line="560" w:lineRule="exact"/>
        <w:ind w:firstLine="640" w:firstLineChars="200"/>
        <w:jc w:val="center"/>
        <w:rPr>
          <w:rFonts w:hint="eastAsia" w:ascii="楷体_GB2312" w:hAnsi="楷体_GB2312" w:eastAsia="楷体_GB2312" w:cs="楷体_GB2312"/>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_GBK" w:hAnsi="方正小标宋_GBK" w:eastAsia="方正小标宋_GBK" w:cs="方正小标宋_GBK"/>
          <w:bCs/>
          <w:color w:val="auto"/>
          <w:sz w:val="32"/>
          <w:szCs w:val="32"/>
          <w:highlight w:val="none"/>
        </w:rPr>
      </w:pPr>
      <w:r>
        <w:rPr>
          <w:rFonts w:hint="eastAsia" w:ascii="方正小标宋_GBK" w:hAnsi="方正小标宋_GBK" w:eastAsia="方正小标宋_GBK" w:cs="方正小标宋_GBK"/>
          <w:bCs/>
          <w:color w:val="auto"/>
          <w:sz w:val="32"/>
          <w:szCs w:val="32"/>
          <w:highlight w:val="none"/>
        </w:rPr>
        <w:t>医疗保障服务窗口示范点指标</w:t>
      </w:r>
    </w:p>
    <w:tbl>
      <w:tblPr>
        <w:tblStyle w:val="5"/>
        <w:tblW w:w="98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2"/>
        <w:gridCol w:w="1575"/>
        <w:gridCol w:w="6315"/>
        <w:gridCol w:w="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tblHeader/>
          <w:jc w:val="center"/>
        </w:trPr>
        <w:tc>
          <w:tcPr>
            <w:tcW w:w="1092" w:type="dxa"/>
            <w:vAlign w:val="center"/>
          </w:tcPr>
          <w:p>
            <w:pPr>
              <w:pStyle w:val="8"/>
              <w:ind w:firstLine="0" w:firstLineChars="0"/>
              <w:jc w:val="center"/>
              <w:rPr>
                <w:rFonts w:hint="eastAsia" w:ascii="黑体" w:hAnsi="黑体" w:eastAsia="黑体" w:cs="黑体"/>
                <w:b w:val="0"/>
                <w:bCs w:val="0"/>
                <w:color w:val="auto"/>
                <w:szCs w:val="21"/>
                <w:highlight w:val="none"/>
              </w:rPr>
            </w:pPr>
            <w:r>
              <w:rPr>
                <w:rFonts w:hint="eastAsia" w:ascii="黑体" w:hAnsi="黑体" w:eastAsia="黑体" w:cs="黑体"/>
                <w:b w:val="0"/>
                <w:bCs w:val="0"/>
                <w:color w:val="auto"/>
                <w:szCs w:val="21"/>
                <w:highlight w:val="none"/>
              </w:rPr>
              <w:t>项目</w:t>
            </w:r>
          </w:p>
        </w:tc>
        <w:tc>
          <w:tcPr>
            <w:tcW w:w="1575" w:type="dxa"/>
            <w:vAlign w:val="center"/>
          </w:tcPr>
          <w:p>
            <w:pPr>
              <w:pStyle w:val="8"/>
              <w:ind w:firstLine="0" w:firstLineChars="0"/>
              <w:jc w:val="center"/>
              <w:rPr>
                <w:rFonts w:hint="eastAsia" w:ascii="黑体" w:hAnsi="黑体" w:eastAsia="黑体" w:cs="黑体"/>
                <w:b w:val="0"/>
                <w:bCs w:val="0"/>
                <w:color w:val="auto"/>
                <w:szCs w:val="21"/>
                <w:highlight w:val="none"/>
              </w:rPr>
            </w:pPr>
            <w:r>
              <w:rPr>
                <w:rFonts w:hint="eastAsia" w:ascii="黑体" w:hAnsi="黑体" w:eastAsia="黑体" w:cs="黑体"/>
                <w:b w:val="0"/>
                <w:bCs w:val="0"/>
                <w:color w:val="auto"/>
                <w:szCs w:val="21"/>
                <w:highlight w:val="none"/>
              </w:rPr>
              <w:t>指标</w:t>
            </w:r>
          </w:p>
        </w:tc>
        <w:tc>
          <w:tcPr>
            <w:tcW w:w="6315" w:type="dxa"/>
            <w:vAlign w:val="center"/>
          </w:tcPr>
          <w:p>
            <w:pPr>
              <w:pStyle w:val="8"/>
              <w:ind w:firstLine="0" w:firstLineChars="0"/>
              <w:jc w:val="center"/>
              <w:rPr>
                <w:rFonts w:hint="eastAsia" w:ascii="黑体" w:hAnsi="黑体" w:eastAsia="黑体" w:cs="黑体"/>
                <w:b w:val="0"/>
                <w:bCs w:val="0"/>
                <w:color w:val="auto"/>
                <w:szCs w:val="21"/>
                <w:highlight w:val="none"/>
              </w:rPr>
            </w:pPr>
            <w:r>
              <w:rPr>
                <w:rFonts w:hint="eastAsia" w:ascii="黑体" w:hAnsi="黑体" w:eastAsia="黑体" w:cs="黑体"/>
                <w:b w:val="0"/>
                <w:bCs w:val="0"/>
                <w:color w:val="auto"/>
                <w:szCs w:val="21"/>
                <w:highlight w:val="none"/>
              </w:rPr>
              <w:t>具体内容</w:t>
            </w:r>
          </w:p>
        </w:tc>
        <w:tc>
          <w:tcPr>
            <w:tcW w:w="906" w:type="dxa"/>
            <w:vAlign w:val="center"/>
          </w:tcPr>
          <w:p>
            <w:pPr>
              <w:pStyle w:val="8"/>
              <w:ind w:firstLine="0" w:firstLineChars="0"/>
              <w:jc w:val="center"/>
              <w:rPr>
                <w:rFonts w:hint="eastAsia" w:ascii="黑体" w:hAnsi="黑体" w:eastAsia="黑体" w:cs="黑体"/>
                <w:b w:val="0"/>
                <w:bCs w:val="0"/>
                <w:color w:val="auto"/>
                <w:szCs w:val="21"/>
                <w:highlight w:val="none"/>
              </w:rPr>
            </w:pPr>
            <w:r>
              <w:rPr>
                <w:rFonts w:hint="eastAsia" w:ascii="黑体" w:hAnsi="黑体" w:eastAsia="黑体" w:cs="黑体"/>
                <w:b w:val="0"/>
                <w:bCs w:val="0"/>
                <w:color w:val="auto"/>
                <w:szCs w:val="21"/>
                <w:highlight w:val="none"/>
              </w:rPr>
              <w:t>参考</w:t>
            </w:r>
          </w:p>
          <w:p>
            <w:pPr>
              <w:pStyle w:val="8"/>
              <w:ind w:firstLine="0" w:firstLineChars="0"/>
              <w:jc w:val="center"/>
              <w:rPr>
                <w:rFonts w:hint="eastAsia" w:ascii="黑体" w:hAnsi="黑体" w:eastAsia="黑体" w:cs="黑体"/>
                <w:b w:val="0"/>
                <w:bCs w:val="0"/>
                <w:color w:val="auto"/>
                <w:szCs w:val="21"/>
                <w:highlight w:val="none"/>
              </w:rPr>
            </w:pPr>
            <w:r>
              <w:rPr>
                <w:rFonts w:hint="eastAsia" w:ascii="黑体" w:hAnsi="黑体" w:eastAsia="黑体" w:cs="黑体"/>
                <w:b w:val="0"/>
                <w:bCs w:val="0"/>
                <w:color w:val="auto"/>
                <w:szCs w:val="21"/>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jc w:val="center"/>
        </w:trPr>
        <w:tc>
          <w:tcPr>
            <w:tcW w:w="1092" w:type="dxa"/>
            <w:vMerge w:val="restart"/>
            <w:vAlign w:val="center"/>
          </w:tcPr>
          <w:p>
            <w:pPr>
              <w:pStyle w:val="8"/>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法律法规严格贯彻</w:t>
            </w:r>
          </w:p>
        </w:tc>
        <w:tc>
          <w:tcPr>
            <w:tcW w:w="1575" w:type="dxa"/>
            <w:vAlign w:val="center"/>
          </w:tcPr>
          <w:p>
            <w:pPr>
              <w:pStyle w:val="8"/>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1.依法经办</w:t>
            </w:r>
          </w:p>
        </w:tc>
        <w:tc>
          <w:tcPr>
            <w:tcW w:w="6315" w:type="dxa"/>
            <w:vAlign w:val="center"/>
          </w:tcPr>
          <w:p>
            <w:pPr>
              <w:pStyle w:val="8"/>
              <w:ind w:firstLine="0" w:firstLineChars="0"/>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严格按照医疗保障相关法律、法规、规章及相关政策开展医疗保障服务，履行相应工作职责。</w:t>
            </w:r>
          </w:p>
        </w:tc>
        <w:tc>
          <w:tcPr>
            <w:tcW w:w="906" w:type="dxa"/>
            <w:vMerge w:val="restart"/>
            <w:vAlign w:val="center"/>
          </w:tcPr>
          <w:p>
            <w:pPr>
              <w:pStyle w:val="8"/>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2" w:hRule="atLeast"/>
          <w:jc w:val="center"/>
        </w:trPr>
        <w:tc>
          <w:tcPr>
            <w:tcW w:w="1092" w:type="dxa"/>
            <w:vMerge w:val="continue"/>
            <w:vAlign w:val="center"/>
          </w:tcPr>
          <w:p>
            <w:pPr>
              <w:pStyle w:val="8"/>
              <w:ind w:firstLine="0" w:firstLineChars="0"/>
              <w:jc w:val="center"/>
              <w:rPr>
                <w:rFonts w:ascii="Times New Roman" w:hAnsi="Times New Roman" w:eastAsia="仿宋_GB2312" w:cs="Times New Roman"/>
                <w:color w:val="auto"/>
                <w:szCs w:val="21"/>
                <w:highlight w:val="none"/>
              </w:rPr>
            </w:pPr>
          </w:p>
        </w:tc>
        <w:tc>
          <w:tcPr>
            <w:tcW w:w="1575" w:type="dxa"/>
            <w:vAlign w:val="center"/>
          </w:tcPr>
          <w:p>
            <w:pPr>
              <w:pStyle w:val="8"/>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2.依规经办</w:t>
            </w:r>
          </w:p>
        </w:tc>
        <w:tc>
          <w:tcPr>
            <w:tcW w:w="6315" w:type="dxa"/>
            <w:vAlign w:val="center"/>
          </w:tcPr>
          <w:p>
            <w:pPr>
              <w:pStyle w:val="8"/>
              <w:ind w:firstLine="0" w:firstLineChars="0"/>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严格根据医疗保障相关政策和经办规程开展业务经办，操作。</w:t>
            </w:r>
          </w:p>
        </w:tc>
        <w:tc>
          <w:tcPr>
            <w:tcW w:w="906" w:type="dxa"/>
            <w:vMerge w:val="continue"/>
            <w:vAlign w:val="center"/>
          </w:tcPr>
          <w:p>
            <w:pPr>
              <w:pStyle w:val="8"/>
              <w:ind w:firstLine="441"/>
              <w:jc w:val="center"/>
              <w:rPr>
                <w:rFonts w:ascii="Times New Roman" w:hAnsi="Times New Roman" w:eastAsia="仿宋_GB2312" w:cs="Times New Roman"/>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5" w:hRule="atLeast"/>
          <w:jc w:val="center"/>
        </w:trPr>
        <w:tc>
          <w:tcPr>
            <w:tcW w:w="1092" w:type="dxa"/>
            <w:vMerge w:val="continue"/>
            <w:vAlign w:val="center"/>
          </w:tcPr>
          <w:p>
            <w:pPr>
              <w:pStyle w:val="8"/>
              <w:ind w:firstLine="0" w:firstLineChars="0"/>
              <w:jc w:val="center"/>
              <w:rPr>
                <w:rFonts w:ascii="Times New Roman" w:hAnsi="Times New Roman" w:eastAsia="仿宋_GB2312" w:cs="Times New Roman"/>
                <w:color w:val="auto"/>
                <w:szCs w:val="21"/>
                <w:highlight w:val="none"/>
              </w:rPr>
            </w:pPr>
          </w:p>
        </w:tc>
        <w:tc>
          <w:tcPr>
            <w:tcW w:w="1575" w:type="dxa"/>
            <w:vAlign w:val="center"/>
          </w:tcPr>
          <w:p>
            <w:pPr>
              <w:pStyle w:val="8"/>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3.公平公正</w:t>
            </w:r>
          </w:p>
        </w:tc>
        <w:tc>
          <w:tcPr>
            <w:tcW w:w="6315" w:type="dxa"/>
            <w:vAlign w:val="center"/>
          </w:tcPr>
          <w:p>
            <w:pPr>
              <w:pStyle w:val="8"/>
              <w:ind w:firstLine="0" w:firstLineChars="0"/>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公平公正对待服务对象，规范医疗保障经办行为，切实保障参保人员的合法权益。</w:t>
            </w:r>
          </w:p>
        </w:tc>
        <w:tc>
          <w:tcPr>
            <w:tcW w:w="906" w:type="dxa"/>
            <w:vMerge w:val="continue"/>
            <w:vAlign w:val="center"/>
          </w:tcPr>
          <w:p>
            <w:pPr>
              <w:pStyle w:val="8"/>
              <w:ind w:firstLine="441"/>
              <w:jc w:val="center"/>
              <w:rPr>
                <w:rFonts w:ascii="Times New Roman" w:hAnsi="Times New Roman" w:eastAsia="仿宋_GB2312" w:cs="Times New Roman"/>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0" w:hRule="atLeast"/>
          <w:jc w:val="center"/>
        </w:trPr>
        <w:tc>
          <w:tcPr>
            <w:tcW w:w="1092" w:type="dxa"/>
            <w:vMerge w:val="continue"/>
            <w:vAlign w:val="center"/>
          </w:tcPr>
          <w:p>
            <w:pPr>
              <w:pStyle w:val="8"/>
              <w:ind w:firstLine="0" w:firstLineChars="0"/>
              <w:jc w:val="center"/>
              <w:rPr>
                <w:rFonts w:ascii="Times New Roman" w:hAnsi="Times New Roman" w:eastAsia="仿宋_GB2312" w:cs="Times New Roman"/>
                <w:color w:val="auto"/>
                <w:szCs w:val="21"/>
                <w:highlight w:val="none"/>
              </w:rPr>
            </w:pPr>
          </w:p>
        </w:tc>
        <w:tc>
          <w:tcPr>
            <w:tcW w:w="1575" w:type="dxa"/>
            <w:vAlign w:val="center"/>
          </w:tcPr>
          <w:p>
            <w:pPr>
              <w:pStyle w:val="8"/>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4.财经纪律</w:t>
            </w:r>
          </w:p>
        </w:tc>
        <w:tc>
          <w:tcPr>
            <w:tcW w:w="6315" w:type="dxa"/>
            <w:vAlign w:val="center"/>
          </w:tcPr>
          <w:p>
            <w:pPr>
              <w:pStyle w:val="8"/>
              <w:ind w:firstLine="0" w:firstLineChars="0"/>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严格执行财经纪律，无违规使用财政补助资金、基本医疗保险基金（含生育保险）、医疗救助基金或违反法律法规挪作其他用途的行为。无通过欺诈、伪造证明材料或者其他手段骗取上述资金的情形。凡出现相关问题的，实行一票否决，不得定为示范点。</w:t>
            </w:r>
          </w:p>
        </w:tc>
        <w:tc>
          <w:tcPr>
            <w:tcW w:w="906" w:type="dxa"/>
            <w:vMerge w:val="continue"/>
            <w:vAlign w:val="center"/>
          </w:tcPr>
          <w:p>
            <w:pPr>
              <w:pStyle w:val="8"/>
              <w:ind w:firstLine="0" w:firstLineChars="0"/>
              <w:jc w:val="center"/>
              <w:rPr>
                <w:rFonts w:ascii="Times New Roman" w:hAnsi="Times New Roman" w:eastAsia="仿宋_GB2312" w:cs="Times New Roman"/>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4" w:hRule="atLeast"/>
          <w:jc w:val="center"/>
        </w:trPr>
        <w:tc>
          <w:tcPr>
            <w:tcW w:w="1092" w:type="dxa"/>
            <w:vMerge w:val="restart"/>
            <w:vAlign w:val="center"/>
          </w:tcPr>
          <w:p>
            <w:pPr>
              <w:pStyle w:val="8"/>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事项清单</w:t>
            </w:r>
          </w:p>
          <w:p>
            <w:pPr>
              <w:pStyle w:val="8"/>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落实到位</w:t>
            </w:r>
          </w:p>
          <w:p>
            <w:pPr>
              <w:pStyle w:val="8"/>
              <w:ind w:firstLine="0" w:firstLineChars="0"/>
              <w:jc w:val="center"/>
              <w:rPr>
                <w:rFonts w:ascii="Times New Roman" w:hAnsi="Times New Roman" w:eastAsia="仿宋_GB2312" w:cs="Times New Roman"/>
                <w:color w:val="auto"/>
                <w:szCs w:val="21"/>
                <w:highlight w:val="none"/>
              </w:rPr>
            </w:pPr>
          </w:p>
        </w:tc>
        <w:tc>
          <w:tcPr>
            <w:tcW w:w="1575" w:type="dxa"/>
            <w:vAlign w:val="center"/>
          </w:tcPr>
          <w:p>
            <w:pPr>
              <w:pStyle w:val="8"/>
              <w:numPr>
                <w:ilvl w:val="0"/>
                <w:numId w:val="1"/>
              </w:numPr>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编制指南</w:t>
            </w:r>
          </w:p>
        </w:tc>
        <w:tc>
          <w:tcPr>
            <w:tcW w:w="6315" w:type="dxa"/>
            <w:vAlign w:val="center"/>
          </w:tcPr>
          <w:p>
            <w:pPr>
              <w:pStyle w:val="8"/>
              <w:ind w:firstLine="0" w:firstLineChars="0"/>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严格贯彻落实全国医疗保障经办政务服务事项清单制度，根据清单印发办事指南，办事指南编制应遵循合法合规、简明实用、通俗易懂、公开透明的原则，符合《国家医疗保障局关于印发全国医疗保障经办政务服务事项清单的通知》的要求。</w:t>
            </w:r>
          </w:p>
        </w:tc>
        <w:tc>
          <w:tcPr>
            <w:tcW w:w="906" w:type="dxa"/>
            <w:vMerge w:val="restart"/>
            <w:vAlign w:val="center"/>
          </w:tcPr>
          <w:p>
            <w:pPr>
              <w:pStyle w:val="8"/>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4" w:hRule="atLeast"/>
          <w:jc w:val="center"/>
        </w:trPr>
        <w:tc>
          <w:tcPr>
            <w:tcW w:w="1092" w:type="dxa"/>
            <w:vMerge w:val="continue"/>
            <w:vAlign w:val="center"/>
          </w:tcPr>
          <w:p>
            <w:pPr>
              <w:pStyle w:val="8"/>
              <w:ind w:firstLine="0" w:firstLineChars="0"/>
              <w:jc w:val="center"/>
              <w:rPr>
                <w:rFonts w:ascii="Times New Roman" w:hAnsi="Times New Roman" w:eastAsia="仿宋_GB2312" w:cs="Times New Roman"/>
                <w:color w:val="auto"/>
                <w:szCs w:val="21"/>
                <w:highlight w:val="none"/>
              </w:rPr>
            </w:pPr>
          </w:p>
        </w:tc>
        <w:tc>
          <w:tcPr>
            <w:tcW w:w="1575" w:type="dxa"/>
            <w:vAlign w:val="center"/>
          </w:tcPr>
          <w:p>
            <w:pPr>
              <w:pStyle w:val="8"/>
              <w:numPr>
                <w:ilvl w:val="0"/>
                <w:numId w:val="2"/>
              </w:numPr>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精简力度</w:t>
            </w:r>
          </w:p>
        </w:tc>
        <w:tc>
          <w:tcPr>
            <w:tcW w:w="6315" w:type="dxa"/>
            <w:vAlign w:val="center"/>
          </w:tcPr>
          <w:p>
            <w:pPr>
              <w:pStyle w:val="8"/>
              <w:ind w:firstLine="0" w:firstLineChars="0"/>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贯彻落实“四最”“六统一”要求，以全国清单作为医疗保障政务服务事项的最底线，在全国清单的基础上再进一步精简办理材料、简化办理流程、缩短办理时限，取消不必要的环节和手续。</w:t>
            </w:r>
          </w:p>
        </w:tc>
        <w:tc>
          <w:tcPr>
            <w:tcW w:w="906" w:type="dxa"/>
            <w:vMerge w:val="continue"/>
            <w:vAlign w:val="center"/>
          </w:tcPr>
          <w:p>
            <w:pPr>
              <w:pStyle w:val="8"/>
              <w:ind w:firstLine="441"/>
              <w:jc w:val="center"/>
              <w:rPr>
                <w:rFonts w:ascii="Times New Roman" w:hAnsi="Times New Roman" w:eastAsia="仿宋_GB2312" w:cs="Times New Roman"/>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7" w:hRule="atLeast"/>
          <w:jc w:val="center"/>
        </w:trPr>
        <w:tc>
          <w:tcPr>
            <w:tcW w:w="1092" w:type="dxa"/>
            <w:vMerge w:val="continue"/>
            <w:vAlign w:val="center"/>
          </w:tcPr>
          <w:p>
            <w:pPr>
              <w:pStyle w:val="8"/>
              <w:ind w:firstLine="0" w:firstLineChars="0"/>
              <w:jc w:val="center"/>
              <w:rPr>
                <w:rFonts w:ascii="Times New Roman" w:hAnsi="Times New Roman" w:eastAsia="仿宋_GB2312" w:cs="Times New Roman"/>
                <w:color w:val="auto"/>
                <w:szCs w:val="21"/>
                <w:highlight w:val="none"/>
              </w:rPr>
            </w:pPr>
          </w:p>
        </w:tc>
        <w:tc>
          <w:tcPr>
            <w:tcW w:w="1575" w:type="dxa"/>
            <w:vAlign w:val="center"/>
          </w:tcPr>
          <w:p>
            <w:pPr>
              <w:pStyle w:val="8"/>
              <w:numPr>
                <w:ilvl w:val="0"/>
                <w:numId w:val="2"/>
              </w:numPr>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操作规范</w:t>
            </w:r>
          </w:p>
        </w:tc>
        <w:tc>
          <w:tcPr>
            <w:tcW w:w="6315" w:type="dxa"/>
            <w:vAlign w:val="center"/>
          </w:tcPr>
          <w:p>
            <w:pPr>
              <w:pStyle w:val="8"/>
              <w:ind w:firstLine="0" w:firstLineChars="0"/>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落实《医疗保障经办政务服务事项操作规范（试行）》，不断规范服务事项经办操作流程，推进业务办理标准化规范化。</w:t>
            </w:r>
          </w:p>
        </w:tc>
        <w:tc>
          <w:tcPr>
            <w:tcW w:w="906" w:type="dxa"/>
            <w:vMerge w:val="continue"/>
            <w:vAlign w:val="center"/>
          </w:tcPr>
          <w:p>
            <w:pPr>
              <w:pStyle w:val="8"/>
              <w:ind w:firstLine="441"/>
              <w:jc w:val="center"/>
              <w:rPr>
                <w:rFonts w:ascii="Times New Roman" w:hAnsi="Times New Roman" w:eastAsia="仿宋_GB2312" w:cs="Times New Roman"/>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jc w:val="center"/>
        </w:trPr>
        <w:tc>
          <w:tcPr>
            <w:tcW w:w="1092" w:type="dxa"/>
            <w:vMerge w:val="restart"/>
            <w:tcBorders>
              <w:bottom w:val="single" w:color="000000" w:sz="4" w:space="0"/>
            </w:tcBorders>
            <w:vAlign w:val="center"/>
          </w:tcPr>
          <w:p>
            <w:pPr>
              <w:pStyle w:val="8"/>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经办服务提质增效</w:t>
            </w:r>
          </w:p>
        </w:tc>
        <w:tc>
          <w:tcPr>
            <w:tcW w:w="1575" w:type="dxa"/>
            <w:tcBorders>
              <w:bottom w:val="single" w:color="000000" w:sz="4" w:space="0"/>
            </w:tcBorders>
            <w:vAlign w:val="center"/>
          </w:tcPr>
          <w:p>
            <w:pPr>
              <w:pStyle w:val="8"/>
              <w:numPr>
                <w:ilvl w:val="0"/>
                <w:numId w:val="3"/>
              </w:numPr>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适老化程度</w:t>
            </w:r>
          </w:p>
        </w:tc>
        <w:tc>
          <w:tcPr>
            <w:tcW w:w="6315" w:type="dxa"/>
            <w:tcBorders>
              <w:bottom w:val="single" w:color="000000" w:sz="4" w:space="0"/>
            </w:tcBorders>
            <w:vAlign w:val="center"/>
          </w:tcPr>
          <w:p>
            <w:pPr>
              <w:pStyle w:val="8"/>
              <w:ind w:firstLine="0" w:firstLineChars="0"/>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坚持传统服务与智能化服务创新并行，提高服务适老化程度，出台适老化相关政策并落实。</w:t>
            </w:r>
          </w:p>
        </w:tc>
        <w:tc>
          <w:tcPr>
            <w:tcW w:w="906" w:type="dxa"/>
            <w:vMerge w:val="restart"/>
            <w:tcBorders>
              <w:bottom w:val="single" w:color="000000" w:sz="4" w:space="0"/>
            </w:tcBorders>
            <w:vAlign w:val="center"/>
          </w:tcPr>
          <w:p>
            <w:pPr>
              <w:pStyle w:val="8"/>
              <w:ind w:firstLine="0" w:firstLineChars="0"/>
              <w:jc w:val="center"/>
              <w:rPr>
                <w:rStyle w:val="7"/>
                <w:rFonts w:eastAsia="仿宋_GB2312" w:cs="Times New Roman"/>
                <w:color w:val="auto"/>
                <w:kern w:val="0"/>
                <w:sz w:val="21"/>
                <w:szCs w:val="21"/>
                <w:highlight w:val="none"/>
              </w:rPr>
            </w:pPr>
            <w:r>
              <w:rPr>
                <w:rStyle w:val="7"/>
                <w:rFonts w:eastAsia="仿宋_GB2312" w:cs="Times New Roman"/>
                <w:color w:val="auto"/>
                <w:kern w:val="0"/>
                <w:sz w:val="21"/>
                <w:szCs w:val="21"/>
                <w:highlight w:val="none"/>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jc w:val="center"/>
        </w:trPr>
        <w:tc>
          <w:tcPr>
            <w:tcW w:w="1092" w:type="dxa"/>
            <w:vMerge w:val="continue"/>
            <w:vAlign w:val="center"/>
          </w:tcPr>
          <w:p>
            <w:pPr>
              <w:pStyle w:val="8"/>
              <w:ind w:firstLine="0" w:firstLineChars="0"/>
              <w:jc w:val="center"/>
              <w:rPr>
                <w:rFonts w:ascii="Times New Roman" w:hAnsi="Times New Roman" w:eastAsia="仿宋_GB2312" w:cs="Times New Roman"/>
                <w:color w:val="auto"/>
                <w:szCs w:val="21"/>
                <w:highlight w:val="none"/>
              </w:rPr>
            </w:pPr>
          </w:p>
        </w:tc>
        <w:tc>
          <w:tcPr>
            <w:tcW w:w="1575" w:type="dxa"/>
            <w:vAlign w:val="center"/>
          </w:tcPr>
          <w:p>
            <w:pPr>
              <w:pStyle w:val="8"/>
              <w:numPr>
                <w:ilvl w:val="0"/>
                <w:numId w:val="3"/>
              </w:numPr>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服务渠道</w:t>
            </w:r>
          </w:p>
        </w:tc>
        <w:tc>
          <w:tcPr>
            <w:tcW w:w="6315" w:type="dxa"/>
            <w:vAlign w:val="center"/>
          </w:tcPr>
          <w:p>
            <w:pPr>
              <w:pStyle w:val="8"/>
              <w:ind w:firstLine="0" w:firstLineChars="0"/>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至少开通窗口服务、网络服务、电话服务、移动终端服务 4 种服务渠道。</w:t>
            </w:r>
          </w:p>
        </w:tc>
        <w:tc>
          <w:tcPr>
            <w:tcW w:w="906" w:type="dxa"/>
            <w:vMerge w:val="continue"/>
            <w:vAlign w:val="center"/>
          </w:tcPr>
          <w:p>
            <w:pPr>
              <w:pStyle w:val="8"/>
              <w:ind w:firstLine="441"/>
              <w:jc w:val="center"/>
              <w:rPr>
                <w:rStyle w:val="7"/>
                <w:rFonts w:eastAsia="仿宋_GB2312" w:cs="Times New Roman"/>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3" w:hRule="atLeast"/>
          <w:jc w:val="center"/>
        </w:trPr>
        <w:tc>
          <w:tcPr>
            <w:tcW w:w="1092" w:type="dxa"/>
            <w:vMerge w:val="continue"/>
            <w:vAlign w:val="center"/>
          </w:tcPr>
          <w:p>
            <w:pPr>
              <w:pStyle w:val="8"/>
              <w:ind w:firstLine="0" w:firstLineChars="0"/>
              <w:jc w:val="center"/>
              <w:rPr>
                <w:rFonts w:ascii="Times New Roman" w:hAnsi="Times New Roman" w:eastAsia="仿宋_GB2312" w:cs="Times New Roman"/>
                <w:color w:val="auto"/>
                <w:szCs w:val="21"/>
                <w:highlight w:val="none"/>
              </w:rPr>
            </w:pPr>
          </w:p>
        </w:tc>
        <w:tc>
          <w:tcPr>
            <w:tcW w:w="1575" w:type="dxa"/>
            <w:vAlign w:val="center"/>
          </w:tcPr>
          <w:p>
            <w:pPr>
              <w:pStyle w:val="8"/>
              <w:numPr>
                <w:ilvl w:val="0"/>
                <w:numId w:val="3"/>
              </w:numPr>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制度建设</w:t>
            </w:r>
          </w:p>
        </w:tc>
        <w:tc>
          <w:tcPr>
            <w:tcW w:w="6315" w:type="dxa"/>
            <w:vAlign w:val="center"/>
          </w:tcPr>
          <w:p>
            <w:pPr>
              <w:pStyle w:val="8"/>
              <w:ind w:firstLine="0" w:firstLineChars="0"/>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落实首问负责制度、一次性告知制度、限时办结制度、同岗替代制度、信息公开制度、责任追究制度、延时服务制度、帮办代办制度等服务制度，推行文明服务，提高服务效率。</w:t>
            </w:r>
          </w:p>
        </w:tc>
        <w:tc>
          <w:tcPr>
            <w:tcW w:w="906" w:type="dxa"/>
            <w:vMerge w:val="continue"/>
            <w:vAlign w:val="center"/>
          </w:tcPr>
          <w:p>
            <w:pPr>
              <w:pStyle w:val="8"/>
              <w:ind w:firstLine="441"/>
              <w:jc w:val="center"/>
              <w:rPr>
                <w:rStyle w:val="7"/>
                <w:rFonts w:eastAsia="仿宋_GB2312" w:cs="Times New Roman"/>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1092" w:type="dxa"/>
            <w:vMerge w:val="continue"/>
            <w:tcBorders>
              <w:bottom w:val="single" w:color="000000" w:sz="4" w:space="0"/>
            </w:tcBorders>
            <w:vAlign w:val="center"/>
          </w:tcPr>
          <w:p>
            <w:pPr>
              <w:pStyle w:val="8"/>
              <w:ind w:firstLine="0" w:firstLineChars="0"/>
              <w:jc w:val="center"/>
              <w:rPr>
                <w:rFonts w:ascii="Times New Roman" w:hAnsi="Times New Roman" w:eastAsia="仿宋_GB2312" w:cs="Times New Roman"/>
                <w:color w:val="auto"/>
                <w:szCs w:val="21"/>
                <w:highlight w:val="none"/>
              </w:rPr>
            </w:pPr>
          </w:p>
        </w:tc>
        <w:tc>
          <w:tcPr>
            <w:tcW w:w="1575" w:type="dxa"/>
            <w:tcBorders>
              <w:bottom w:val="single" w:color="000000" w:sz="4" w:space="0"/>
            </w:tcBorders>
            <w:vAlign w:val="center"/>
          </w:tcPr>
          <w:p>
            <w:pPr>
              <w:pStyle w:val="8"/>
              <w:numPr>
                <w:ilvl w:val="0"/>
                <w:numId w:val="3"/>
              </w:numPr>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人员管理</w:t>
            </w:r>
          </w:p>
        </w:tc>
        <w:tc>
          <w:tcPr>
            <w:tcW w:w="6315" w:type="dxa"/>
            <w:tcBorders>
              <w:bottom w:val="single" w:color="000000" w:sz="4" w:space="0"/>
            </w:tcBorders>
            <w:vAlign w:val="center"/>
          </w:tcPr>
          <w:p>
            <w:pPr>
              <w:pStyle w:val="8"/>
              <w:ind w:firstLine="0" w:firstLineChars="0"/>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建立健全窗口人员管理机制，建立绩效考核、日常考勤等基本管理制度。</w:t>
            </w:r>
          </w:p>
        </w:tc>
        <w:tc>
          <w:tcPr>
            <w:tcW w:w="906" w:type="dxa"/>
            <w:vMerge w:val="continue"/>
            <w:tcBorders>
              <w:bottom w:val="single" w:color="000000" w:sz="4" w:space="0"/>
            </w:tcBorders>
            <w:vAlign w:val="center"/>
          </w:tcPr>
          <w:p>
            <w:pPr>
              <w:pStyle w:val="8"/>
              <w:ind w:firstLine="441"/>
              <w:jc w:val="center"/>
              <w:rPr>
                <w:rStyle w:val="7"/>
                <w:rFonts w:eastAsia="仿宋_GB2312" w:cs="Times New Roman"/>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jc w:val="center"/>
        </w:trPr>
        <w:tc>
          <w:tcPr>
            <w:tcW w:w="1092" w:type="dxa"/>
            <w:vMerge w:val="continue"/>
            <w:tcBorders>
              <w:bottom w:val="single" w:color="000000" w:sz="4" w:space="0"/>
            </w:tcBorders>
            <w:vAlign w:val="center"/>
          </w:tcPr>
          <w:p>
            <w:pPr>
              <w:pStyle w:val="8"/>
              <w:ind w:firstLine="0" w:firstLineChars="0"/>
              <w:jc w:val="center"/>
              <w:rPr>
                <w:rFonts w:ascii="Times New Roman" w:hAnsi="Times New Roman" w:eastAsia="仿宋_GB2312" w:cs="Times New Roman"/>
                <w:color w:val="auto"/>
                <w:szCs w:val="21"/>
                <w:highlight w:val="none"/>
              </w:rPr>
            </w:pPr>
          </w:p>
        </w:tc>
        <w:tc>
          <w:tcPr>
            <w:tcW w:w="1575" w:type="dxa"/>
            <w:tcBorders>
              <w:bottom w:val="single" w:color="000000" w:sz="4" w:space="0"/>
            </w:tcBorders>
            <w:vAlign w:val="center"/>
          </w:tcPr>
          <w:p>
            <w:pPr>
              <w:pStyle w:val="8"/>
              <w:numPr>
                <w:ilvl w:val="0"/>
                <w:numId w:val="3"/>
              </w:numPr>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党（团）员示范</w:t>
            </w:r>
          </w:p>
        </w:tc>
        <w:tc>
          <w:tcPr>
            <w:tcW w:w="6315" w:type="dxa"/>
            <w:tcBorders>
              <w:bottom w:val="single" w:color="000000" w:sz="4" w:space="0"/>
            </w:tcBorders>
            <w:vAlign w:val="center"/>
          </w:tcPr>
          <w:p>
            <w:pPr>
              <w:pStyle w:val="8"/>
              <w:ind w:firstLine="0" w:firstLineChars="0"/>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共产党员（共青团员）在工作期间应佩戴党（团）徽主动亮明身份，发挥先锋示范作用。</w:t>
            </w:r>
          </w:p>
        </w:tc>
        <w:tc>
          <w:tcPr>
            <w:tcW w:w="906" w:type="dxa"/>
            <w:vMerge w:val="continue"/>
            <w:tcBorders>
              <w:bottom w:val="single" w:color="000000" w:sz="4" w:space="0"/>
            </w:tcBorders>
            <w:vAlign w:val="center"/>
          </w:tcPr>
          <w:p>
            <w:pPr>
              <w:pStyle w:val="8"/>
              <w:ind w:firstLine="441"/>
              <w:jc w:val="center"/>
              <w:rPr>
                <w:rStyle w:val="7"/>
                <w:rFonts w:eastAsia="仿宋_GB2312" w:cs="Times New Roman"/>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8" w:hRule="atLeast"/>
          <w:jc w:val="center"/>
        </w:trPr>
        <w:tc>
          <w:tcPr>
            <w:tcW w:w="1092" w:type="dxa"/>
            <w:vMerge w:val="continue"/>
            <w:vAlign w:val="center"/>
          </w:tcPr>
          <w:p>
            <w:pPr>
              <w:pStyle w:val="8"/>
              <w:ind w:firstLine="0" w:firstLineChars="0"/>
              <w:jc w:val="center"/>
              <w:rPr>
                <w:rFonts w:ascii="Times New Roman" w:hAnsi="Times New Roman" w:eastAsia="仿宋_GB2312" w:cs="Times New Roman"/>
                <w:color w:val="auto"/>
                <w:szCs w:val="21"/>
                <w:highlight w:val="none"/>
              </w:rPr>
            </w:pPr>
          </w:p>
        </w:tc>
        <w:tc>
          <w:tcPr>
            <w:tcW w:w="1575" w:type="dxa"/>
            <w:vAlign w:val="center"/>
          </w:tcPr>
          <w:p>
            <w:pPr>
              <w:pStyle w:val="8"/>
              <w:numPr>
                <w:ilvl w:val="0"/>
                <w:numId w:val="4"/>
              </w:numPr>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跨省通办</w:t>
            </w:r>
          </w:p>
        </w:tc>
        <w:tc>
          <w:tcPr>
            <w:tcW w:w="6315" w:type="dxa"/>
            <w:vAlign w:val="center"/>
          </w:tcPr>
          <w:p>
            <w:pPr>
              <w:pStyle w:val="8"/>
              <w:ind w:firstLine="0" w:firstLineChars="0"/>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根据国家医疗保障局统一安排部署，按时完成按时实现跨省通办事项，强化数据共享应用。</w:t>
            </w:r>
          </w:p>
        </w:tc>
        <w:tc>
          <w:tcPr>
            <w:tcW w:w="906" w:type="dxa"/>
            <w:vMerge w:val="continue"/>
            <w:vAlign w:val="center"/>
          </w:tcPr>
          <w:p>
            <w:pPr>
              <w:pStyle w:val="8"/>
              <w:ind w:firstLine="441"/>
              <w:jc w:val="center"/>
              <w:rPr>
                <w:rStyle w:val="7"/>
                <w:rFonts w:eastAsia="仿宋_GB2312" w:cs="Times New Roman"/>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8" w:hRule="atLeast"/>
          <w:jc w:val="center"/>
        </w:trPr>
        <w:tc>
          <w:tcPr>
            <w:tcW w:w="1092" w:type="dxa"/>
            <w:vMerge w:val="continue"/>
            <w:vAlign w:val="center"/>
          </w:tcPr>
          <w:p>
            <w:pPr>
              <w:pStyle w:val="8"/>
              <w:ind w:firstLine="0" w:firstLineChars="0"/>
              <w:jc w:val="center"/>
              <w:rPr>
                <w:rFonts w:ascii="Times New Roman" w:hAnsi="Times New Roman" w:eastAsia="仿宋_GB2312" w:cs="Times New Roman"/>
                <w:color w:val="auto"/>
                <w:szCs w:val="21"/>
                <w:highlight w:val="none"/>
              </w:rPr>
            </w:pPr>
          </w:p>
        </w:tc>
        <w:tc>
          <w:tcPr>
            <w:tcW w:w="1575" w:type="dxa"/>
            <w:vAlign w:val="center"/>
          </w:tcPr>
          <w:p>
            <w:pPr>
              <w:pStyle w:val="8"/>
              <w:numPr>
                <w:ilvl w:val="0"/>
                <w:numId w:val="4"/>
              </w:numPr>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掌办网办率</w:t>
            </w:r>
          </w:p>
        </w:tc>
        <w:tc>
          <w:tcPr>
            <w:tcW w:w="6315" w:type="dxa"/>
            <w:vAlign w:val="center"/>
          </w:tcPr>
          <w:p>
            <w:pPr>
              <w:pStyle w:val="8"/>
              <w:ind w:firstLine="0" w:firstLineChars="0"/>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完善医保公共服务子系统，畅通网办掌办渠道，办理事项可网办掌办率不低于80%。</w:t>
            </w:r>
          </w:p>
        </w:tc>
        <w:tc>
          <w:tcPr>
            <w:tcW w:w="906" w:type="dxa"/>
            <w:vMerge w:val="continue"/>
            <w:vAlign w:val="center"/>
          </w:tcPr>
          <w:p>
            <w:pPr>
              <w:pStyle w:val="8"/>
              <w:ind w:firstLine="0" w:firstLineChars="0"/>
              <w:jc w:val="center"/>
              <w:rPr>
                <w:rFonts w:ascii="Times New Roman" w:hAnsi="Times New Roman" w:eastAsia="仿宋_GB2312" w:cs="Times New Roman"/>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6" w:hRule="atLeast"/>
          <w:jc w:val="center"/>
        </w:trPr>
        <w:tc>
          <w:tcPr>
            <w:tcW w:w="1092" w:type="dxa"/>
            <w:vMerge w:val="restart"/>
            <w:tcBorders>
              <w:bottom w:val="single" w:color="000000" w:sz="4" w:space="0"/>
            </w:tcBorders>
            <w:vAlign w:val="center"/>
          </w:tcPr>
          <w:p>
            <w:pPr>
              <w:pStyle w:val="8"/>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办事流程公开透明</w:t>
            </w:r>
          </w:p>
          <w:p>
            <w:pPr>
              <w:pStyle w:val="8"/>
              <w:ind w:firstLine="0" w:firstLineChars="0"/>
              <w:jc w:val="center"/>
              <w:rPr>
                <w:rFonts w:ascii="Times New Roman" w:hAnsi="Times New Roman" w:eastAsia="仿宋_GB2312" w:cs="Times New Roman"/>
                <w:color w:val="auto"/>
                <w:szCs w:val="21"/>
                <w:highlight w:val="none"/>
              </w:rPr>
            </w:pPr>
          </w:p>
        </w:tc>
        <w:tc>
          <w:tcPr>
            <w:tcW w:w="1575" w:type="dxa"/>
            <w:tcBorders>
              <w:bottom w:val="single" w:color="000000" w:sz="4" w:space="0"/>
            </w:tcBorders>
            <w:vAlign w:val="center"/>
          </w:tcPr>
          <w:p>
            <w:pPr>
              <w:pStyle w:val="8"/>
              <w:numPr>
                <w:ilvl w:val="0"/>
                <w:numId w:val="5"/>
              </w:numPr>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政务公开</w:t>
            </w:r>
          </w:p>
        </w:tc>
        <w:tc>
          <w:tcPr>
            <w:tcW w:w="6315" w:type="dxa"/>
            <w:tcBorders>
              <w:bottom w:val="single" w:color="000000" w:sz="4" w:space="0"/>
            </w:tcBorders>
            <w:vAlign w:val="center"/>
          </w:tcPr>
          <w:p>
            <w:pPr>
              <w:pStyle w:val="8"/>
              <w:ind w:firstLine="0" w:firstLineChars="0"/>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大力推进政务公开，向服务对象公开医保经办服务事项清单、事项办理服务指南、医疗保障政策等内容，履行服务承诺。</w:t>
            </w:r>
          </w:p>
        </w:tc>
        <w:tc>
          <w:tcPr>
            <w:tcW w:w="906" w:type="dxa"/>
            <w:vMerge w:val="restart"/>
            <w:vAlign w:val="center"/>
          </w:tcPr>
          <w:p>
            <w:pPr>
              <w:jc w:val="center"/>
              <w:rPr>
                <w:rFonts w:ascii="Times New Roman" w:hAnsi="Times New Roman" w:eastAsia="仿宋_GB2312" w:cs="Times New Roman"/>
                <w:color w:val="auto"/>
                <w:sz w:val="21"/>
                <w:szCs w:val="21"/>
                <w:highlight w:val="none"/>
              </w:rPr>
            </w:pPr>
            <w:r>
              <w:rPr>
                <w:rFonts w:ascii="Times New Roman" w:hAnsi="Times New Roman" w:eastAsia="仿宋_GB2312" w:cs="Times New Roman"/>
                <w:color w:val="auto"/>
                <w:sz w:val="21"/>
                <w:szCs w:val="21"/>
                <w:highlight w:val="none"/>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jc w:val="center"/>
        </w:trPr>
        <w:tc>
          <w:tcPr>
            <w:tcW w:w="1092" w:type="dxa"/>
            <w:vMerge w:val="continue"/>
            <w:tcBorders>
              <w:bottom w:val="single" w:color="000000" w:sz="4" w:space="0"/>
            </w:tcBorders>
            <w:vAlign w:val="center"/>
          </w:tcPr>
          <w:p>
            <w:pPr>
              <w:pStyle w:val="8"/>
              <w:ind w:firstLine="0" w:firstLineChars="0"/>
              <w:jc w:val="center"/>
              <w:rPr>
                <w:rFonts w:ascii="Times New Roman" w:hAnsi="Times New Roman" w:eastAsia="仿宋_GB2312" w:cs="Times New Roman"/>
                <w:color w:val="auto"/>
                <w:szCs w:val="21"/>
                <w:highlight w:val="none"/>
              </w:rPr>
            </w:pPr>
          </w:p>
        </w:tc>
        <w:tc>
          <w:tcPr>
            <w:tcW w:w="1575" w:type="dxa"/>
            <w:tcBorders>
              <w:bottom w:val="single" w:color="000000" w:sz="4" w:space="0"/>
            </w:tcBorders>
            <w:vAlign w:val="center"/>
          </w:tcPr>
          <w:p>
            <w:pPr>
              <w:pStyle w:val="8"/>
              <w:numPr>
                <w:ilvl w:val="0"/>
                <w:numId w:val="5"/>
              </w:numPr>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监督机制</w:t>
            </w:r>
          </w:p>
        </w:tc>
        <w:tc>
          <w:tcPr>
            <w:tcW w:w="6315" w:type="dxa"/>
            <w:tcBorders>
              <w:bottom w:val="single" w:color="000000" w:sz="4" w:space="0"/>
            </w:tcBorders>
            <w:vAlign w:val="center"/>
          </w:tcPr>
          <w:p>
            <w:pPr>
              <w:pStyle w:val="8"/>
              <w:ind w:firstLine="0" w:firstLineChars="0"/>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建立监督机制和投诉处置机制，明确问题核实方式、整改反馈时限等。</w:t>
            </w:r>
          </w:p>
        </w:tc>
        <w:tc>
          <w:tcPr>
            <w:tcW w:w="906" w:type="dxa"/>
            <w:vMerge w:val="continue"/>
            <w:vAlign w:val="center"/>
          </w:tcPr>
          <w:p>
            <w:pPr>
              <w:numPr>
                <w:ilvl w:val="0"/>
                <w:numId w:val="6"/>
              </w:numPr>
              <w:jc w:val="center"/>
              <w:rPr>
                <w:rStyle w:val="7"/>
                <w:rFonts w:eastAsia="仿宋_GB2312" w:cs="Times New Roman"/>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jc w:val="center"/>
        </w:trPr>
        <w:tc>
          <w:tcPr>
            <w:tcW w:w="1092" w:type="dxa"/>
            <w:vMerge w:val="continue"/>
            <w:tcBorders>
              <w:bottom w:val="single" w:color="000000" w:sz="4" w:space="0"/>
            </w:tcBorders>
            <w:vAlign w:val="center"/>
          </w:tcPr>
          <w:p>
            <w:pPr>
              <w:pStyle w:val="8"/>
              <w:ind w:firstLine="0" w:firstLineChars="0"/>
              <w:jc w:val="center"/>
              <w:rPr>
                <w:rFonts w:ascii="Times New Roman" w:hAnsi="Times New Roman" w:eastAsia="仿宋_GB2312" w:cs="Times New Roman"/>
                <w:color w:val="auto"/>
                <w:szCs w:val="21"/>
                <w:highlight w:val="none"/>
              </w:rPr>
            </w:pPr>
          </w:p>
        </w:tc>
        <w:tc>
          <w:tcPr>
            <w:tcW w:w="1575" w:type="dxa"/>
            <w:tcBorders>
              <w:bottom w:val="single" w:color="000000" w:sz="4" w:space="0"/>
            </w:tcBorders>
            <w:vAlign w:val="center"/>
          </w:tcPr>
          <w:p>
            <w:pPr>
              <w:pStyle w:val="8"/>
              <w:numPr>
                <w:ilvl w:val="0"/>
                <w:numId w:val="5"/>
              </w:numPr>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好差评制度</w:t>
            </w:r>
          </w:p>
        </w:tc>
        <w:tc>
          <w:tcPr>
            <w:tcW w:w="6315" w:type="dxa"/>
            <w:tcBorders>
              <w:bottom w:val="single" w:color="000000" w:sz="4" w:space="0"/>
            </w:tcBorders>
            <w:vAlign w:val="center"/>
          </w:tcPr>
          <w:p>
            <w:pPr>
              <w:pStyle w:val="8"/>
              <w:ind w:firstLine="0" w:firstLineChars="0"/>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全面落实“好差评”制度，开通多种评价方式。</w:t>
            </w:r>
          </w:p>
        </w:tc>
        <w:tc>
          <w:tcPr>
            <w:tcW w:w="906" w:type="dxa"/>
            <w:vMerge w:val="continue"/>
            <w:vAlign w:val="center"/>
          </w:tcPr>
          <w:p>
            <w:pPr>
              <w:numPr>
                <w:ilvl w:val="0"/>
                <w:numId w:val="6"/>
              </w:numPr>
              <w:jc w:val="center"/>
              <w:rPr>
                <w:rStyle w:val="7"/>
                <w:rFonts w:eastAsia="仿宋_GB2312" w:cs="Times New Roman"/>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1092" w:type="dxa"/>
            <w:vMerge w:val="continue"/>
            <w:vAlign w:val="center"/>
          </w:tcPr>
          <w:p>
            <w:pPr>
              <w:pStyle w:val="8"/>
              <w:ind w:firstLine="0" w:firstLineChars="0"/>
              <w:jc w:val="center"/>
              <w:rPr>
                <w:rFonts w:ascii="Times New Roman" w:hAnsi="Times New Roman" w:eastAsia="仿宋_GB2312" w:cs="Times New Roman"/>
                <w:color w:val="auto"/>
                <w:szCs w:val="21"/>
                <w:highlight w:val="none"/>
              </w:rPr>
            </w:pPr>
          </w:p>
        </w:tc>
        <w:tc>
          <w:tcPr>
            <w:tcW w:w="1575" w:type="dxa"/>
            <w:vAlign w:val="center"/>
          </w:tcPr>
          <w:p>
            <w:pPr>
              <w:pStyle w:val="8"/>
              <w:numPr>
                <w:ilvl w:val="0"/>
                <w:numId w:val="7"/>
              </w:numPr>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评价覆盖面</w:t>
            </w:r>
          </w:p>
        </w:tc>
        <w:tc>
          <w:tcPr>
            <w:tcW w:w="6315" w:type="dxa"/>
            <w:vAlign w:val="center"/>
          </w:tcPr>
          <w:p>
            <w:pPr>
              <w:pStyle w:val="8"/>
              <w:ind w:firstLine="0" w:firstLineChars="0"/>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实现服务事项全覆盖、评价对象全覆盖、服务渠道全覆盖，畅通投诉渠道。</w:t>
            </w:r>
          </w:p>
        </w:tc>
        <w:tc>
          <w:tcPr>
            <w:tcW w:w="906" w:type="dxa"/>
            <w:vMerge w:val="continue"/>
            <w:vAlign w:val="center"/>
          </w:tcPr>
          <w:p>
            <w:pPr>
              <w:numPr>
                <w:ilvl w:val="0"/>
                <w:numId w:val="6"/>
              </w:numPr>
              <w:jc w:val="center"/>
              <w:rPr>
                <w:rStyle w:val="7"/>
                <w:rFonts w:eastAsia="仿宋_GB2312" w:cs="Times New Roman"/>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7" w:hRule="atLeast"/>
          <w:jc w:val="center"/>
        </w:trPr>
        <w:tc>
          <w:tcPr>
            <w:tcW w:w="1092" w:type="dxa"/>
            <w:vMerge w:val="continue"/>
            <w:vAlign w:val="center"/>
          </w:tcPr>
          <w:p>
            <w:pPr>
              <w:pStyle w:val="8"/>
              <w:ind w:firstLine="0" w:firstLineChars="0"/>
              <w:jc w:val="center"/>
              <w:rPr>
                <w:rFonts w:ascii="Times New Roman" w:hAnsi="Times New Roman" w:eastAsia="仿宋_GB2312" w:cs="Times New Roman"/>
                <w:color w:val="auto"/>
                <w:szCs w:val="21"/>
                <w:highlight w:val="none"/>
              </w:rPr>
            </w:pPr>
          </w:p>
        </w:tc>
        <w:tc>
          <w:tcPr>
            <w:tcW w:w="1575" w:type="dxa"/>
            <w:vAlign w:val="center"/>
          </w:tcPr>
          <w:p>
            <w:pPr>
              <w:pStyle w:val="8"/>
              <w:numPr>
                <w:ilvl w:val="0"/>
                <w:numId w:val="8"/>
              </w:numPr>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群众满意度</w:t>
            </w:r>
          </w:p>
        </w:tc>
        <w:tc>
          <w:tcPr>
            <w:tcW w:w="6315" w:type="dxa"/>
            <w:vAlign w:val="center"/>
          </w:tcPr>
          <w:p>
            <w:pPr>
              <w:pStyle w:val="8"/>
              <w:ind w:firstLine="0" w:firstLineChars="0"/>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打造群众满意的医疗保障服务，群众满意度应不低90%。</w:t>
            </w:r>
          </w:p>
        </w:tc>
        <w:tc>
          <w:tcPr>
            <w:tcW w:w="906" w:type="dxa"/>
            <w:vMerge w:val="continue"/>
            <w:vAlign w:val="center"/>
          </w:tcPr>
          <w:p>
            <w:pPr>
              <w:numPr>
                <w:ilvl w:val="0"/>
                <w:numId w:val="6"/>
              </w:numPr>
              <w:jc w:val="center"/>
              <w:rPr>
                <w:rStyle w:val="7"/>
                <w:rFonts w:eastAsia="仿宋_GB2312" w:cs="Times New Roman"/>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7" w:hRule="atLeast"/>
          <w:jc w:val="center"/>
        </w:trPr>
        <w:tc>
          <w:tcPr>
            <w:tcW w:w="1092" w:type="dxa"/>
            <w:vMerge w:val="restart"/>
            <w:vAlign w:val="center"/>
          </w:tcPr>
          <w:p>
            <w:pPr>
              <w:pStyle w:val="8"/>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经办队伍素质过硬</w:t>
            </w:r>
          </w:p>
        </w:tc>
        <w:tc>
          <w:tcPr>
            <w:tcW w:w="1575" w:type="dxa"/>
            <w:vAlign w:val="center"/>
          </w:tcPr>
          <w:p>
            <w:pPr>
              <w:pStyle w:val="8"/>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20.政府支持</w:t>
            </w:r>
          </w:p>
        </w:tc>
        <w:tc>
          <w:tcPr>
            <w:tcW w:w="6315" w:type="dxa"/>
            <w:vAlign w:val="center"/>
          </w:tcPr>
          <w:p>
            <w:pPr>
              <w:pStyle w:val="8"/>
              <w:ind w:firstLine="0" w:firstLineChars="0"/>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加强对医疗保障经办工作的支持，合理保障医疗保障的人员、基本运行、管理等经费。</w:t>
            </w:r>
          </w:p>
        </w:tc>
        <w:tc>
          <w:tcPr>
            <w:tcW w:w="906" w:type="dxa"/>
            <w:vMerge w:val="restart"/>
            <w:vAlign w:val="center"/>
          </w:tcPr>
          <w:p>
            <w:pPr>
              <w:pStyle w:val="8"/>
              <w:ind w:firstLine="0" w:firstLineChars="0"/>
              <w:jc w:val="center"/>
              <w:rPr>
                <w:rStyle w:val="7"/>
                <w:rFonts w:eastAsia="仿宋_GB2312" w:cs="Times New Roman"/>
                <w:color w:val="auto"/>
                <w:kern w:val="0"/>
                <w:sz w:val="21"/>
                <w:szCs w:val="21"/>
                <w:highlight w:val="none"/>
              </w:rPr>
            </w:pPr>
            <w:r>
              <w:rPr>
                <w:rStyle w:val="7"/>
                <w:rFonts w:eastAsia="仿宋_GB2312" w:cs="Times New Roman"/>
                <w:color w:val="auto"/>
                <w:kern w:val="0"/>
                <w:sz w:val="21"/>
                <w:szCs w:val="21"/>
                <w:highlight w:val="none"/>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7" w:hRule="atLeast"/>
          <w:jc w:val="center"/>
        </w:trPr>
        <w:tc>
          <w:tcPr>
            <w:tcW w:w="1092" w:type="dxa"/>
            <w:vMerge w:val="continue"/>
            <w:vAlign w:val="center"/>
          </w:tcPr>
          <w:p>
            <w:pPr>
              <w:pStyle w:val="8"/>
              <w:ind w:firstLine="0" w:firstLineChars="0"/>
              <w:jc w:val="center"/>
              <w:rPr>
                <w:rFonts w:ascii="Times New Roman" w:hAnsi="Times New Roman" w:eastAsia="仿宋_GB2312" w:cs="Times New Roman"/>
                <w:color w:val="auto"/>
                <w:szCs w:val="21"/>
                <w:highlight w:val="none"/>
              </w:rPr>
            </w:pPr>
          </w:p>
        </w:tc>
        <w:tc>
          <w:tcPr>
            <w:tcW w:w="1575" w:type="dxa"/>
            <w:vAlign w:val="center"/>
          </w:tcPr>
          <w:p>
            <w:pPr>
              <w:pStyle w:val="8"/>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21.队伍建设</w:t>
            </w:r>
          </w:p>
        </w:tc>
        <w:tc>
          <w:tcPr>
            <w:tcW w:w="6315" w:type="dxa"/>
            <w:vAlign w:val="center"/>
          </w:tcPr>
          <w:p>
            <w:pPr>
              <w:pStyle w:val="8"/>
              <w:ind w:firstLine="0" w:firstLineChars="0"/>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统筹用好编制内资源，以满足办事服务需要为标准，合理配备与定点医药机构数、参保人员数以及工作职责相匹配的医疗保障服务工作力量。</w:t>
            </w:r>
          </w:p>
        </w:tc>
        <w:tc>
          <w:tcPr>
            <w:tcW w:w="906" w:type="dxa"/>
            <w:vMerge w:val="continue"/>
            <w:vAlign w:val="center"/>
          </w:tcPr>
          <w:p>
            <w:pPr>
              <w:pStyle w:val="8"/>
              <w:ind w:firstLine="441"/>
              <w:jc w:val="center"/>
              <w:rPr>
                <w:rStyle w:val="7"/>
                <w:rFonts w:eastAsia="仿宋_GB2312" w:cs="Times New Roman"/>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7" w:hRule="atLeast"/>
          <w:jc w:val="center"/>
        </w:trPr>
        <w:tc>
          <w:tcPr>
            <w:tcW w:w="1092" w:type="dxa"/>
            <w:vMerge w:val="continue"/>
            <w:vAlign w:val="center"/>
          </w:tcPr>
          <w:p>
            <w:pPr>
              <w:pStyle w:val="8"/>
              <w:ind w:firstLine="0" w:firstLineChars="0"/>
              <w:jc w:val="center"/>
              <w:rPr>
                <w:rFonts w:ascii="Times New Roman" w:hAnsi="Times New Roman" w:eastAsia="仿宋_GB2312" w:cs="Times New Roman"/>
                <w:color w:val="auto"/>
                <w:szCs w:val="21"/>
                <w:highlight w:val="none"/>
              </w:rPr>
            </w:pPr>
          </w:p>
        </w:tc>
        <w:tc>
          <w:tcPr>
            <w:tcW w:w="1575" w:type="dxa"/>
            <w:vAlign w:val="center"/>
          </w:tcPr>
          <w:p>
            <w:pPr>
              <w:pStyle w:val="8"/>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22.人员培训</w:t>
            </w:r>
          </w:p>
        </w:tc>
        <w:tc>
          <w:tcPr>
            <w:tcW w:w="6315" w:type="dxa"/>
            <w:vAlign w:val="center"/>
          </w:tcPr>
          <w:p>
            <w:pPr>
              <w:pStyle w:val="8"/>
              <w:ind w:firstLine="0" w:firstLineChars="0"/>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加强对医疗保障经办工作人员和窗口人员政策、经办流程、服务标准等业务方面的培训，推进医疗保障经办队伍专业化、规范化，为乡镇（街道）、村（社区）提供业务指导。</w:t>
            </w:r>
          </w:p>
        </w:tc>
        <w:tc>
          <w:tcPr>
            <w:tcW w:w="906" w:type="dxa"/>
            <w:vMerge w:val="continue"/>
            <w:vAlign w:val="center"/>
          </w:tcPr>
          <w:p>
            <w:pPr>
              <w:pStyle w:val="8"/>
              <w:ind w:firstLine="441"/>
              <w:jc w:val="center"/>
              <w:rPr>
                <w:rStyle w:val="7"/>
                <w:rFonts w:eastAsia="仿宋_GB2312" w:cs="Times New Roman"/>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atLeast"/>
          <w:jc w:val="center"/>
        </w:trPr>
        <w:tc>
          <w:tcPr>
            <w:tcW w:w="1092" w:type="dxa"/>
            <w:vMerge w:val="continue"/>
            <w:vAlign w:val="center"/>
          </w:tcPr>
          <w:p>
            <w:pPr>
              <w:pStyle w:val="8"/>
              <w:ind w:firstLine="0" w:firstLineChars="0"/>
              <w:jc w:val="center"/>
              <w:rPr>
                <w:rFonts w:ascii="Times New Roman" w:hAnsi="Times New Roman" w:eastAsia="仿宋_GB2312" w:cs="Times New Roman"/>
                <w:color w:val="auto"/>
                <w:szCs w:val="21"/>
                <w:highlight w:val="none"/>
              </w:rPr>
            </w:pPr>
          </w:p>
        </w:tc>
        <w:tc>
          <w:tcPr>
            <w:tcW w:w="1575" w:type="dxa"/>
            <w:vAlign w:val="center"/>
          </w:tcPr>
          <w:p>
            <w:pPr>
              <w:pStyle w:val="8"/>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23.仪容仪表</w:t>
            </w:r>
          </w:p>
        </w:tc>
        <w:tc>
          <w:tcPr>
            <w:tcW w:w="6315" w:type="dxa"/>
            <w:vAlign w:val="center"/>
          </w:tcPr>
          <w:p>
            <w:pPr>
              <w:pStyle w:val="8"/>
              <w:ind w:firstLine="0" w:firstLineChars="0"/>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窗口工作人员在履职期间应按医保服务大厅（政务服务大厅）要求着装，佩戴工牌，服务热情，态度友好。</w:t>
            </w:r>
          </w:p>
        </w:tc>
        <w:tc>
          <w:tcPr>
            <w:tcW w:w="906" w:type="dxa"/>
            <w:vMerge w:val="continue"/>
            <w:vAlign w:val="center"/>
          </w:tcPr>
          <w:p>
            <w:pPr>
              <w:pStyle w:val="8"/>
              <w:ind w:firstLine="441"/>
              <w:jc w:val="center"/>
              <w:rPr>
                <w:rStyle w:val="7"/>
                <w:rFonts w:eastAsia="仿宋_GB2312" w:cs="Times New Roman"/>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jc w:val="center"/>
        </w:trPr>
        <w:tc>
          <w:tcPr>
            <w:tcW w:w="1092" w:type="dxa"/>
            <w:vMerge w:val="restart"/>
            <w:tcBorders>
              <w:bottom w:val="single" w:color="000000" w:sz="4" w:space="0"/>
            </w:tcBorders>
            <w:vAlign w:val="center"/>
          </w:tcPr>
          <w:p>
            <w:pPr>
              <w:pStyle w:val="8"/>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服务场所科学布局</w:t>
            </w:r>
          </w:p>
        </w:tc>
        <w:tc>
          <w:tcPr>
            <w:tcW w:w="1575" w:type="dxa"/>
            <w:tcBorders>
              <w:bottom w:val="single" w:color="000000" w:sz="4" w:space="0"/>
            </w:tcBorders>
            <w:vAlign w:val="center"/>
          </w:tcPr>
          <w:p>
            <w:pPr>
              <w:pStyle w:val="8"/>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24.服务地点</w:t>
            </w:r>
          </w:p>
        </w:tc>
        <w:tc>
          <w:tcPr>
            <w:tcW w:w="6315" w:type="dxa"/>
            <w:tcBorders>
              <w:bottom w:val="single" w:color="000000" w:sz="4" w:space="0"/>
            </w:tcBorders>
            <w:vAlign w:val="center"/>
          </w:tcPr>
          <w:p>
            <w:pPr>
              <w:pStyle w:val="8"/>
              <w:ind w:firstLine="0" w:firstLineChars="0"/>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医保服务大厅选址应以便民为原则，服务地点易查询。</w:t>
            </w:r>
          </w:p>
        </w:tc>
        <w:tc>
          <w:tcPr>
            <w:tcW w:w="906" w:type="dxa"/>
            <w:vMerge w:val="restart"/>
            <w:vAlign w:val="center"/>
          </w:tcPr>
          <w:p>
            <w:pPr>
              <w:jc w:val="center"/>
              <w:rPr>
                <w:rFonts w:ascii="Times New Roman" w:hAnsi="Times New Roman" w:eastAsia="仿宋_GB2312" w:cs="Times New Roman"/>
                <w:color w:val="auto"/>
                <w:sz w:val="21"/>
                <w:szCs w:val="21"/>
                <w:highlight w:val="none"/>
              </w:rPr>
            </w:pPr>
            <w:r>
              <w:rPr>
                <w:rFonts w:ascii="Times New Roman" w:hAnsi="Times New Roman" w:eastAsia="仿宋_GB2312" w:cs="Times New Roman"/>
                <w:color w:val="auto"/>
                <w:sz w:val="21"/>
                <w:szCs w:val="21"/>
                <w:highlight w:val="none"/>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5" w:hRule="atLeast"/>
          <w:jc w:val="center"/>
        </w:trPr>
        <w:tc>
          <w:tcPr>
            <w:tcW w:w="1092" w:type="dxa"/>
            <w:vMerge w:val="continue"/>
            <w:vAlign w:val="center"/>
          </w:tcPr>
          <w:p>
            <w:pPr>
              <w:pStyle w:val="8"/>
              <w:ind w:firstLine="0" w:firstLineChars="0"/>
              <w:rPr>
                <w:rFonts w:ascii="Times New Roman" w:hAnsi="Times New Roman" w:eastAsia="仿宋_GB2312" w:cs="Times New Roman"/>
                <w:color w:val="auto"/>
                <w:szCs w:val="21"/>
                <w:highlight w:val="none"/>
              </w:rPr>
            </w:pPr>
          </w:p>
        </w:tc>
        <w:tc>
          <w:tcPr>
            <w:tcW w:w="1575" w:type="dxa"/>
            <w:vAlign w:val="center"/>
          </w:tcPr>
          <w:p>
            <w:pPr>
              <w:pStyle w:val="8"/>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25.区域设置</w:t>
            </w:r>
          </w:p>
        </w:tc>
        <w:tc>
          <w:tcPr>
            <w:tcW w:w="6315" w:type="dxa"/>
            <w:vAlign w:val="center"/>
          </w:tcPr>
          <w:p>
            <w:pPr>
              <w:pStyle w:val="8"/>
              <w:ind w:firstLine="0" w:firstLineChars="0"/>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内部根据服务对象需求，至少划分引导咨询区、自助服务区、自动排队叫号区、等候休息区、柜台受理服务区、多媒体服务区等功能区域。</w:t>
            </w:r>
          </w:p>
        </w:tc>
        <w:tc>
          <w:tcPr>
            <w:tcW w:w="906" w:type="dxa"/>
            <w:vMerge w:val="continue"/>
            <w:vAlign w:val="center"/>
          </w:tcPr>
          <w:p>
            <w:pPr>
              <w:rPr>
                <w:rFonts w:ascii="Times New Roman" w:hAnsi="Times New Roman" w:eastAsia="仿宋_GB2312"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1092" w:type="dxa"/>
            <w:vMerge w:val="continue"/>
            <w:tcBorders>
              <w:bottom w:val="single" w:color="000000" w:sz="4" w:space="0"/>
            </w:tcBorders>
            <w:vAlign w:val="center"/>
          </w:tcPr>
          <w:p>
            <w:pPr>
              <w:pStyle w:val="8"/>
              <w:ind w:firstLine="0" w:firstLineChars="0"/>
              <w:rPr>
                <w:rFonts w:ascii="Times New Roman" w:hAnsi="Times New Roman" w:eastAsia="仿宋_GB2312" w:cs="Times New Roman"/>
                <w:color w:val="auto"/>
                <w:szCs w:val="21"/>
                <w:highlight w:val="none"/>
              </w:rPr>
            </w:pPr>
          </w:p>
        </w:tc>
        <w:tc>
          <w:tcPr>
            <w:tcW w:w="1575" w:type="dxa"/>
            <w:tcBorders>
              <w:bottom w:val="single" w:color="000000" w:sz="4" w:space="0"/>
            </w:tcBorders>
            <w:vAlign w:val="center"/>
          </w:tcPr>
          <w:p>
            <w:pPr>
              <w:pStyle w:val="8"/>
              <w:numPr>
                <w:ilvl w:val="0"/>
                <w:numId w:val="9"/>
              </w:numPr>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窗口设置</w:t>
            </w:r>
          </w:p>
        </w:tc>
        <w:tc>
          <w:tcPr>
            <w:tcW w:w="6315" w:type="dxa"/>
            <w:tcBorders>
              <w:bottom w:val="single" w:color="000000" w:sz="4" w:space="0"/>
            </w:tcBorders>
            <w:vAlign w:val="center"/>
          </w:tcPr>
          <w:p>
            <w:pPr>
              <w:pStyle w:val="8"/>
              <w:ind w:firstLine="0" w:firstLineChars="0"/>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合理设置窗口数量，根据办事人数及时开放，建议不少于3个，有条件的可预留机动窗口。</w:t>
            </w:r>
          </w:p>
        </w:tc>
        <w:tc>
          <w:tcPr>
            <w:tcW w:w="906" w:type="dxa"/>
            <w:vMerge w:val="continue"/>
            <w:vAlign w:val="center"/>
          </w:tcPr>
          <w:p>
            <w:pPr>
              <w:rPr>
                <w:rFonts w:ascii="Times New Roman" w:hAnsi="Times New Roman" w:eastAsia="仿宋_GB2312"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 w:hRule="atLeast"/>
          <w:jc w:val="center"/>
        </w:trPr>
        <w:tc>
          <w:tcPr>
            <w:tcW w:w="1092" w:type="dxa"/>
            <w:vMerge w:val="continue"/>
            <w:vAlign w:val="center"/>
          </w:tcPr>
          <w:p>
            <w:pPr>
              <w:pStyle w:val="8"/>
              <w:ind w:firstLine="0" w:firstLineChars="0"/>
              <w:rPr>
                <w:rFonts w:ascii="Times New Roman" w:hAnsi="Times New Roman" w:eastAsia="仿宋_GB2312" w:cs="Times New Roman"/>
                <w:color w:val="auto"/>
                <w:szCs w:val="21"/>
                <w:highlight w:val="none"/>
              </w:rPr>
            </w:pPr>
          </w:p>
        </w:tc>
        <w:tc>
          <w:tcPr>
            <w:tcW w:w="1575" w:type="dxa"/>
            <w:vAlign w:val="center"/>
          </w:tcPr>
          <w:p>
            <w:pPr>
              <w:pStyle w:val="8"/>
              <w:numPr>
                <w:ilvl w:val="0"/>
                <w:numId w:val="9"/>
              </w:numPr>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业务办理</w:t>
            </w:r>
          </w:p>
        </w:tc>
        <w:tc>
          <w:tcPr>
            <w:tcW w:w="6315" w:type="dxa"/>
            <w:vAlign w:val="center"/>
          </w:tcPr>
          <w:p>
            <w:pPr>
              <w:pStyle w:val="8"/>
              <w:ind w:firstLine="0" w:firstLineChars="0"/>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医疗保障服务业务原则上窗口可办。</w:t>
            </w:r>
          </w:p>
        </w:tc>
        <w:tc>
          <w:tcPr>
            <w:tcW w:w="906" w:type="dxa"/>
            <w:vMerge w:val="continue"/>
            <w:vAlign w:val="center"/>
          </w:tcPr>
          <w:p>
            <w:pPr>
              <w:rPr>
                <w:rFonts w:ascii="Times New Roman" w:hAnsi="Times New Roman" w:eastAsia="仿宋_GB2312"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1092" w:type="dxa"/>
            <w:vMerge w:val="continue"/>
            <w:tcBorders>
              <w:bottom w:val="single" w:color="000000" w:sz="4" w:space="0"/>
            </w:tcBorders>
            <w:vAlign w:val="center"/>
          </w:tcPr>
          <w:p>
            <w:pPr>
              <w:pStyle w:val="8"/>
              <w:ind w:firstLine="0" w:firstLineChars="0"/>
              <w:rPr>
                <w:rFonts w:ascii="Times New Roman" w:hAnsi="Times New Roman" w:eastAsia="仿宋_GB2312" w:cs="Times New Roman"/>
                <w:color w:val="auto"/>
                <w:szCs w:val="21"/>
                <w:highlight w:val="none"/>
              </w:rPr>
            </w:pPr>
          </w:p>
        </w:tc>
        <w:tc>
          <w:tcPr>
            <w:tcW w:w="1575" w:type="dxa"/>
            <w:tcBorders>
              <w:bottom w:val="single" w:color="000000" w:sz="4" w:space="0"/>
            </w:tcBorders>
            <w:vAlign w:val="center"/>
          </w:tcPr>
          <w:p>
            <w:pPr>
              <w:pStyle w:val="8"/>
              <w:numPr>
                <w:ilvl w:val="0"/>
                <w:numId w:val="9"/>
              </w:numPr>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设施设备</w:t>
            </w:r>
          </w:p>
        </w:tc>
        <w:tc>
          <w:tcPr>
            <w:tcW w:w="6315" w:type="dxa"/>
            <w:tcBorders>
              <w:bottom w:val="single" w:color="000000" w:sz="4" w:space="0"/>
            </w:tcBorders>
            <w:vAlign w:val="center"/>
          </w:tcPr>
          <w:p>
            <w:pPr>
              <w:pStyle w:val="8"/>
              <w:ind w:firstLine="0" w:firstLineChars="0"/>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基础设施建设、设备配置应符合《医疗保障经办大厅设置与服务规范（试行）》有关要求。</w:t>
            </w:r>
          </w:p>
        </w:tc>
        <w:tc>
          <w:tcPr>
            <w:tcW w:w="906" w:type="dxa"/>
            <w:vMerge w:val="continue"/>
            <w:vAlign w:val="center"/>
          </w:tcPr>
          <w:p>
            <w:pPr>
              <w:rPr>
                <w:rFonts w:ascii="Times New Roman" w:hAnsi="Times New Roman" w:eastAsia="仿宋_GB2312"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9" w:hRule="atLeast"/>
          <w:jc w:val="center"/>
        </w:trPr>
        <w:tc>
          <w:tcPr>
            <w:tcW w:w="1092" w:type="dxa"/>
            <w:vMerge w:val="continue"/>
            <w:tcBorders>
              <w:bottom w:val="single" w:color="000000" w:sz="4" w:space="0"/>
            </w:tcBorders>
            <w:vAlign w:val="center"/>
          </w:tcPr>
          <w:p>
            <w:pPr>
              <w:pStyle w:val="8"/>
              <w:ind w:firstLine="0" w:firstLineChars="0"/>
              <w:rPr>
                <w:rFonts w:ascii="Times New Roman" w:hAnsi="Times New Roman" w:eastAsia="仿宋_GB2312" w:cs="Times New Roman"/>
                <w:color w:val="auto"/>
                <w:szCs w:val="21"/>
                <w:highlight w:val="none"/>
              </w:rPr>
            </w:pPr>
          </w:p>
        </w:tc>
        <w:tc>
          <w:tcPr>
            <w:tcW w:w="1575" w:type="dxa"/>
            <w:tcBorders>
              <w:bottom w:val="single" w:color="000000" w:sz="4" w:space="0"/>
            </w:tcBorders>
            <w:vAlign w:val="center"/>
          </w:tcPr>
          <w:p>
            <w:pPr>
              <w:pStyle w:val="8"/>
              <w:numPr>
                <w:ilvl w:val="0"/>
                <w:numId w:val="9"/>
              </w:numPr>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标识标志</w:t>
            </w:r>
          </w:p>
        </w:tc>
        <w:tc>
          <w:tcPr>
            <w:tcW w:w="6315" w:type="dxa"/>
            <w:tcBorders>
              <w:bottom w:val="single" w:color="000000" w:sz="4" w:space="0"/>
            </w:tcBorders>
            <w:vAlign w:val="center"/>
          </w:tcPr>
          <w:p>
            <w:pPr>
              <w:pStyle w:val="8"/>
              <w:ind w:firstLine="0" w:firstLineChars="0"/>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标识标志设置清晰、统一、规范，应按照《中国医疗保障官方标识使用管理办法（暂行）》规定配置医保官方标识和徽标。</w:t>
            </w:r>
          </w:p>
        </w:tc>
        <w:tc>
          <w:tcPr>
            <w:tcW w:w="906" w:type="dxa"/>
            <w:vMerge w:val="continue"/>
            <w:vAlign w:val="center"/>
          </w:tcPr>
          <w:p>
            <w:pPr>
              <w:pStyle w:val="8"/>
              <w:ind w:firstLine="441"/>
              <w:rPr>
                <w:rFonts w:ascii="Times New Roman" w:hAnsi="Times New Roman" w:eastAsia="仿宋_GB2312" w:cs="Times New Roman"/>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1092" w:type="dxa"/>
            <w:vMerge w:val="continue"/>
            <w:vAlign w:val="center"/>
          </w:tcPr>
          <w:p>
            <w:pPr>
              <w:pStyle w:val="8"/>
              <w:ind w:firstLine="0" w:firstLineChars="0"/>
              <w:rPr>
                <w:rFonts w:ascii="Times New Roman" w:hAnsi="Times New Roman" w:eastAsia="仿宋_GB2312" w:cs="Times New Roman"/>
                <w:color w:val="auto"/>
                <w:szCs w:val="21"/>
                <w:highlight w:val="none"/>
              </w:rPr>
            </w:pPr>
          </w:p>
        </w:tc>
        <w:tc>
          <w:tcPr>
            <w:tcW w:w="1575" w:type="dxa"/>
            <w:vAlign w:val="center"/>
          </w:tcPr>
          <w:p>
            <w:pPr>
              <w:pStyle w:val="8"/>
              <w:numPr>
                <w:ilvl w:val="0"/>
                <w:numId w:val="9"/>
              </w:numPr>
              <w:ind w:firstLine="0" w:firstLineChars="0"/>
              <w:jc w:val="center"/>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口号标志</w:t>
            </w:r>
          </w:p>
        </w:tc>
        <w:tc>
          <w:tcPr>
            <w:tcW w:w="6315" w:type="dxa"/>
            <w:vAlign w:val="center"/>
          </w:tcPr>
          <w:p>
            <w:pPr>
              <w:pStyle w:val="8"/>
              <w:ind w:firstLine="0" w:firstLineChars="0"/>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t>在显著位置展示“中国医保 一生守护”服务口号。</w:t>
            </w:r>
          </w:p>
        </w:tc>
        <w:tc>
          <w:tcPr>
            <w:tcW w:w="906" w:type="dxa"/>
            <w:vMerge w:val="continue"/>
            <w:vAlign w:val="center"/>
          </w:tcPr>
          <w:p>
            <w:pPr>
              <w:pStyle w:val="8"/>
              <w:ind w:firstLine="0" w:firstLineChars="0"/>
              <w:rPr>
                <w:rFonts w:ascii="Times New Roman" w:hAnsi="Times New Roman" w:eastAsia="仿宋_GB2312" w:cs="Times New Roman"/>
                <w:color w:val="auto"/>
                <w:szCs w:val="21"/>
                <w:highlight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662FAA"/>
    <w:multiLevelType w:val="singleLevel"/>
    <w:tmpl w:val="62662FAA"/>
    <w:lvl w:ilvl="0" w:tentative="0">
      <w:start w:val="26"/>
      <w:numFmt w:val="decimal"/>
      <w:suff w:val="nothing"/>
      <w:lvlText w:val="%1."/>
      <w:lvlJc w:val="left"/>
    </w:lvl>
  </w:abstractNum>
  <w:abstractNum w:abstractNumId="1">
    <w:nsid w:val="6266416F"/>
    <w:multiLevelType w:val="singleLevel"/>
    <w:tmpl w:val="6266416F"/>
    <w:lvl w:ilvl="0" w:tentative="0">
      <w:start w:val="15"/>
      <w:numFmt w:val="decimal"/>
      <w:suff w:val="nothing"/>
      <w:lvlText w:val="%1."/>
      <w:lvlJc w:val="left"/>
    </w:lvl>
  </w:abstractNum>
  <w:abstractNum w:abstractNumId="2">
    <w:nsid w:val="626646ED"/>
    <w:multiLevelType w:val="singleLevel"/>
    <w:tmpl w:val="626646ED"/>
    <w:lvl w:ilvl="0" w:tentative="0">
      <w:start w:val="1"/>
      <w:numFmt w:val="upperLetter"/>
      <w:suff w:val="nothing"/>
      <w:lvlText w:val="%1."/>
      <w:lvlJc w:val="left"/>
    </w:lvl>
  </w:abstractNum>
  <w:abstractNum w:abstractNumId="3">
    <w:nsid w:val="626648CF"/>
    <w:multiLevelType w:val="singleLevel"/>
    <w:tmpl w:val="626648CF"/>
    <w:lvl w:ilvl="0" w:tentative="0">
      <w:start w:val="19"/>
      <w:numFmt w:val="decimal"/>
      <w:suff w:val="nothing"/>
      <w:lvlText w:val="%1."/>
      <w:lvlJc w:val="left"/>
    </w:lvl>
  </w:abstractNum>
  <w:abstractNum w:abstractNumId="4">
    <w:nsid w:val="62664986"/>
    <w:multiLevelType w:val="singleLevel"/>
    <w:tmpl w:val="62664986"/>
    <w:lvl w:ilvl="0" w:tentative="0">
      <w:start w:val="18"/>
      <w:numFmt w:val="decimal"/>
      <w:suff w:val="nothing"/>
      <w:lvlText w:val="%1."/>
      <w:lvlJc w:val="left"/>
    </w:lvl>
  </w:abstractNum>
  <w:abstractNum w:abstractNumId="5">
    <w:nsid w:val="62665D57"/>
    <w:multiLevelType w:val="singleLevel"/>
    <w:tmpl w:val="62665D57"/>
    <w:lvl w:ilvl="0" w:tentative="0">
      <w:start w:val="8"/>
      <w:numFmt w:val="decimal"/>
      <w:suff w:val="nothing"/>
      <w:lvlText w:val="%1."/>
      <w:lvlJc w:val="left"/>
    </w:lvl>
  </w:abstractNum>
  <w:abstractNum w:abstractNumId="6">
    <w:nsid w:val="62665DDE"/>
    <w:multiLevelType w:val="singleLevel"/>
    <w:tmpl w:val="62665DDE"/>
    <w:lvl w:ilvl="0" w:tentative="0">
      <w:start w:val="13"/>
      <w:numFmt w:val="decimal"/>
      <w:suff w:val="nothing"/>
      <w:lvlText w:val="%1."/>
      <w:lvlJc w:val="left"/>
    </w:lvl>
  </w:abstractNum>
  <w:abstractNum w:abstractNumId="7">
    <w:nsid w:val="62665F4E"/>
    <w:multiLevelType w:val="singleLevel"/>
    <w:tmpl w:val="62665F4E"/>
    <w:lvl w:ilvl="0" w:tentative="0">
      <w:start w:val="6"/>
      <w:numFmt w:val="decimal"/>
      <w:suff w:val="nothing"/>
      <w:lvlText w:val="%1."/>
      <w:lvlJc w:val="left"/>
    </w:lvl>
  </w:abstractNum>
  <w:abstractNum w:abstractNumId="8">
    <w:nsid w:val="62665F71"/>
    <w:multiLevelType w:val="singleLevel"/>
    <w:tmpl w:val="62665F71"/>
    <w:lvl w:ilvl="0" w:tentative="0">
      <w:start w:val="5"/>
      <w:numFmt w:val="decimal"/>
      <w:suff w:val="nothing"/>
      <w:lvlText w:val="%1."/>
      <w:lvlJc w:val="left"/>
    </w:lvl>
  </w:abstractNum>
  <w:num w:numId="1">
    <w:abstractNumId w:val="8"/>
  </w:num>
  <w:num w:numId="2">
    <w:abstractNumId w:val="7"/>
  </w:num>
  <w:num w:numId="3">
    <w:abstractNumId w:val="5"/>
  </w:num>
  <w:num w:numId="4">
    <w:abstractNumId w:val="6"/>
  </w:num>
  <w:num w:numId="5">
    <w:abstractNumId w:val="1"/>
  </w:num>
  <w:num w:numId="6">
    <w:abstractNumId w:val="2"/>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2NTc0MTVmMWUyNGQzNGUwNzFkZjI3NWRmMWQ4ZWIifQ=="/>
  </w:docVars>
  <w:rsids>
    <w:rsidRoot w:val="5A241867"/>
    <w:rsid w:val="5A241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index 5"/>
    <w:basedOn w:val="1"/>
    <w:next w:val="1"/>
    <w:semiHidden/>
    <w:qFormat/>
    <w:uiPriority w:val="99"/>
    <w:pPr>
      <w:ind w:left="1680"/>
    </w:pPr>
  </w:style>
  <w:style w:type="paragraph" w:styleId="4">
    <w:name w:val="footer"/>
    <w:basedOn w:val="1"/>
    <w:next w:val="3"/>
    <w:semiHidden/>
    <w:unhideWhenUsed/>
    <w:qFormat/>
    <w:uiPriority w:val="99"/>
    <w:pPr>
      <w:tabs>
        <w:tab w:val="center" w:pos="4153"/>
        <w:tab w:val="right" w:pos="8306"/>
      </w:tabs>
      <w:snapToGrid w:val="0"/>
      <w:jc w:val="left"/>
    </w:pPr>
    <w:rPr>
      <w:sz w:val="18"/>
      <w:szCs w:val="18"/>
    </w:rPr>
  </w:style>
  <w:style w:type="character" w:styleId="7">
    <w:name w:val="Strong"/>
    <w:qFormat/>
    <w:uiPriority w:val="22"/>
    <w:rPr>
      <w:rFonts w:ascii="Times New Roman" w:hAnsi="Times New Roman" w:eastAsia="宋体"/>
      <w:bCs/>
      <w:sz w:val="18"/>
    </w:rPr>
  </w:style>
  <w:style w:type="paragraph" w:customStyle="1" w:styleId="8">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2022-11-28T07:21:00Z</dcterms:created>
  <dc:creator>一库</dc:creator>
  <cp:lastModifiedBy>一库</cp:lastModifiedBy>
  <dcterms:modified xsi:type="dcterms:W3CDTF">2022-11-28T07:22:08Z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A8158FBA94B442A2AFBB6A8A684CF721</vt:lpwstr>
  </property>
</Properties>
</file>