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0"/>
        </w:numPr>
        <w:autoSpaceDE/>
        <w:autoSpaceDN/>
        <w:adjustRightInd w:val="0"/>
        <w:snapToGrid w:val="0"/>
        <w:spacing w:line="560" w:lineRule="exact"/>
        <w:jc w:val="left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附件</w:t>
      </w:r>
    </w:p>
    <w:p>
      <w:pPr>
        <w:pStyle w:val="3"/>
        <w:numPr>
          <w:ilvl w:val="0"/>
          <w:numId w:val="0"/>
        </w:numPr>
        <w:autoSpaceDE/>
        <w:autoSpaceDN/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pStyle w:val="3"/>
        <w:numPr>
          <w:ilvl w:val="0"/>
          <w:numId w:val="0"/>
        </w:numPr>
        <w:autoSpaceDE/>
        <w:autoSpaceDN/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广西壮族自治区医疗保障基金结算清单及</w:t>
      </w:r>
    </w:p>
    <w:p>
      <w:pPr>
        <w:pStyle w:val="3"/>
        <w:numPr>
          <w:ilvl w:val="0"/>
          <w:numId w:val="0"/>
        </w:numPr>
        <w:autoSpaceDE/>
        <w:autoSpaceDN/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编码填报管理规范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2025年修订部分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）</w:t>
      </w:r>
    </w:p>
    <w:p>
      <w:pPr>
        <w:pStyle w:val="3"/>
        <w:numPr>
          <w:ilvl w:val="0"/>
          <w:numId w:val="0"/>
        </w:numPr>
        <w:autoSpaceDE/>
        <w:autoSpaceDN/>
        <w:adjustRightInd w:val="0"/>
        <w:snapToGrid w:val="0"/>
        <w:spacing w:line="560" w:lineRule="exact"/>
        <w:ind w:firstLine="640" w:firstLineChars="200"/>
        <w:jc w:val="center"/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lang w:eastAsia="zh-CN"/>
        </w:rPr>
      </w:pPr>
    </w:p>
    <w:p>
      <w:pPr>
        <w:pStyle w:val="3"/>
        <w:numPr>
          <w:ilvl w:val="0"/>
          <w:numId w:val="0"/>
        </w:numPr>
        <w:autoSpaceDE/>
        <w:autoSpaceDN/>
        <w:adjustRightInd w:val="0"/>
        <w:snapToGrid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</w:rPr>
        <w:t>第六十七条</w:t>
      </w:r>
      <w:r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恶性肿瘤术前、术中、术后放射治疗，不区分是否足疗程。</w:t>
      </w:r>
    </w:p>
    <w:p>
      <w:pPr>
        <w:widowControl/>
        <w:numPr>
          <w:ilvl w:val="0"/>
          <w:numId w:val="0"/>
        </w:numPr>
        <w:spacing w:line="560" w:lineRule="exact"/>
        <w:ind w:leftChars="0" w:firstLine="640" w:firstLineChars="200"/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</w:rPr>
        <w:t>第六十八条</w:t>
      </w:r>
    </w:p>
    <w:p>
      <w:pPr>
        <w:pStyle w:val="3"/>
        <w:autoSpaceDE/>
        <w:autoSpaceDN/>
        <w:adjustRightInd w:val="0"/>
        <w:snapToGrid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肿瘤化学治疗（Z51.1）指符合恶性肿瘤临床实践指南（NCCN）方案的化疗。恶性肿瘤化学治疗分为术前化疗、术后化疗、维持性化疗、终末期化疗和姑息化疗等。</w:t>
      </w:r>
    </w:p>
    <w:p>
      <w:pPr>
        <w:pStyle w:val="3"/>
        <w:autoSpaceDE/>
        <w:autoSpaceDN/>
        <w:adjustRightInd w:val="0"/>
        <w:snapToGrid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trike w:val="0"/>
          <w:dstrike w:val="0"/>
          <w:color w:val="auto"/>
          <w:kern w:val="2"/>
          <w:sz w:val="32"/>
          <w:szCs w:val="32"/>
        </w:rPr>
        <w:t>非疗程化疗、不符合 NCCN 方案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kern w:val="2"/>
          <w:sz w:val="32"/>
          <w:szCs w:val="32"/>
          <w:highlight w:val="none"/>
          <w:lang w:eastAsia="zh-CN"/>
        </w:rPr>
        <w:t>化疗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kern w:val="2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kern w:val="2"/>
          <w:sz w:val="32"/>
          <w:szCs w:val="32"/>
        </w:rPr>
        <w:t>按姑息性化疗（Z51.104）填报。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具体见下表：</w:t>
      </w:r>
    </w:p>
    <w:tbl>
      <w:tblPr>
        <w:tblStyle w:val="6"/>
        <w:tblW w:w="907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0"/>
        <w:gridCol w:w="3135"/>
        <w:gridCol w:w="48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auto"/>
                <w:kern w:val="2"/>
                <w:sz w:val="24"/>
                <w:szCs w:val="24"/>
              </w:rPr>
              <w:t>编码</w:t>
            </w:r>
          </w:p>
        </w:tc>
        <w:tc>
          <w:tcPr>
            <w:tcW w:w="31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auto"/>
                <w:kern w:val="2"/>
                <w:sz w:val="24"/>
                <w:szCs w:val="24"/>
              </w:rPr>
              <w:t>编码名称</w:t>
            </w:r>
          </w:p>
        </w:tc>
        <w:tc>
          <w:tcPr>
            <w:tcW w:w="48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auto"/>
                <w:kern w:val="2"/>
                <w:sz w:val="24"/>
                <w:szCs w:val="24"/>
              </w:rPr>
              <w:t>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9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  <w:t>Z51.1</w:t>
            </w:r>
          </w:p>
        </w:tc>
        <w:tc>
          <w:tcPr>
            <w:tcW w:w="31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  <w:t>手术前恶性肿瘤化学治疗</w:t>
            </w:r>
          </w:p>
        </w:tc>
        <w:tc>
          <w:tcPr>
            <w:tcW w:w="48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320" w:lineRule="exact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  <w:t>患者手术前进行的符合NCCN方案的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/>
              </w:rPr>
              <w:t>化疗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320" w:lineRule="exact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31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  <w:t>手术后恶性肿瘤化学治疗</w:t>
            </w:r>
          </w:p>
        </w:tc>
        <w:tc>
          <w:tcPr>
            <w:tcW w:w="48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320" w:lineRule="exact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  <w:t>患者手术后进行的符合NCCN方案的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u w:val="none"/>
              </w:rPr>
              <w:t>化疗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10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320" w:lineRule="exact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31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  <w:t>恶性肿瘤维持性化学治疗</w:t>
            </w:r>
          </w:p>
        </w:tc>
        <w:tc>
          <w:tcPr>
            <w:tcW w:w="48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320" w:lineRule="exact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  <w:t>未行手术患者，或术后疗程化疗结束后，再进行的符合NCCN方案的化疗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320" w:lineRule="exact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31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trike w:val="0"/>
                <w:dstrike w:val="0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auto"/>
                <w:kern w:val="2"/>
                <w:sz w:val="24"/>
                <w:szCs w:val="24"/>
              </w:rPr>
              <w:t>恶性肿瘤终末期化疗</w:t>
            </w:r>
          </w:p>
        </w:tc>
        <w:tc>
          <w:tcPr>
            <w:tcW w:w="48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320" w:lineRule="exact"/>
              <w:jc w:val="both"/>
              <w:textAlignment w:val="center"/>
              <w:rPr>
                <w:rFonts w:hint="eastAsia" w:ascii="宋体" w:hAnsi="宋体" w:eastAsia="宋体" w:cs="宋体"/>
                <w:strike w:val="0"/>
                <w:dstrike w:val="0"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color w:val="auto"/>
                <w:kern w:val="2"/>
                <w:sz w:val="24"/>
                <w:szCs w:val="24"/>
              </w:rPr>
              <w:t>应用NCCN方案化疗，但本次住院患者死亡</w:t>
            </w:r>
            <w:r>
              <w:rPr>
                <w:rFonts w:hint="eastAsia" w:ascii="宋体" w:hAnsi="宋体" w:eastAsia="宋体" w:cs="宋体"/>
                <w:strike w:val="0"/>
                <w:dstrike w:val="0"/>
                <w:color w:val="auto"/>
                <w:kern w:val="2"/>
                <w:sz w:val="24"/>
                <w:szCs w:val="24"/>
                <w:lang w:eastAsia="zh-CN"/>
              </w:rPr>
              <w:t>。</w:t>
            </w:r>
          </w:p>
        </w:tc>
      </w:tr>
    </w:tbl>
    <w:p>
      <w:pPr>
        <w:widowControl/>
        <w:numPr>
          <w:ilvl w:val="0"/>
          <w:numId w:val="0"/>
        </w:numPr>
        <w:spacing w:line="560" w:lineRule="exact"/>
        <w:ind w:left="0" w:leftChars="0" w:firstLine="616" w:firstLineChars="200"/>
        <w:rPr>
          <w:rFonts w:hint="eastAsia" w:ascii="仿宋_GB2312" w:hAnsi="仿宋_GB2312" w:eastAsia="仿宋_GB2312" w:cs="仿宋_GB2312"/>
          <w:color w:val="auto"/>
          <w:spacing w:val="-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spacing w:val="-6"/>
          <w:kern w:val="2"/>
          <w:sz w:val="32"/>
          <w:szCs w:val="32"/>
          <w:lang w:val="en-US" w:eastAsia="zh-CN" w:bidi="ar-SA"/>
        </w:rPr>
        <w:t>白血病与淋巴瘤的化疗</w:t>
      </w:r>
      <w:r>
        <w:rPr>
          <w:rFonts w:hint="eastAsia" w:ascii="仿宋_GB2312" w:hAnsi="仿宋_GB2312" w:eastAsia="仿宋_GB2312" w:cs="仿宋_GB2312"/>
          <w:color w:val="auto"/>
          <w:spacing w:val="-6"/>
          <w:w w:val="10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pacing w:val="-6"/>
          <w:kern w:val="2"/>
          <w:sz w:val="32"/>
          <w:szCs w:val="32"/>
          <w:highlight w:val="none"/>
          <w:lang w:val="en-US" w:eastAsia="zh-CN" w:bidi="ar-SA"/>
        </w:rPr>
        <w:t>靶向、免疫治疗</w:t>
      </w:r>
      <w:r>
        <w:rPr>
          <w:rFonts w:hint="eastAsia" w:ascii="仿宋_GB2312" w:hAnsi="仿宋_GB2312" w:eastAsia="仿宋_GB2312" w:cs="仿宋_GB2312"/>
          <w:color w:val="auto"/>
          <w:spacing w:val="-6"/>
          <w:w w:val="10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pacing w:val="-6"/>
          <w:kern w:val="2"/>
          <w:sz w:val="32"/>
          <w:szCs w:val="32"/>
          <w:lang w:val="en-US" w:eastAsia="zh-CN" w:bidi="ar-SA"/>
        </w:rPr>
        <w:t>按上述规则执行。</w:t>
      </w:r>
    </w:p>
    <w:p>
      <w:pPr>
        <w:keepNext w:val="0"/>
        <w:keepLines w:val="0"/>
        <w:widowControl/>
        <w:suppressLineNumbers w:val="0"/>
        <w:spacing w:line="560" w:lineRule="exact"/>
        <w:ind w:firstLine="640" w:firstLineChars="200"/>
        <w:jc w:val="both"/>
        <w:rPr>
          <w:rFonts w:hint="default" w:ascii="仿宋_GB2312" w:hAnsi="仿宋_GB2312" w:eastAsia="仿宋_GB2312" w:cs="仿宋_GB2312"/>
          <w:b/>
          <w:bCs w:val="0"/>
          <w:color w:val="auto"/>
          <w:kern w:val="0"/>
          <w:sz w:val="32"/>
          <w:szCs w:val="32"/>
          <w:highlight w:val="yellow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三、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lang w:val="en-US" w:eastAsia="zh-CN" w:bidi="ar"/>
        </w:rPr>
        <w:t xml:space="preserve">第七十五条  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 w:bidi="ar"/>
        </w:rPr>
        <w:t>贫血</w:t>
      </w:r>
    </w:p>
    <w:p>
      <w:pPr>
        <w:pStyle w:val="3"/>
        <w:autoSpaceDE/>
        <w:autoSpaceDN/>
        <w:adjustRightInd w:val="0"/>
        <w:snapToGrid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（一）贫血临床应明确病因，未特指病因的贫血（D64.9）一般情况下不能作为主要编码，可以作为附加编码表达贫血程度（轻、中、重度）。具体见下表：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8"/>
        <w:gridCol w:w="1561"/>
        <w:gridCol w:w="52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kern w:val="2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kern w:val="2"/>
                <w:sz w:val="24"/>
                <w:szCs w:val="24"/>
              </w:rPr>
              <w:t>编码</w:t>
            </w:r>
          </w:p>
        </w:tc>
        <w:tc>
          <w:tcPr>
            <w:tcW w:w="15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kern w:val="2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kern w:val="2"/>
                <w:sz w:val="24"/>
                <w:szCs w:val="24"/>
              </w:rPr>
              <w:t>编码名称</w:t>
            </w:r>
          </w:p>
        </w:tc>
        <w:tc>
          <w:tcPr>
            <w:tcW w:w="52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kern w:val="2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kern w:val="2"/>
                <w:sz w:val="24"/>
                <w:szCs w:val="24"/>
              </w:rPr>
              <w:t>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营养性贫血</w:t>
            </w:r>
          </w:p>
        </w:tc>
        <w:tc>
          <w:tcPr>
            <w:tcW w:w="15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D50-D53</w:t>
            </w:r>
          </w:p>
        </w:tc>
        <w:tc>
          <w:tcPr>
            <w:tcW w:w="52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320" w:lineRule="exact"/>
              <w:jc w:val="both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铁、维生素B12、叶酸等造血原料不足或利用障碍所致贫血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溶血性贫血</w:t>
            </w:r>
          </w:p>
        </w:tc>
        <w:tc>
          <w:tcPr>
            <w:tcW w:w="15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D55-D59</w:t>
            </w:r>
          </w:p>
        </w:tc>
        <w:tc>
          <w:tcPr>
            <w:tcW w:w="52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320" w:lineRule="exact"/>
              <w:jc w:val="both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红细胞遭到破坏，当溶血超过骨髓的代偿能力引起的贫血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再生障碍性贫血</w:t>
            </w:r>
          </w:p>
        </w:tc>
        <w:tc>
          <w:tcPr>
            <w:tcW w:w="15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D60-D61</w:t>
            </w:r>
          </w:p>
        </w:tc>
        <w:tc>
          <w:tcPr>
            <w:tcW w:w="52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320" w:lineRule="exact"/>
              <w:jc w:val="both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由不同病因和机制引起的骨髓造血功能衰竭症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急性出血后贫血</w:t>
            </w:r>
          </w:p>
        </w:tc>
        <w:tc>
          <w:tcPr>
            <w:tcW w:w="15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D62</w:t>
            </w:r>
          </w:p>
        </w:tc>
        <w:tc>
          <w:tcPr>
            <w:tcW w:w="52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320" w:lineRule="exact"/>
              <w:jc w:val="both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根据失血速度分类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未特指的贫血</w:t>
            </w:r>
          </w:p>
        </w:tc>
        <w:tc>
          <w:tcPr>
            <w:tcW w:w="15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D64.9</w:t>
            </w:r>
          </w:p>
        </w:tc>
        <w:tc>
          <w:tcPr>
            <w:tcW w:w="52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320" w:lineRule="exact"/>
              <w:jc w:val="both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无法明确上述病因的贫血</w:t>
            </w:r>
          </w:p>
        </w:tc>
      </w:tr>
    </w:tbl>
    <w:p>
      <w:pPr>
        <w:pStyle w:val="3"/>
        <w:autoSpaceDE/>
        <w:autoSpaceDN/>
        <w:adjustRightInd w:val="0"/>
        <w:snapToGrid w:val="0"/>
        <w:spacing w:line="540" w:lineRule="exact"/>
        <w:ind w:firstLine="616" w:firstLineChars="200"/>
        <w:jc w:val="both"/>
        <w:rPr>
          <w:rFonts w:hint="eastAsia" w:ascii="仿宋_GB2312" w:hAnsi="仿宋_GB2312" w:eastAsia="仿宋_GB2312" w:cs="仿宋_GB2312"/>
          <w:color w:val="auto"/>
          <w:spacing w:val="-6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-6"/>
          <w:kern w:val="2"/>
          <w:sz w:val="32"/>
          <w:szCs w:val="32"/>
        </w:rPr>
        <w:t>（二）分类于他处的慢性疾病引起的贫血采用双重分类，如肿瘤引起的贫血（C00-D48†）D63.0*、肾性贫血（N18.3-N18.9†） D63.8*。</w:t>
      </w:r>
    </w:p>
    <w:p>
      <w:pPr>
        <w:pStyle w:val="3"/>
        <w:autoSpaceDE/>
        <w:autoSpaceDN/>
        <w:adjustRightInd w:val="0"/>
        <w:snapToGrid w:val="0"/>
        <w:spacing w:line="54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（三）继发于慢性失血的缺铁性贫血编码于 D50.0，继发于出血后的急性贫血分类于D62。本次治疗目的是继发性贫血的病因，病因疾病作为主要编码，失血性贫血作为附加编码。</w:t>
      </w:r>
    </w:p>
    <w:p>
      <w:pPr>
        <w:pStyle w:val="3"/>
        <w:autoSpaceDE/>
        <w:autoSpaceDN/>
        <w:adjustRightInd w:val="0"/>
        <w:snapToGrid w:val="0"/>
        <w:spacing w:line="54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举例：胃溃疡急性出血性贫血。</w:t>
      </w:r>
    </w:p>
    <w:p>
      <w:pPr>
        <w:pStyle w:val="3"/>
        <w:autoSpaceDE/>
        <w:autoSpaceDN/>
        <w:adjustRightInd w:val="0"/>
        <w:snapToGrid w:val="0"/>
        <w:spacing w:line="54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主要编码：K25.4 胃溃疡伴出血</w:t>
      </w:r>
    </w:p>
    <w:p>
      <w:pPr>
        <w:pStyle w:val="3"/>
        <w:autoSpaceDE/>
        <w:autoSpaceDN/>
        <w:adjustRightInd w:val="0"/>
        <w:snapToGrid w:val="0"/>
        <w:spacing w:line="54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其他编码：D62 急性出血后贫血</w:t>
      </w:r>
    </w:p>
    <w:p>
      <w:pPr>
        <w:pStyle w:val="3"/>
        <w:autoSpaceDE/>
        <w:autoSpaceDN/>
        <w:adjustRightInd w:val="0"/>
        <w:snapToGrid w:val="0"/>
        <w:spacing w:line="500" w:lineRule="exact"/>
        <w:ind w:firstLine="624" w:firstLineChars="200"/>
        <w:jc w:val="both"/>
        <w:rPr>
          <w:rFonts w:hint="eastAsia" w:ascii="仿宋_GB2312" w:hAnsi="仿宋_GB2312" w:eastAsia="仿宋_GB2312" w:cs="仿宋_GB2312"/>
          <w:color w:val="auto"/>
          <w:spacing w:val="0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4"/>
          <w:kern w:val="2"/>
          <w:sz w:val="32"/>
          <w:szCs w:val="32"/>
        </w:rPr>
        <w:t>（四）药</w:t>
      </w:r>
      <w:r>
        <w:rPr>
          <w:rFonts w:hint="eastAsia" w:ascii="仿宋_GB2312" w:hAnsi="仿宋_GB2312" w:eastAsia="仿宋_GB2312" w:cs="仿宋_GB2312"/>
          <w:color w:val="auto"/>
          <w:spacing w:val="0"/>
          <w:kern w:val="2"/>
          <w:sz w:val="32"/>
          <w:szCs w:val="32"/>
        </w:rPr>
        <w:t>物诱发的贫血，附加外因编码（第二十章）标明药物</w:t>
      </w:r>
      <w:r>
        <w:rPr>
          <w:rFonts w:hint="eastAsia" w:ascii="仿宋_GB2312" w:hAnsi="仿宋_GB2312" w:eastAsia="仿宋_GB2312" w:cs="仿宋_GB2312"/>
          <w:color w:val="auto"/>
          <w:spacing w:val="0"/>
          <w:kern w:val="2"/>
          <w:sz w:val="32"/>
          <w:szCs w:val="32"/>
          <w:lang w:eastAsia="zh-CN"/>
        </w:rPr>
        <w:t>。</w:t>
      </w:r>
    </w:p>
    <w:p>
      <w:pPr>
        <w:pStyle w:val="3"/>
        <w:autoSpaceDE/>
        <w:autoSpaceDN/>
        <w:adjustRightInd w:val="0"/>
        <w:snapToGrid w:val="0"/>
        <w:spacing w:line="54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举例：疟疾治疗中服用氯喹引发的叶酸缺乏性贫血。</w:t>
      </w:r>
    </w:p>
    <w:p>
      <w:pPr>
        <w:pStyle w:val="3"/>
        <w:autoSpaceDE/>
        <w:autoSpaceDN/>
        <w:adjustRightInd w:val="0"/>
        <w:snapToGrid w:val="0"/>
        <w:spacing w:line="54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主要编码：D52.1 药物性叶酸盐缺乏性贫血</w:t>
      </w:r>
    </w:p>
    <w:p>
      <w:pPr>
        <w:pStyle w:val="3"/>
        <w:autoSpaceDE/>
        <w:autoSpaceDN/>
        <w:adjustRightInd w:val="0"/>
        <w:snapToGrid w:val="0"/>
        <w:spacing w:line="54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其他编码：Y41.2 氯喹药物反应</w:t>
      </w:r>
    </w:p>
    <w:p>
      <w:pPr>
        <w:keepNext w:val="0"/>
        <w:keepLines w:val="0"/>
        <w:widowControl/>
        <w:suppressLineNumbers w:val="0"/>
        <w:spacing w:line="54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 w:bidi="ar"/>
        </w:rPr>
        <w:t>（五）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血液及造血器官疾病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 w:bidi="ar"/>
        </w:rPr>
        <w:t>所致的贫血，如地中海贫血、再生障碍性贫血、血友病等。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 w:bidi="ar"/>
        </w:rPr>
        <w:t>1.住院目的是为了明确</w:t>
      </w:r>
      <w:r>
        <w:rPr>
          <w:rFonts w:hint="eastAsia" w:ascii="仿宋_GB2312" w:hAnsi="仿宋_GB2312" w:eastAsia="仿宋_GB2312" w:cs="仿宋_GB2312"/>
          <w:bCs/>
          <w:color w:val="auto"/>
          <w:kern w:val="2"/>
          <w:sz w:val="32"/>
          <w:szCs w:val="32"/>
          <w:highlight w:val="none"/>
        </w:rPr>
        <w:t>疾病诊断</w:t>
      </w:r>
      <w:r>
        <w:rPr>
          <w:rFonts w:hint="eastAsia" w:ascii="仿宋_GB2312" w:hAnsi="仿宋_GB2312" w:eastAsia="仿宋_GB2312" w:cs="仿宋_GB2312"/>
          <w:bCs/>
          <w:color w:val="auto"/>
          <w:kern w:val="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 w:bidi="ar"/>
        </w:rPr>
        <w:t>或为了确诊或治疗进行了针对性的手术或操作，选择该疾病诊断作为主要诊断。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566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 w:bidi="ar"/>
        </w:rPr>
        <w:t>2.本次住院主要以输血为治疗目的，选择Z51.300（无诊断报告的）输血作为主要诊断。</w:t>
      </w:r>
    </w:p>
    <w:p>
      <w:pPr>
        <w:pStyle w:val="3"/>
        <w:autoSpaceDE/>
        <w:autoSpaceDN/>
        <w:adjustRightInd w:val="0"/>
        <w:snapToGrid w:val="0"/>
        <w:spacing w:line="566" w:lineRule="exact"/>
        <w:ind w:firstLine="640" w:firstLineChars="200"/>
        <w:jc w:val="both"/>
        <w:rPr>
          <w:rFonts w:hint="eastAsia" w:ascii="Times New Roman" w:hAnsi="Times New Roman" w:eastAsia="方正仿宋_GBK"/>
          <w:kern w:val="2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lang w:eastAsia="zh-CN"/>
        </w:rPr>
        <w:t>四、</w:t>
      </w:r>
      <w:r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</w:rPr>
        <w:t>第八十条</w:t>
      </w:r>
      <w:r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方正仿宋_GBK"/>
          <w:kern w:val="2"/>
          <w:sz w:val="32"/>
          <w:szCs w:val="32"/>
        </w:rPr>
        <w:t>糖尿病</w:t>
      </w:r>
    </w:p>
    <w:p>
      <w:pPr>
        <w:pStyle w:val="3"/>
        <w:autoSpaceDE/>
        <w:autoSpaceDN/>
        <w:adjustRightInd w:val="0"/>
        <w:snapToGrid w:val="0"/>
        <w:spacing w:line="566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（一）糖尿病临床应明确分型及并发症，用亚目表示糖尿病并发症。糖尿病伴有并发症（亚目.0-.8）和糖尿病不伴有并发症（亚目.9）不允许同时填报。未特指的并发症（.8）一般情况下不允许作为诊断填报。</w:t>
      </w:r>
    </w:p>
    <w:p>
      <w:pPr>
        <w:pStyle w:val="3"/>
        <w:autoSpaceDE/>
        <w:autoSpaceDN/>
        <w:adjustRightInd w:val="0"/>
        <w:snapToGrid w:val="0"/>
        <w:spacing w:line="566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（二）本次住院确诊的糖尿病根据临床分型分类，一般情况下不允许填报E14 未特指的糖尿病。</w:t>
      </w:r>
    </w:p>
    <w:p>
      <w:pPr>
        <w:widowControl/>
        <w:numPr>
          <w:ilvl w:val="0"/>
          <w:numId w:val="0"/>
        </w:numPr>
        <w:autoSpaceDE/>
        <w:autoSpaceDN/>
        <w:adjustRightInd/>
        <w:snapToGrid/>
        <w:spacing w:line="566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（三）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bidi="ar"/>
        </w:rPr>
        <w:t>本次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kern w:val="0"/>
          <w:sz w:val="32"/>
          <w:szCs w:val="32"/>
          <w:highlight w:val="none"/>
          <w:lang w:bidi="ar"/>
        </w:rPr>
        <w:t>住院以调整</w:t>
      </w:r>
      <w:r>
        <w:rPr>
          <w:rFonts w:hint="eastAsia" w:ascii="仿宋_GB2312" w:hAnsi="仿宋_GB2312" w:eastAsia="仿宋_GB2312" w:cs="仿宋_GB2312"/>
          <w:strike w:val="0"/>
          <w:color w:val="auto"/>
          <w:kern w:val="0"/>
          <w:sz w:val="32"/>
          <w:szCs w:val="32"/>
          <w:highlight w:val="none"/>
          <w:lang w:bidi="ar"/>
        </w:rPr>
        <w:t>血糖为目的时，选择糖尿病伴血糖控制不佳的相应分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bidi="ar"/>
        </w:rPr>
        <w:t>类作为主要编码。</w:t>
      </w:r>
      <w:r>
        <w:rPr>
          <w:rFonts w:hint="eastAsia" w:ascii="仿宋_GB2312" w:hAnsi="仿宋_GB2312" w:eastAsia="仿宋_GB2312" w:cs="仿宋_GB2312"/>
          <w:strike w:val="0"/>
          <w:color w:val="auto"/>
          <w:kern w:val="0"/>
          <w:sz w:val="32"/>
          <w:szCs w:val="32"/>
          <w:highlight w:val="none"/>
          <w:lang w:eastAsia="zh-CN" w:bidi="ar"/>
        </w:rPr>
        <w:t>该类编码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 w:bidi="ar"/>
        </w:rPr>
        <w:t>仅可用于主要诊断，不能用于其他诊断。</w:t>
      </w:r>
    </w:p>
    <w:p>
      <w:pPr>
        <w:pStyle w:val="3"/>
        <w:autoSpaceDE/>
        <w:autoSpaceDN/>
        <w:adjustRightInd w:val="0"/>
        <w:snapToGrid w:val="0"/>
        <w:spacing w:line="566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（四）糖尿病同时伴有急性和慢性并发症时，选择急性并发症作为主要诊断。</w:t>
      </w:r>
    </w:p>
    <w:p>
      <w:pPr>
        <w:pStyle w:val="3"/>
        <w:autoSpaceDE/>
        <w:autoSpaceDN/>
        <w:adjustRightInd w:val="0"/>
        <w:snapToGrid w:val="0"/>
        <w:spacing w:line="566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（五）糖尿病合并两个及以上并发症，原则上“糖尿病伴有多个并发症”不作为主要诊断填报，选择主要治疗的并发症作为主要诊断， 其他糖尿病并发症和“糖尿病伴有多个并发症”作为其他诊断填报； 只有无法确定本次主要治疗的并发症时，才有可能选择“糖尿病伴有多个并发症”作为主要诊断，糖尿病具体并发症作为其他诊断。</w:t>
      </w:r>
    </w:p>
    <w:p>
      <w:pPr>
        <w:pStyle w:val="3"/>
        <w:autoSpaceDE/>
        <w:autoSpaceDN/>
        <w:adjustRightInd w:val="0"/>
        <w:snapToGrid w:val="0"/>
        <w:spacing w:line="566" w:lineRule="exact"/>
        <w:ind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lang w:eastAsia="zh-CN"/>
        </w:rPr>
        <w:t>五、</w:t>
      </w:r>
      <w:r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</w:rPr>
        <w:t>第一百七十五条</w:t>
      </w:r>
      <w:r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颈痛及颈椎病</w:t>
      </w:r>
    </w:p>
    <w:p>
      <w:pPr>
        <w:pStyle w:val="3"/>
        <w:autoSpaceDE/>
        <w:autoSpaceDN/>
        <w:adjustRightInd w:val="0"/>
        <w:snapToGrid w:val="0"/>
        <w:spacing w:line="566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颈痛临床应明确病因（如创伤、关节炎、颈部肌肉紧张或颈椎间盘疾病等），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kern w:val="2"/>
          <w:sz w:val="32"/>
          <w:szCs w:val="32"/>
          <w:highlight w:val="none"/>
        </w:rPr>
        <w:t>只有除外相关的鉴别诊断，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</w:rPr>
        <w:t>无法确定病因时，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kern w:val="2"/>
          <w:sz w:val="32"/>
          <w:szCs w:val="32"/>
          <w:highlight w:val="none"/>
          <w:lang w:val="en-US" w:eastAsia="zh-CN"/>
        </w:rPr>
        <w:t>颈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kern w:val="2"/>
          <w:sz w:val="32"/>
          <w:szCs w:val="32"/>
          <w:highlight w:val="none"/>
        </w:rPr>
        <w:t>痛（M54.2）才可能作为编码填报。</w:t>
      </w:r>
    </w:p>
    <w:p>
      <w:pPr>
        <w:pStyle w:val="3"/>
        <w:autoSpaceDE/>
        <w:autoSpaceDN/>
        <w:adjustRightInd w:val="0"/>
        <w:snapToGrid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颈痛的病因是颈椎病时，临床应进一步明确具体疾病（关节强硬，椎间盘脱出等），并根据实际治疗及诊断选择原则进行编码填报。如果颈椎病无具体的描述，假定为不伴有脊髓病或神经根病，编码于M47.8（其他的脊椎关节强硬）。</w:t>
      </w:r>
    </w:p>
    <w:p>
      <w:pPr>
        <w:pStyle w:val="3"/>
        <w:autoSpaceDE/>
        <w:autoSpaceDN/>
        <w:adjustRightInd w:val="0"/>
        <w:snapToGrid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患者入院目的仅针对疼痛进行治疗时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主要诊断选择：</w:t>
      </w:r>
    </w:p>
    <w:p>
      <w:pPr>
        <w:pStyle w:val="3"/>
        <w:numPr>
          <w:ilvl w:val="0"/>
          <w:numId w:val="1"/>
        </w:numPr>
        <w:autoSpaceDE/>
        <w:autoSpaceDN/>
        <w:adjustRightInd w:val="0"/>
        <w:snapToGrid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如果引起疼痛的病因，其疾病编码已包含疼痛或神经疼痛含义的，可作为主要诊断，例如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M50.1+G55.0*颈椎间盘突出伴有神经根病；</w:t>
      </w:r>
    </w:p>
    <w:p>
      <w:pPr>
        <w:pStyle w:val="3"/>
        <w:numPr>
          <w:ilvl w:val="0"/>
          <w:numId w:val="1"/>
        </w:numPr>
        <w:autoSpaceDE/>
        <w:autoSpaceDN/>
        <w:adjustRightInd w:val="0"/>
        <w:snapToGrid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如无病因诊断，使用具体部位疼痛作为主要诊断，例如：M54.200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kern w:val="2"/>
          <w:sz w:val="32"/>
          <w:szCs w:val="32"/>
          <w:highlight w:val="none"/>
          <w:lang w:val="en-US" w:eastAsia="zh-CN"/>
        </w:rPr>
        <w:t>颈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kern w:val="2"/>
          <w:sz w:val="32"/>
          <w:szCs w:val="32"/>
          <w:highlight w:val="none"/>
        </w:rPr>
        <w:t>痛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kern w:val="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M54.502腰痛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；</w:t>
      </w:r>
    </w:p>
    <w:p>
      <w:pPr>
        <w:pStyle w:val="3"/>
        <w:numPr>
          <w:ilvl w:val="0"/>
          <w:numId w:val="1"/>
        </w:numPr>
        <w:autoSpaceDE/>
        <w:autoSpaceDN/>
        <w:adjustRightInd w:val="0"/>
        <w:snapToGrid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strike w:val="0"/>
          <w:dstrike w:val="0"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如无具体部位或多个部位疼痛，应填报疼痛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kern w:val="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kern w:val="2"/>
          <w:sz w:val="32"/>
          <w:szCs w:val="32"/>
          <w:highlight w:val="none"/>
          <w:lang w:val="en-US" w:eastAsia="zh-CN"/>
        </w:rPr>
        <w:t>R52.-）作为主要诊断；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kern w:val="2"/>
          <w:sz w:val="32"/>
          <w:szCs w:val="32"/>
          <w:highlight w:val="none"/>
        </w:rPr>
        <w:t>并根据治疗方式填报手术及操作编码。</w:t>
      </w:r>
    </w:p>
    <w:p>
      <w:pPr>
        <w:pStyle w:val="3"/>
        <w:autoSpaceDE/>
        <w:autoSpaceDN/>
        <w:adjustRightInd w:val="0"/>
        <w:snapToGrid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strike w:val="0"/>
          <w:dstrike w:val="0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color w:val="auto"/>
          <w:kern w:val="2"/>
          <w:sz w:val="32"/>
          <w:szCs w:val="32"/>
          <w:highlight w:val="none"/>
          <w:lang w:eastAsia="zh-CN"/>
        </w:rPr>
        <w:t>背痛（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kern w:val="2"/>
          <w:sz w:val="32"/>
          <w:szCs w:val="32"/>
          <w:highlight w:val="none"/>
          <w:lang w:val="en-US" w:eastAsia="zh-CN"/>
        </w:rPr>
        <w:t>M54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kern w:val="2"/>
          <w:sz w:val="32"/>
          <w:szCs w:val="32"/>
          <w:highlight w:val="none"/>
          <w:lang w:eastAsia="zh-CN"/>
        </w:rPr>
        <w:t>）的填报原则参照此标准。</w:t>
      </w:r>
    </w:p>
    <w:p>
      <w:pPr>
        <w:keepNext w:val="0"/>
        <w:keepLines w:val="0"/>
        <w:widowControl/>
        <w:suppressLineNumbers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 w:bidi="ar"/>
        </w:rPr>
        <w:t xml:space="preserve">六、第一百八十九条  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肾病综合征（N04.9）填报时应明确入院目的， 仅为冲击治疗时，选择冲击治疗（Z51.8）作为主要诊断，肾病综合征作为其他诊断。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jc w:val="both"/>
        <w:textAlignment w:val="auto"/>
        <w:rPr>
          <w:rFonts w:hint="eastAsia" w:ascii="仿宋_GB2312" w:hAnsi="仿宋_GB2312" w:eastAsia="仿宋_GB2312" w:cs="仿宋_GB2312"/>
          <w:strike w:val="0"/>
          <w:dstrike w:val="0"/>
          <w:color w:val="auto"/>
          <w:spacing w:val="-6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pacing w:val="-6"/>
          <w:kern w:val="0"/>
          <w:sz w:val="32"/>
          <w:szCs w:val="32"/>
          <w:lang w:val="en-US" w:eastAsia="zh-CN" w:bidi="ar"/>
        </w:rPr>
        <w:t>肾透析相关主要诊断填报时应依据入院目的选择主要诊断：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trike w:val="0"/>
          <w:dstrike w:val="0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trike w:val="0"/>
          <w:dstrike w:val="0"/>
          <w:color w:val="auto"/>
          <w:kern w:val="0"/>
          <w:sz w:val="32"/>
          <w:szCs w:val="32"/>
          <w:lang w:val="en-US" w:eastAsia="zh-CN" w:bidi="ar"/>
        </w:rPr>
        <w:t>（一）为肾透析行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kern w:val="0"/>
          <w:sz w:val="32"/>
          <w:szCs w:val="32"/>
          <w:highlight w:val="none"/>
          <w:lang w:val="en-US" w:eastAsia="zh-CN" w:bidi="ar"/>
        </w:rPr>
        <w:t>建立透析通路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kern w:val="0"/>
          <w:sz w:val="32"/>
          <w:szCs w:val="32"/>
          <w:lang w:val="en-US" w:eastAsia="zh-CN" w:bidi="ar"/>
        </w:rPr>
        <w:t>手术的，选择Z49.0透析的准备医疗作主要诊断。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trike w:val="0"/>
          <w:dstrike w:val="0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trike w:val="0"/>
          <w:dstrike w:val="0"/>
          <w:color w:val="auto"/>
          <w:kern w:val="0"/>
          <w:sz w:val="32"/>
          <w:szCs w:val="32"/>
          <w:lang w:val="en-US" w:eastAsia="zh-CN" w:bidi="ar"/>
        </w:rPr>
        <w:t>（二）仅为肾透析治疗时，选择涉及肾透析的医疗（Z49.1-Z49.2）作为主要诊断。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trike w:val="0"/>
          <w:dstrike w:val="0"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strike w:val="0"/>
          <w:dstrike w:val="0"/>
          <w:color w:val="auto"/>
          <w:kern w:val="0"/>
          <w:sz w:val="32"/>
          <w:szCs w:val="32"/>
          <w:highlight w:val="none"/>
          <w:lang w:val="en-US" w:eastAsia="zh-CN" w:bidi="ar"/>
        </w:rPr>
        <w:t>（三）患者因慢性肾脏病住院治疗，伴有心衰表现者，仍选择慢性肾脏病（N18.-）作为主要诊断填报，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kern w:val="2"/>
          <w:sz w:val="32"/>
          <w:szCs w:val="32"/>
          <w:highlight w:val="none"/>
        </w:rPr>
        <w:t>并根据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kern w:val="2"/>
          <w:sz w:val="32"/>
          <w:szCs w:val="32"/>
          <w:highlight w:val="none"/>
          <w:lang w:val="en-US" w:eastAsia="zh-CN"/>
        </w:rPr>
        <w:t>肾替代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kern w:val="2"/>
          <w:sz w:val="32"/>
          <w:szCs w:val="32"/>
          <w:highlight w:val="none"/>
        </w:rPr>
        <w:t>治疗方式填报手术及操作编码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kern w:val="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trike w:val="0"/>
          <w:dstrike w:val="0"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strike w:val="0"/>
          <w:dstrike w:val="0"/>
          <w:color w:val="auto"/>
          <w:kern w:val="0"/>
          <w:sz w:val="32"/>
          <w:szCs w:val="32"/>
          <w:highlight w:val="none"/>
          <w:lang w:val="en-US" w:eastAsia="zh-CN" w:bidi="ar"/>
        </w:rPr>
        <w:t>（四）为治疗肾透析相关并发症的，以并发症作为主要诊断。如：导管相关感染编码T82.7;动静脉瘘编码T82.8;导管功能不良，导管脱出、渗漏等编码到导管的机械并发症T82.4；其他并发症，如导管血栓形成，编码到T82.8静脉插管血栓形成；动静脉瘘狭窄，编码T82.8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trike w:val="0"/>
          <w:dstrike w:val="0"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strike w:val="0"/>
          <w:dstrike w:val="0"/>
          <w:color w:val="auto"/>
          <w:kern w:val="0"/>
          <w:sz w:val="32"/>
          <w:szCs w:val="32"/>
          <w:highlight w:val="none"/>
          <w:lang w:val="en-US" w:eastAsia="zh-CN" w:bidi="ar"/>
        </w:rPr>
        <w:t>（五）为了拔除肾透析装置，应编码Z46.8拔除肾透析装置。</w:t>
      </w:r>
    </w:p>
    <w:p>
      <w:pPr>
        <w:pStyle w:val="3"/>
        <w:autoSpaceDE/>
        <w:autoSpaceDN/>
        <w:adjustRightInd w:val="0"/>
        <w:snapToGrid w:val="0"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trike w:val="0"/>
          <w:dstrike w:val="0"/>
          <w:color w:val="auto"/>
          <w:kern w:val="2"/>
          <w:sz w:val="32"/>
          <w:szCs w:val="32"/>
          <w:lang w:val="en-US" w:eastAsia="zh-CN"/>
        </w:rPr>
        <w:t>七、</w:t>
      </w:r>
      <w:r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</w:rPr>
        <w:t>第三百三十条</w:t>
      </w:r>
      <w:r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骨髓或造血干细胞移植（41.0）应区分造血细胞来源（骨髓、造血干细胞、脐血干细胞）、自体或异体、是否伴净化，并附加编码（00.91-00.93）说明材料来源，具体见下表：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08"/>
        <w:gridCol w:w="1105"/>
        <w:gridCol w:w="4104"/>
        <w:gridCol w:w="16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auto"/>
                <w:kern w:val="2"/>
                <w:sz w:val="24"/>
                <w:szCs w:val="24"/>
                <w:lang w:eastAsia="zh-CN"/>
              </w:rPr>
              <w:t>造血细胞来源</w:t>
            </w:r>
          </w:p>
        </w:tc>
        <w:tc>
          <w:tcPr>
            <w:tcW w:w="1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strike/>
                <w:dstrike w:val="0"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trike w:val="0"/>
                <w:dstrike w:val="0"/>
                <w:color w:val="auto"/>
                <w:kern w:val="2"/>
                <w:sz w:val="24"/>
                <w:szCs w:val="24"/>
                <w:lang w:eastAsia="zh-CN"/>
              </w:rPr>
              <w:t>供者类型</w:t>
            </w:r>
          </w:p>
        </w:tc>
        <w:tc>
          <w:tcPr>
            <w:tcW w:w="4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trike w:val="0"/>
                <w:dstrike w:val="0"/>
                <w:color w:val="auto"/>
                <w:kern w:val="2"/>
                <w:sz w:val="24"/>
                <w:szCs w:val="24"/>
                <w:lang w:eastAsia="zh-CN"/>
              </w:rPr>
              <w:t>手术</w:t>
            </w:r>
            <w:r>
              <w:rPr>
                <w:rFonts w:hint="eastAsia" w:ascii="方正黑体_GBK" w:hAnsi="方正黑体_GBK" w:eastAsia="方正黑体_GBK" w:cs="方正黑体_GBK"/>
                <w:bCs/>
                <w:strike w:val="0"/>
                <w:dstrike w:val="0"/>
                <w:color w:val="auto"/>
                <w:kern w:val="2"/>
                <w:sz w:val="24"/>
                <w:szCs w:val="24"/>
                <w:lang w:val="en-US" w:eastAsia="zh-CN"/>
              </w:rPr>
              <w:t>/操作</w:t>
            </w:r>
            <w:r>
              <w:rPr>
                <w:rFonts w:hint="eastAsia" w:ascii="方正黑体_GBK" w:hAnsi="方正黑体_GBK" w:eastAsia="方正黑体_GBK" w:cs="方正黑体_GBK"/>
                <w:bCs/>
                <w:color w:val="auto"/>
                <w:kern w:val="2"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16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strike/>
                <w:dstrike w:val="0"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trike w:val="0"/>
                <w:dstrike w:val="0"/>
                <w:color w:val="auto"/>
                <w:kern w:val="2"/>
                <w:sz w:val="24"/>
                <w:szCs w:val="24"/>
                <w:lang w:eastAsia="zh-CN"/>
              </w:rPr>
              <w:t>编码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208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  <w:t>骨髓移植</w:t>
            </w:r>
          </w:p>
        </w:tc>
        <w:tc>
          <w:tcPr>
            <w:tcW w:w="1105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  <w:t>自体</w:t>
            </w:r>
          </w:p>
        </w:tc>
        <w:tc>
          <w:tcPr>
            <w:tcW w:w="4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  <w:t>自体骨髓移植不伴净化</w:t>
            </w:r>
          </w:p>
        </w:tc>
        <w:tc>
          <w:tcPr>
            <w:tcW w:w="16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  <w:t>41.01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20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0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  <w:t>自体骨髓移植伴净化</w:t>
            </w:r>
          </w:p>
        </w:tc>
        <w:tc>
          <w:tcPr>
            <w:tcW w:w="16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  <w:t>41.09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208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  <w:t>骨髓移植</w:t>
            </w:r>
            <w:bookmarkStart w:id="0" w:name="_GoBack"/>
            <w:bookmarkEnd w:id="0"/>
          </w:p>
        </w:tc>
        <w:tc>
          <w:tcPr>
            <w:tcW w:w="1105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  <w:t>异体</w:t>
            </w:r>
          </w:p>
        </w:tc>
        <w:tc>
          <w:tcPr>
            <w:tcW w:w="4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  <w:t>异体骨髓移植伴净化</w:t>
            </w:r>
          </w:p>
        </w:tc>
        <w:tc>
          <w:tcPr>
            <w:tcW w:w="16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  <w:t>41.02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20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0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  <w:t>异体骨髓移植不伴净化</w:t>
            </w:r>
          </w:p>
        </w:tc>
        <w:tc>
          <w:tcPr>
            <w:tcW w:w="16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  <w:t>41.03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20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  <w:t>造血干细胞移植</w:t>
            </w:r>
          </w:p>
        </w:tc>
        <w:tc>
          <w:tcPr>
            <w:tcW w:w="1105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  <w:t>自体</w:t>
            </w:r>
          </w:p>
        </w:tc>
        <w:tc>
          <w:tcPr>
            <w:tcW w:w="4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  <w:t>自体造血干细胞移植不伴净化</w:t>
            </w:r>
          </w:p>
        </w:tc>
        <w:tc>
          <w:tcPr>
            <w:tcW w:w="16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  <w:t>41.04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20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0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  <w:t>自体造血干细胞移植伴净化</w:t>
            </w:r>
          </w:p>
        </w:tc>
        <w:tc>
          <w:tcPr>
            <w:tcW w:w="16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  <w:t>41.07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20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  <w:t>异体</w:t>
            </w:r>
          </w:p>
        </w:tc>
        <w:tc>
          <w:tcPr>
            <w:tcW w:w="4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  <w:t>异体造血干细胞移植不伴净化</w:t>
            </w:r>
          </w:p>
        </w:tc>
        <w:tc>
          <w:tcPr>
            <w:tcW w:w="16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  <w:t>41.05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20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0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  <w:t>异体造血干细胞移植伴净化</w:t>
            </w:r>
          </w:p>
        </w:tc>
        <w:tc>
          <w:tcPr>
            <w:tcW w:w="16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  <w:t>41.08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  <w:t>脐血干细胞移植</w:t>
            </w:r>
          </w:p>
        </w:tc>
        <w:tc>
          <w:tcPr>
            <w:tcW w:w="1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  <w:t>脐血干细胞移植</w:t>
            </w:r>
          </w:p>
        </w:tc>
        <w:tc>
          <w:tcPr>
            <w:tcW w:w="16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  <w:t>41.06</w:t>
            </w:r>
          </w:p>
        </w:tc>
      </w:tr>
    </w:tbl>
    <w:p/>
    <w:p>
      <w:pPr>
        <w:rPr>
          <w:rFonts w:hint="default" w:asciiTheme="minorHAnsi" w:hAnsiTheme="minorHAnsi" w:eastAsiaTheme="minorEastAsia" w:cstheme="minorBidi"/>
          <w:strike w:val="0"/>
          <w:dstrike w:val="0"/>
          <w:kern w:val="2"/>
          <w:sz w:val="21"/>
          <w:szCs w:val="22"/>
          <w:lang w:val="en-US" w:eastAsia="zh-CN"/>
        </w:rPr>
      </w:pPr>
    </w:p>
    <w:p>
      <w:pPr>
        <w:rPr>
          <w:rFonts w:hint="default" w:asciiTheme="minorHAnsi" w:hAnsiTheme="minorHAnsi" w:eastAsiaTheme="minorEastAsia" w:cstheme="minorBidi"/>
          <w:strike w:val="0"/>
          <w:dstrike w:val="0"/>
          <w:kern w:val="2"/>
          <w:sz w:val="21"/>
          <w:szCs w:val="22"/>
          <w:lang w:val="en-US" w:eastAsia="zh-CN"/>
        </w:rPr>
      </w:pPr>
    </w:p>
    <w:p>
      <w:pPr>
        <w:rPr>
          <w:rFonts w:hint="default" w:asciiTheme="minorHAnsi" w:hAnsiTheme="minorHAnsi" w:eastAsiaTheme="minorEastAsia" w:cstheme="minorBidi"/>
          <w:strike w:val="0"/>
          <w:dstrike w:val="0"/>
          <w:kern w:val="2"/>
          <w:sz w:val="21"/>
          <w:szCs w:val="22"/>
          <w:lang w:val="en-US" w:eastAsia="zh-CN"/>
        </w:rPr>
      </w:pPr>
    </w:p>
    <w:p>
      <w:pPr>
        <w:rPr>
          <w:rFonts w:hint="default" w:asciiTheme="minorHAnsi" w:hAnsiTheme="minorHAnsi" w:eastAsiaTheme="minorEastAsia" w:cstheme="minorBidi"/>
          <w:strike w:val="0"/>
          <w:dstrike w:val="0"/>
          <w:kern w:val="2"/>
          <w:sz w:val="21"/>
          <w:szCs w:val="22"/>
          <w:lang w:val="en-US" w:eastAsia="zh-CN"/>
        </w:rPr>
      </w:pPr>
    </w:p>
    <w:p>
      <w:pPr>
        <w:rPr>
          <w:rFonts w:hint="default" w:asciiTheme="minorHAnsi" w:hAnsiTheme="minorHAnsi" w:eastAsiaTheme="minorEastAsia" w:cstheme="minorBidi"/>
          <w:strike w:val="0"/>
          <w:dstrike w:val="0"/>
          <w:kern w:val="2"/>
          <w:sz w:val="21"/>
          <w:szCs w:val="22"/>
          <w:lang w:val="en-US" w:eastAsia="zh-CN"/>
        </w:rPr>
      </w:pPr>
    </w:p>
    <w:sectPr>
      <w:footerReference r:id="rId3" w:type="default"/>
      <w:pgSz w:w="11906" w:h="16838"/>
      <w:pgMar w:top="1440" w:right="1576" w:bottom="1440" w:left="1633" w:header="851" w:footer="1304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180" w:firstLineChars="10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ind w:firstLine="280" w:firstLineChars="100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>12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8"/>
                              <w:rFonts w:ascii="宋体" w:hAnsi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JIJGtD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ind w:firstLine="280" w:firstLineChars="100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>12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8"/>
                        <w:rFonts w:ascii="宋体" w:hAnsi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33BD14"/>
    <w:multiLevelType w:val="singleLevel"/>
    <w:tmpl w:val="EF33BD1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0NTkyY2IwODQxNGVjMmI0NDgzZWU0NzIyNjhhODAifQ=="/>
  </w:docVars>
  <w:rsids>
    <w:rsidRoot w:val="002B4532"/>
    <w:rsid w:val="00014E92"/>
    <w:rsid w:val="00020B4E"/>
    <w:rsid w:val="00022E84"/>
    <w:rsid w:val="000310CE"/>
    <w:rsid w:val="00046502"/>
    <w:rsid w:val="00046D7C"/>
    <w:rsid w:val="000657D3"/>
    <w:rsid w:val="000768C2"/>
    <w:rsid w:val="00077A4B"/>
    <w:rsid w:val="000A015C"/>
    <w:rsid w:val="000A02BF"/>
    <w:rsid w:val="000A11DF"/>
    <w:rsid w:val="000B5278"/>
    <w:rsid w:val="000C3207"/>
    <w:rsid w:val="000E3125"/>
    <w:rsid w:val="000E4FA1"/>
    <w:rsid w:val="000E58B2"/>
    <w:rsid w:val="000F03FE"/>
    <w:rsid w:val="000F3B8A"/>
    <w:rsid w:val="000F57F9"/>
    <w:rsid w:val="00101F39"/>
    <w:rsid w:val="00112FD4"/>
    <w:rsid w:val="00115C3A"/>
    <w:rsid w:val="0011694D"/>
    <w:rsid w:val="001169E4"/>
    <w:rsid w:val="00122995"/>
    <w:rsid w:val="0012460D"/>
    <w:rsid w:val="0013316C"/>
    <w:rsid w:val="00133553"/>
    <w:rsid w:val="00142DBB"/>
    <w:rsid w:val="00145C8F"/>
    <w:rsid w:val="00163766"/>
    <w:rsid w:val="001660F8"/>
    <w:rsid w:val="0017110D"/>
    <w:rsid w:val="001745F0"/>
    <w:rsid w:val="001748E9"/>
    <w:rsid w:val="00180090"/>
    <w:rsid w:val="0018378B"/>
    <w:rsid w:val="00192E58"/>
    <w:rsid w:val="001B7F06"/>
    <w:rsid w:val="001C1DF5"/>
    <w:rsid w:val="001D103B"/>
    <w:rsid w:val="001E1BE6"/>
    <w:rsid w:val="001F4ED3"/>
    <w:rsid w:val="002012BE"/>
    <w:rsid w:val="00240494"/>
    <w:rsid w:val="002423D9"/>
    <w:rsid w:val="00257960"/>
    <w:rsid w:val="0027057E"/>
    <w:rsid w:val="002835B8"/>
    <w:rsid w:val="00290ED3"/>
    <w:rsid w:val="002A1593"/>
    <w:rsid w:val="002A22EA"/>
    <w:rsid w:val="002B4532"/>
    <w:rsid w:val="002D6678"/>
    <w:rsid w:val="002E142F"/>
    <w:rsid w:val="002E69D2"/>
    <w:rsid w:val="00303576"/>
    <w:rsid w:val="00311E11"/>
    <w:rsid w:val="00312D59"/>
    <w:rsid w:val="00333FBA"/>
    <w:rsid w:val="003659F5"/>
    <w:rsid w:val="00371DD5"/>
    <w:rsid w:val="00373BCD"/>
    <w:rsid w:val="00373FB2"/>
    <w:rsid w:val="003902D2"/>
    <w:rsid w:val="003A5679"/>
    <w:rsid w:val="003B12EE"/>
    <w:rsid w:val="003B24D9"/>
    <w:rsid w:val="003B3596"/>
    <w:rsid w:val="003B66FD"/>
    <w:rsid w:val="003C0EED"/>
    <w:rsid w:val="003C7E44"/>
    <w:rsid w:val="003E6158"/>
    <w:rsid w:val="00402B43"/>
    <w:rsid w:val="00420CF2"/>
    <w:rsid w:val="00420F98"/>
    <w:rsid w:val="004258F1"/>
    <w:rsid w:val="00431850"/>
    <w:rsid w:val="00452EC9"/>
    <w:rsid w:val="00455B27"/>
    <w:rsid w:val="00460625"/>
    <w:rsid w:val="00470D05"/>
    <w:rsid w:val="00477CC9"/>
    <w:rsid w:val="004912F5"/>
    <w:rsid w:val="00496E8A"/>
    <w:rsid w:val="004A63E6"/>
    <w:rsid w:val="004B2EC0"/>
    <w:rsid w:val="004B558B"/>
    <w:rsid w:val="004C3696"/>
    <w:rsid w:val="004D22BB"/>
    <w:rsid w:val="004E2A11"/>
    <w:rsid w:val="004E33BA"/>
    <w:rsid w:val="004E472A"/>
    <w:rsid w:val="004E502B"/>
    <w:rsid w:val="004F1A8A"/>
    <w:rsid w:val="004F37AE"/>
    <w:rsid w:val="004F3992"/>
    <w:rsid w:val="00501792"/>
    <w:rsid w:val="00505314"/>
    <w:rsid w:val="00511764"/>
    <w:rsid w:val="00513FCE"/>
    <w:rsid w:val="005212B5"/>
    <w:rsid w:val="00523CA8"/>
    <w:rsid w:val="0052571E"/>
    <w:rsid w:val="00525E09"/>
    <w:rsid w:val="00526027"/>
    <w:rsid w:val="00526E2B"/>
    <w:rsid w:val="00536160"/>
    <w:rsid w:val="0054306C"/>
    <w:rsid w:val="00551709"/>
    <w:rsid w:val="005547D1"/>
    <w:rsid w:val="00556779"/>
    <w:rsid w:val="0056447B"/>
    <w:rsid w:val="005715FA"/>
    <w:rsid w:val="00581800"/>
    <w:rsid w:val="00587AF2"/>
    <w:rsid w:val="005A46AB"/>
    <w:rsid w:val="005C1F90"/>
    <w:rsid w:val="005C7B61"/>
    <w:rsid w:val="005D0281"/>
    <w:rsid w:val="005F4533"/>
    <w:rsid w:val="006014D6"/>
    <w:rsid w:val="00605D1D"/>
    <w:rsid w:val="00624720"/>
    <w:rsid w:val="00624F1A"/>
    <w:rsid w:val="006325E9"/>
    <w:rsid w:val="00642437"/>
    <w:rsid w:val="006529FB"/>
    <w:rsid w:val="00653A04"/>
    <w:rsid w:val="006544D7"/>
    <w:rsid w:val="00655EF4"/>
    <w:rsid w:val="006651C1"/>
    <w:rsid w:val="006651D4"/>
    <w:rsid w:val="00675563"/>
    <w:rsid w:val="006869AD"/>
    <w:rsid w:val="00690692"/>
    <w:rsid w:val="006940ED"/>
    <w:rsid w:val="006975DF"/>
    <w:rsid w:val="006B4094"/>
    <w:rsid w:val="006B701D"/>
    <w:rsid w:val="006C1D42"/>
    <w:rsid w:val="006C324F"/>
    <w:rsid w:val="006D3E20"/>
    <w:rsid w:val="006D6539"/>
    <w:rsid w:val="006E2243"/>
    <w:rsid w:val="006F5048"/>
    <w:rsid w:val="006F61ED"/>
    <w:rsid w:val="00704E93"/>
    <w:rsid w:val="007055E3"/>
    <w:rsid w:val="00706E31"/>
    <w:rsid w:val="00717992"/>
    <w:rsid w:val="00720C14"/>
    <w:rsid w:val="00725539"/>
    <w:rsid w:val="00730FB4"/>
    <w:rsid w:val="00732219"/>
    <w:rsid w:val="00733766"/>
    <w:rsid w:val="00743960"/>
    <w:rsid w:val="0074682C"/>
    <w:rsid w:val="0075367C"/>
    <w:rsid w:val="00764E62"/>
    <w:rsid w:val="0077011B"/>
    <w:rsid w:val="0078673C"/>
    <w:rsid w:val="00793CCF"/>
    <w:rsid w:val="00794AFE"/>
    <w:rsid w:val="007A0FB9"/>
    <w:rsid w:val="007D6A72"/>
    <w:rsid w:val="007E5A3A"/>
    <w:rsid w:val="00830FBE"/>
    <w:rsid w:val="00840554"/>
    <w:rsid w:val="008447D5"/>
    <w:rsid w:val="00847276"/>
    <w:rsid w:val="00855932"/>
    <w:rsid w:val="00855B6D"/>
    <w:rsid w:val="00867FC1"/>
    <w:rsid w:val="00872065"/>
    <w:rsid w:val="00875626"/>
    <w:rsid w:val="0087593B"/>
    <w:rsid w:val="008900D4"/>
    <w:rsid w:val="00891909"/>
    <w:rsid w:val="00892335"/>
    <w:rsid w:val="008D3569"/>
    <w:rsid w:val="008E4CE3"/>
    <w:rsid w:val="008F403E"/>
    <w:rsid w:val="008F4A26"/>
    <w:rsid w:val="009006D5"/>
    <w:rsid w:val="0091530C"/>
    <w:rsid w:val="00932EA3"/>
    <w:rsid w:val="009334E7"/>
    <w:rsid w:val="00935658"/>
    <w:rsid w:val="00945EC9"/>
    <w:rsid w:val="009568E1"/>
    <w:rsid w:val="009639B8"/>
    <w:rsid w:val="00970F23"/>
    <w:rsid w:val="009823A6"/>
    <w:rsid w:val="009926C0"/>
    <w:rsid w:val="009927F8"/>
    <w:rsid w:val="0099591A"/>
    <w:rsid w:val="009A4DFD"/>
    <w:rsid w:val="009A74E3"/>
    <w:rsid w:val="009B257A"/>
    <w:rsid w:val="009B43CC"/>
    <w:rsid w:val="009B47D3"/>
    <w:rsid w:val="009B51BC"/>
    <w:rsid w:val="009B5420"/>
    <w:rsid w:val="009B790F"/>
    <w:rsid w:val="009D16F1"/>
    <w:rsid w:val="009E54C0"/>
    <w:rsid w:val="009F5A85"/>
    <w:rsid w:val="009F7A1F"/>
    <w:rsid w:val="00A04B24"/>
    <w:rsid w:val="00A077EA"/>
    <w:rsid w:val="00A11DFF"/>
    <w:rsid w:val="00A124BA"/>
    <w:rsid w:val="00A35EA9"/>
    <w:rsid w:val="00A4699B"/>
    <w:rsid w:val="00A546CA"/>
    <w:rsid w:val="00A625C1"/>
    <w:rsid w:val="00A64BF2"/>
    <w:rsid w:val="00A67392"/>
    <w:rsid w:val="00A71EB1"/>
    <w:rsid w:val="00A93CD4"/>
    <w:rsid w:val="00A976F1"/>
    <w:rsid w:val="00AA68E9"/>
    <w:rsid w:val="00AC6110"/>
    <w:rsid w:val="00AD1009"/>
    <w:rsid w:val="00AE12F1"/>
    <w:rsid w:val="00AF3978"/>
    <w:rsid w:val="00B17203"/>
    <w:rsid w:val="00B259E9"/>
    <w:rsid w:val="00B31D2D"/>
    <w:rsid w:val="00B34734"/>
    <w:rsid w:val="00B402CE"/>
    <w:rsid w:val="00B56C93"/>
    <w:rsid w:val="00B613A2"/>
    <w:rsid w:val="00B71827"/>
    <w:rsid w:val="00B720B5"/>
    <w:rsid w:val="00B823D9"/>
    <w:rsid w:val="00B942D3"/>
    <w:rsid w:val="00BA0699"/>
    <w:rsid w:val="00BA7307"/>
    <w:rsid w:val="00BB0942"/>
    <w:rsid w:val="00BD14FC"/>
    <w:rsid w:val="00BD4F3C"/>
    <w:rsid w:val="00BE7EF7"/>
    <w:rsid w:val="00C01898"/>
    <w:rsid w:val="00C0415F"/>
    <w:rsid w:val="00C14610"/>
    <w:rsid w:val="00C225C0"/>
    <w:rsid w:val="00C461B3"/>
    <w:rsid w:val="00C46847"/>
    <w:rsid w:val="00C53E51"/>
    <w:rsid w:val="00C571F5"/>
    <w:rsid w:val="00C65CEA"/>
    <w:rsid w:val="00C80B0D"/>
    <w:rsid w:val="00CA14A6"/>
    <w:rsid w:val="00CB2887"/>
    <w:rsid w:val="00CC28DA"/>
    <w:rsid w:val="00CC3626"/>
    <w:rsid w:val="00CD336A"/>
    <w:rsid w:val="00CE6335"/>
    <w:rsid w:val="00CF6CCD"/>
    <w:rsid w:val="00D0146E"/>
    <w:rsid w:val="00D06073"/>
    <w:rsid w:val="00D12C5B"/>
    <w:rsid w:val="00D13E48"/>
    <w:rsid w:val="00D31DE4"/>
    <w:rsid w:val="00D320B0"/>
    <w:rsid w:val="00D35953"/>
    <w:rsid w:val="00D55EC1"/>
    <w:rsid w:val="00D6418D"/>
    <w:rsid w:val="00D7735D"/>
    <w:rsid w:val="00D81456"/>
    <w:rsid w:val="00D83E5B"/>
    <w:rsid w:val="00D84C59"/>
    <w:rsid w:val="00DC32C7"/>
    <w:rsid w:val="00DC3793"/>
    <w:rsid w:val="00DD2568"/>
    <w:rsid w:val="00DD2C41"/>
    <w:rsid w:val="00DD6153"/>
    <w:rsid w:val="00DE25B0"/>
    <w:rsid w:val="00DE4934"/>
    <w:rsid w:val="00E03646"/>
    <w:rsid w:val="00E2200B"/>
    <w:rsid w:val="00E24924"/>
    <w:rsid w:val="00E26BFA"/>
    <w:rsid w:val="00E3076E"/>
    <w:rsid w:val="00E30E18"/>
    <w:rsid w:val="00E31DE6"/>
    <w:rsid w:val="00E358C5"/>
    <w:rsid w:val="00E36C9C"/>
    <w:rsid w:val="00E50DBF"/>
    <w:rsid w:val="00E52075"/>
    <w:rsid w:val="00E65954"/>
    <w:rsid w:val="00E810D7"/>
    <w:rsid w:val="00E87E14"/>
    <w:rsid w:val="00E952DA"/>
    <w:rsid w:val="00ED6A7C"/>
    <w:rsid w:val="00EE3EB8"/>
    <w:rsid w:val="00F066D5"/>
    <w:rsid w:val="00F108A8"/>
    <w:rsid w:val="00F21282"/>
    <w:rsid w:val="00F2794D"/>
    <w:rsid w:val="00F45154"/>
    <w:rsid w:val="00F454B6"/>
    <w:rsid w:val="00F511B5"/>
    <w:rsid w:val="00F551A5"/>
    <w:rsid w:val="00F57CCE"/>
    <w:rsid w:val="00F60F31"/>
    <w:rsid w:val="00F62D3D"/>
    <w:rsid w:val="00F654BD"/>
    <w:rsid w:val="00F67B85"/>
    <w:rsid w:val="00F7695B"/>
    <w:rsid w:val="00F80D2E"/>
    <w:rsid w:val="00FA0ECB"/>
    <w:rsid w:val="00FA7A16"/>
    <w:rsid w:val="00FC4293"/>
    <w:rsid w:val="00FC433C"/>
    <w:rsid w:val="00FC4934"/>
    <w:rsid w:val="00FD05B4"/>
    <w:rsid w:val="00FE5E7B"/>
    <w:rsid w:val="00FE76D4"/>
    <w:rsid w:val="00FF2CD6"/>
    <w:rsid w:val="01A93FA3"/>
    <w:rsid w:val="139558F0"/>
    <w:rsid w:val="157D4B04"/>
    <w:rsid w:val="19C55F3A"/>
    <w:rsid w:val="1DB573D4"/>
    <w:rsid w:val="1E110AAE"/>
    <w:rsid w:val="1FFD1446"/>
    <w:rsid w:val="236553F8"/>
    <w:rsid w:val="24F133E8"/>
    <w:rsid w:val="277EA74A"/>
    <w:rsid w:val="27B5694E"/>
    <w:rsid w:val="27E86D24"/>
    <w:rsid w:val="27F31807"/>
    <w:rsid w:val="2B7ECB28"/>
    <w:rsid w:val="30313232"/>
    <w:rsid w:val="3408102A"/>
    <w:rsid w:val="34992B70"/>
    <w:rsid w:val="34D50630"/>
    <w:rsid w:val="355A6D87"/>
    <w:rsid w:val="35876A57"/>
    <w:rsid w:val="363E3FB3"/>
    <w:rsid w:val="397D701F"/>
    <w:rsid w:val="3C8A1D00"/>
    <w:rsid w:val="3CB90837"/>
    <w:rsid w:val="3CD7E270"/>
    <w:rsid w:val="3D646E47"/>
    <w:rsid w:val="3DE11E51"/>
    <w:rsid w:val="3F5CF35B"/>
    <w:rsid w:val="3F750A16"/>
    <w:rsid w:val="3FFBE466"/>
    <w:rsid w:val="4C6C4ED1"/>
    <w:rsid w:val="528C0CBE"/>
    <w:rsid w:val="55F54F0F"/>
    <w:rsid w:val="57FFAEEC"/>
    <w:rsid w:val="5AE76118"/>
    <w:rsid w:val="5DDF5C69"/>
    <w:rsid w:val="5DEE59BD"/>
    <w:rsid w:val="5DFF4D5F"/>
    <w:rsid w:val="5DFF634A"/>
    <w:rsid w:val="5F510616"/>
    <w:rsid w:val="5F79B6ED"/>
    <w:rsid w:val="636F1AAD"/>
    <w:rsid w:val="63EE1F80"/>
    <w:rsid w:val="68CD337D"/>
    <w:rsid w:val="6DEF55B7"/>
    <w:rsid w:val="6F6B35F8"/>
    <w:rsid w:val="6F7F59A1"/>
    <w:rsid w:val="6FFE25C5"/>
    <w:rsid w:val="6FFF40A5"/>
    <w:rsid w:val="70724ED6"/>
    <w:rsid w:val="7333A772"/>
    <w:rsid w:val="73EFA48F"/>
    <w:rsid w:val="75B72E5F"/>
    <w:rsid w:val="75FB2871"/>
    <w:rsid w:val="76A5511D"/>
    <w:rsid w:val="7767AA27"/>
    <w:rsid w:val="778F4E65"/>
    <w:rsid w:val="77B97245"/>
    <w:rsid w:val="77BB69EE"/>
    <w:rsid w:val="77E583FE"/>
    <w:rsid w:val="79BBF036"/>
    <w:rsid w:val="79BFBF31"/>
    <w:rsid w:val="79DCBC1E"/>
    <w:rsid w:val="7BBC536C"/>
    <w:rsid w:val="7BEC758A"/>
    <w:rsid w:val="7BFE46D8"/>
    <w:rsid w:val="7CFA9611"/>
    <w:rsid w:val="7DEF78DE"/>
    <w:rsid w:val="7DFD26AC"/>
    <w:rsid w:val="7DFDAEEA"/>
    <w:rsid w:val="7EDF00AE"/>
    <w:rsid w:val="7F3E4B89"/>
    <w:rsid w:val="7F8E08E4"/>
    <w:rsid w:val="7F9AF885"/>
    <w:rsid w:val="7FE6B8AB"/>
    <w:rsid w:val="7FED78BD"/>
    <w:rsid w:val="7FFA7A09"/>
    <w:rsid w:val="7FFBBC2D"/>
    <w:rsid w:val="7FFD5A02"/>
    <w:rsid w:val="8DD72FA9"/>
    <w:rsid w:val="9BCF472E"/>
    <w:rsid w:val="9EFE0B84"/>
    <w:rsid w:val="AD7DE26F"/>
    <w:rsid w:val="AFF7B0FE"/>
    <w:rsid w:val="B6CD249D"/>
    <w:rsid w:val="B6F3B4EC"/>
    <w:rsid w:val="B7EF0073"/>
    <w:rsid w:val="B7F5ADC5"/>
    <w:rsid w:val="B7F5FE32"/>
    <w:rsid w:val="BA7B23C6"/>
    <w:rsid w:val="BBBE7F2C"/>
    <w:rsid w:val="BDAEDDB8"/>
    <w:rsid w:val="BDB7D820"/>
    <w:rsid w:val="BEE8E621"/>
    <w:rsid w:val="BFB657C2"/>
    <w:rsid w:val="BFF6F28F"/>
    <w:rsid w:val="C5B76C88"/>
    <w:rsid w:val="CFBF3CE9"/>
    <w:rsid w:val="CFF77A69"/>
    <w:rsid w:val="D1EE26D9"/>
    <w:rsid w:val="D5D508E9"/>
    <w:rsid w:val="D5E76721"/>
    <w:rsid w:val="D6FA9B3E"/>
    <w:rsid w:val="D7E6D567"/>
    <w:rsid w:val="D7E7DABE"/>
    <w:rsid w:val="D7FB4DFC"/>
    <w:rsid w:val="D8C7DEFE"/>
    <w:rsid w:val="DBFAB15C"/>
    <w:rsid w:val="DDBEF11E"/>
    <w:rsid w:val="DDF3C9BF"/>
    <w:rsid w:val="DE4EA27B"/>
    <w:rsid w:val="DFAB32FD"/>
    <w:rsid w:val="DFEC5450"/>
    <w:rsid w:val="E7F7FAA9"/>
    <w:rsid w:val="EDBFF072"/>
    <w:rsid w:val="EF8B93ED"/>
    <w:rsid w:val="EFF41788"/>
    <w:rsid w:val="EFFB9E2E"/>
    <w:rsid w:val="F7DE952A"/>
    <w:rsid w:val="F7FF3663"/>
    <w:rsid w:val="F8D7629F"/>
    <w:rsid w:val="F8DFED9A"/>
    <w:rsid w:val="F9B77A3A"/>
    <w:rsid w:val="FB6F1B98"/>
    <w:rsid w:val="FB7FF905"/>
    <w:rsid w:val="FBDF9277"/>
    <w:rsid w:val="FBFD7164"/>
    <w:rsid w:val="FC87286D"/>
    <w:rsid w:val="FCBEC77F"/>
    <w:rsid w:val="FD3DBB8B"/>
    <w:rsid w:val="FD7FE430"/>
    <w:rsid w:val="FEA7912E"/>
    <w:rsid w:val="FEEB7A0C"/>
    <w:rsid w:val="FEECB2FC"/>
    <w:rsid w:val="FEFFAD7B"/>
    <w:rsid w:val="FEFFCDEB"/>
    <w:rsid w:val="FF3FCC66"/>
    <w:rsid w:val="FF77E24C"/>
    <w:rsid w:val="FFBB1A28"/>
    <w:rsid w:val="FFFBE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ody Text"/>
    <w:basedOn w:val="1"/>
    <w:qFormat/>
    <w:uiPriority w:val="0"/>
    <w:rPr>
      <w:sz w:val="28"/>
      <w:szCs w:val="28"/>
      <w:lang w:val="en-US" w:bidi="ar-SA"/>
    </w:r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2906</Words>
  <Characters>3189</Characters>
  <Lines>2</Lines>
  <Paragraphs>1</Paragraphs>
  <TotalTime>17</TotalTime>
  <ScaleCrop>false</ScaleCrop>
  <LinksUpToDate>false</LinksUpToDate>
  <CharactersWithSpaces>3264</CharactersWithSpaces>
  <Application>WPS Office_11.8.2.12065_F1E327BC-269C-435d-A152-05C5408002CA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2024-08-21T21:07:00Z</dcterms:created>
  <dc:creator>ylsy</dc:creator>
  <cp:lastModifiedBy>gxxc</cp:lastModifiedBy>
  <dcterms:modified xsi:type="dcterms:W3CDTF">2025-06-18T11:53:05Z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2052-11.8.2.12065</vt:lpwstr>
  </property>
  <property fmtid="{D5CDD505-2E9C-101B-9397-08002B2CF9AE}" pid="3" name="ICV">
    <vt:lpwstr>A70F92F7D9414F38B9D8C60FE9189F12_13</vt:lpwstr>
  </property>
  <property fmtid="{D5CDD505-2E9C-101B-9397-08002B2CF9AE}" pid="4" name="KSOTemplateDocerSaveRecord">
    <vt:lpwstr>eyJoZGlkIjoiNjBlOTY2MTk4ZGExNTQxNWY1NWZhYjRhYTk1NWJhYjIiLCJ1c2VySWQiOiI2NDIyMTMyNjUifQ==</vt:lpwstr>
  </property>
</Properties>
</file>