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highlight w:val="none"/>
          <w:lang w:eastAsia="zh-CN"/>
        </w:rPr>
      </w:pPr>
      <w:bookmarkStart w:id="0" w:name="heading_1"/>
      <w:r>
        <w:rPr>
          <w:rFonts w:hint="eastAsia" w:ascii="Times New Roman" w:hAnsi="Times New Roman" w:eastAsia="仿宋_GB2312" w:cs="Times New Roman"/>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柳州市医疗保障定点医药机构资源配置规划</w:t>
      </w:r>
      <w:r>
        <w:rPr>
          <w:rFonts w:hint="eastAsia" w:ascii="方正小标宋简体" w:hAnsi="方正小标宋简体" w:eastAsia="方正小标宋简体" w:cs="方正小标宋简体"/>
          <w:b w:val="0"/>
          <w:bCs w:val="0"/>
          <w:sz w:val="44"/>
          <w:szCs w:val="44"/>
          <w:lang w:eastAsia="zh-CN"/>
        </w:rPr>
        <w:t>（</w:t>
      </w:r>
      <w:r>
        <w:rPr>
          <w:rFonts w:hint="eastAsia" w:ascii="Times New Roman" w:hAnsi="Times New Roman" w:eastAsia="方正小标宋简体" w:cs="方正小标宋简体"/>
          <w:b w:val="0"/>
          <w:bCs w:val="0"/>
          <w:sz w:val="44"/>
          <w:szCs w:val="44"/>
        </w:rPr>
        <w:t>2026</w:t>
      </w:r>
      <w:r>
        <w:rPr>
          <w:rFonts w:hint="eastAsia" w:ascii="Times New Roman" w:hAnsi="Times New Roman" w:eastAsia="方正小标宋简体" w:cs="方正小标宋简体"/>
          <w:b w:val="0"/>
          <w:bCs w:val="0"/>
          <w:sz w:val="44"/>
          <w:szCs w:val="44"/>
          <w:lang w:eastAsia="zh-CN"/>
        </w:rPr>
        <w:t>—</w:t>
      </w:r>
      <w:r>
        <w:rPr>
          <w:rFonts w:hint="eastAsia" w:ascii="Times New Roman" w:hAnsi="Times New Roman" w:eastAsia="方正小标宋简体" w:cs="方正小标宋简体"/>
          <w:b w:val="0"/>
          <w:bCs w:val="0"/>
          <w:sz w:val="44"/>
          <w:szCs w:val="44"/>
        </w:rPr>
        <w:t>2030</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深化医药卫生体制改革，促进医疗保障事业高质量发展，提升定点医药机构协议管理服务水平，保障医疗保障制度公平可持续，满足参保人员基本医疗服务需求，根据《医疗保障基金使用监督管理条例》《医疗机构医疗保障定点管理暂行办法》（国家医疗保障局令第2号）《零售药店医疗保障定点管理暂行办法》（国家医疗保障局令第3号）《国家医疗保障局办公室关于开展基本医保定点医药机构资源配置规划试点工作的通知》</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《国家医保局 财政部 国家税务总局关于加强基本医保基金运行管理的意见》《广西壮族自治区医疗保障局关于进一步加强医疗保障定点医药机构管理的通知》</w:t>
      </w:r>
      <w:r>
        <w:rPr>
          <w:rFonts w:hint="eastAsia" w:ascii="Times New Roman" w:hAnsi="Times New Roman" w:eastAsia="仿宋_GB2312" w:cs="Times New Roman"/>
          <w:sz w:val="32"/>
          <w:szCs w:val="32"/>
          <w:highlight w:val="none"/>
          <w:lang w:eastAsia="zh-CN"/>
        </w:rPr>
        <w:t>《广西医疗保障“十四五”规划》</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《柳州市</w:t>
      </w:r>
      <w:r>
        <w:rPr>
          <w:rFonts w:hint="eastAsia" w:ascii="仿宋_GB2312" w:hAnsi="仿宋_GB2312" w:eastAsia="仿宋_GB2312" w:cs="仿宋_GB2312"/>
          <w:sz w:val="32"/>
          <w:szCs w:val="32"/>
          <w:highlight w:val="none"/>
        </w:rPr>
        <w:t>“十四五”卫</w:t>
      </w:r>
      <w:r>
        <w:rPr>
          <w:rFonts w:hint="default" w:ascii="Times New Roman" w:hAnsi="Times New Roman" w:eastAsia="仿宋_GB2312" w:cs="Times New Roman"/>
          <w:sz w:val="32"/>
          <w:szCs w:val="32"/>
          <w:highlight w:val="none"/>
        </w:rPr>
        <w:t>生健康发展规划》等文件精神，结合柳州</w:t>
      </w: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实际，制定本规划。</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rPr>
      </w:pPr>
      <w:bookmarkStart w:id="1" w:name="heading_2"/>
      <w:r>
        <w:rPr>
          <w:rFonts w:hint="default" w:ascii="Times New Roman" w:hAnsi="Times New Roman" w:eastAsia="黑体" w:cs="Times New Roman"/>
          <w:b w:val="0"/>
          <w:bCs w:val="0"/>
          <w:sz w:val="32"/>
          <w:szCs w:val="32"/>
          <w:highlight w:val="none"/>
        </w:rPr>
        <w:t>一、规划背景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自国家建立基本医疗保险制度以来，柳州市依托工业城市定位与城乡统筹发展基础，逐步构</w:t>
      </w:r>
      <w:r>
        <w:rPr>
          <w:rFonts w:hint="eastAsia" w:ascii="仿宋_GB2312" w:hAnsi="仿宋_GB2312" w:eastAsia="仿宋_GB2312" w:cs="仿宋_GB2312"/>
          <w:sz w:val="32"/>
          <w:szCs w:val="32"/>
          <w:highlight w:val="none"/>
        </w:rPr>
        <w:t>建“保</w:t>
      </w:r>
      <w:r>
        <w:rPr>
          <w:rFonts w:hint="eastAsia" w:ascii="仿宋_GB2312" w:hAnsi="仿宋_GB2312" w:eastAsia="仿宋_GB2312" w:cs="仿宋_GB2312"/>
          <w:sz w:val="32"/>
          <w:szCs w:val="32"/>
          <w:highlight w:val="none"/>
          <w:lang w:val="en-US" w:eastAsia="zh-CN"/>
        </w:rPr>
        <w:t>障</w:t>
      </w:r>
      <w:r>
        <w:rPr>
          <w:rFonts w:hint="eastAsia" w:ascii="仿宋_GB2312" w:hAnsi="仿宋_GB2312" w:eastAsia="仿宋_GB2312" w:cs="仿宋_GB2312"/>
          <w:sz w:val="32"/>
          <w:szCs w:val="32"/>
          <w:highlight w:val="none"/>
        </w:rPr>
        <w:t>基本、覆盖全民、统筹城乡、持续发展”的多层次医疗保</w:t>
      </w:r>
      <w:r>
        <w:rPr>
          <w:rFonts w:hint="default" w:ascii="Times New Roman" w:hAnsi="Times New Roman" w:eastAsia="仿宋_GB2312" w:cs="Times New Roman"/>
          <w:sz w:val="32"/>
          <w:szCs w:val="32"/>
          <w:highlight w:val="none"/>
        </w:rPr>
        <w:t>障体系，同步推进医药机构医保定点工作，形成覆盖城乡的定点医药机构服务网络，基本满足参保人员就医购药需求。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近年来，柳州市深入落实</w:t>
      </w:r>
      <w:r>
        <w:rPr>
          <w:rFonts w:hint="eastAsia" w:ascii="仿宋_GB2312" w:hAnsi="仿宋_GB2312" w:eastAsia="仿宋_GB2312" w:cs="仿宋_GB2312"/>
          <w:sz w:val="32"/>
          <w:szCs w:val="32"/>
          <w:highlight w:val="none"/>
        </w:rPr>
        <w:t>“建设区域医疗中心、推动卫生健康高质量发展”的核心目标，医疗保障制度从“覆盖全民”向“提质增效”加速转</w:t>
      </w:r>
      <w:r>
        <w:rPr>
          <w:rFonts w:hint="default" w:ascii="Times New Roman" w:hAnsi="Times New Roman" w:eastAsia="仿宋_GB2312" w:cs="Times New Roman"/>
          <w:sz w:val="32"/>
          <w:szCs w:val="32"/>
          <w:highlight w:val="none"/>
        </w:rPr>
        <w:t>型，医保定点资源配置与卫生健康事业发展要求仍需进一步衔接，以</w:t>
      </w:r>
      <w:r>
        <w:rPr>
          <w:rFonts w:hint="eastAsia" w:ascii="Times New Roman" w:hAnsi="Times New Roman" w:eastAsia="仿宋_GB2312" w:cs="Times New Roman"/>
          <w:sz w:val="32"/>
          <w:szCs w:val="32"/>
          <w:highlight w:val="none"/>
          <w:lang w:eastAsia="zh-CN"/>
        </w:rPr>
        <w:t>更好地服务</w:t>
      </w:r>
      <w:r>
        <w:rPr>
          <w:rFonts w:hint="default" w:ascii="Times New Roman" w:hAnsi="Times New Roman" w:eastAsia="仿宋_GB2312" w:cs="Times New Roman"/>
          <w:sz w:val="32"/>
          <w:szCs w:val="32"/>
          <w:highlight w:val="none"/>
        </w:rPr>
        <w:t>全市卫生健康事业发展大局。</w:t>
      </w:r>
      <w:bookmarkEnd w:id="1"/>
      <w:bookmarkStart w:id="2" w:name="heading_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val="0"/>
          <w:kern w:val="2"/>
          <w:sz w:val="32"/>
          <w:szCs w:val="32"/>
          <w:highlight w:val="none"/>
          <w:lang w:val="en-US" w:eastAsia="zh-CN" w:bidi="ar-SA"/>
        </w:rPr>
        <w:t>二、</w:t>
      </w:r>
      <w:r>
        <w:rPr>
          <w:rFonts w:hint="default" w:ascii="Times New Roman" w:hAnsi="Times New Roman" w:eastAsia="黑体" w:cs="Times New Roman"/>
          <w:b w:val="0"/>
          <w:bCs w:val="0"/>
          <w:sz w:val="32"/>
          <w:szCs w:val="32"/>
          <w:highlight w:val="none"/>
        </w:rPr>
        <w:t>指导思想</w:t>
      </w:r>
      <w:r>
        <w:rPr>
          <w:rFonts w:hint="eastAsia" w:ascii="Times New Roman" w:hAnsi="Times New Roman" w:eastAsia="黑体" w:cs="Times New Roman"/>
          <w:b w:val="0"/>
          <w:bCs w:val="0"/>
          <w:sz w:val="32"/>
          <w:szCs w:val="32"/>
          <w:highlight w:val="none"/>
          <w:lang w:val="en-US" w:eastAsia="zh-CN"/>
        </w:rPr>
        <w:t>与</w:t>
      </w:r>
      <w:r>
        <w:rPr>
          <w:rFonts w:hint="default" w:ascii="Times New Roman" w:hAnsi="Times New Roman" w:eastAsia="黑体" w:cs="Times New Roman"/>
          <w:b w:val="0"/>
          <w:bCs w:val="0"/>
          <w:sz w:val="32"/>
          <w:szCs w:val="32"/>
          <w:highlight w:val="none"/>
        </w:rPr>
        <w:t>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以习近平新时代中国特色社会主义思想为指导，深入贯彻党的二十大和二十届历次全会精神，全面</w:t>
      </w:r>
      <w:r>
        <w:rPr>
          <w:rFonts w:hint="eastAsia" w:ascii="仿宋_GB2312" w:hAnsi="仿宋_GB2312" w:eastAsia="仿宋_GB2312" w:cs="仿宋_GB2312"/>
          <w:sz w:val="32"/>
          <w:szCs w:val="32"/>
          <w:highlight w:val="none"/>
        </w:rPr>
        <w:t>落实“健康中国”战略及《柳州市“十四五”卫生健康发展规划》部署，坚持以人民健康为中心，立足柳州“工业城市、城乡融合”特点，深化“三医联动”改革，以“保基本、强基层、补短板”为核心，优化定点医药机构布局与结构，提升医保基金使用效能，保障参保人员权益，为建设区域医疗保障示范城市、助力卫生健康事业高质量发展奠定基础</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1.需求导向与基金支撑结合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以参保人员基本医疗需求为核心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结合医保基金承受</w:t>
      </w:r>
      <w:r>
        <w:rPr>
          <w:rFonts w:hint="eastAsia" w:ascii="仿宋_GB2312" w:hAnsi="仿宋_GB2312" w:eastAsia="仿宋_GB2312" w:cs="仿宋_GB2312"/>
          <w:sz w:val="32"/>
          <w:szCs w:val="32"/>
          <w:highlight w:val="none"/>
        </w:rPr>
        <w:t>能力，“</w:t>
      </w:r>
      <w:r>
        <w:rPr>
          <w:rFonts w:hint="eastAsia" w:ascii="仿宋_GB2312" w:hAnsi="仿宋_GB2312" w:eastAsia="仿宋_GB2312" w:cs="仿宋_GB2312"/>
          <w:sz w:val="32"/>
          <w:szCs w:val="32"/>
          <w:highlight w:val="none"/>
          <w:lang w:val="en-US" w:eastAsia="zh-CN"/>
        </w:rPr>
        <w:t>优化存量、严控增量</w:t>
      </w:r>
      <w:r>
        <w:rPr>
          <w:rFonts w:hint="eastAsia" w:ascii="仿宋_GB2312" w:hAnsi="仿宋_GB2312" w:eastAsia="仿宋_GB2312" w:cs="仿宋_GB2312"/>
          <w:sz w:val="32"/>
          <w:szCs w:val="32"/>
          <w:highlight w:val="none"/>
        </w:rPr>
        <w:t>、提升质量”，</w:t>
      </w:r>
      <w:r>
        <w:rPr>
          <w:rFonts w:hint="default" w:ascii="Times New Roman" w:hAnsi="Times New Roman" w:eastAsia="仿宋_GB2312" w:cs="Times New Roman"/>
          <w:sz w:val="32"/>
          <w:szCs w:val="32"/>
          <w:highlight w:val="none"/>
        </w:rPr>
        <w:t>科学规划定点机构数量与布局，避免资源浪费与超能力支出，推动医保资源精准对接并优先保障医疗服务资源高效利用。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均衡布局与补齐短板并重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统筹城乡、区域定点资源，结合不同区域人口密度、规模及流动趋势规划资源布局，补齐</w:t>
      </w:r>
      <w:r>
        <w:rPr>
          <w:rFonts w:hint="eastAsia" w:ascii="Times New Roman" w:hAnsi="Times New Roman" w:eastAsia="仿宋_GB2312" w:cs="Times New Roman"/>
          <w:sz w:val="32"/>
          <w:szCs w:val="32"/>
          <w:highlight w:val="none"/>
          <w:lang w:val="en-US" w:eastAsia="zh-CN"/>
        </w:rPr>
        <w:t>中医、</w:t>
      </w:r>
      <w:r>
        <w:rPr>
          <w:rFonts w:hint="default" w:ascii="Times New Roman" w:hAnsi="Times New Roman" w:eastAsia="仿宋_GB2312" w:cs="Times New Roman"/>
          <w:sz w:val="32"/>
          <w:szCs w:val="32"/>
          <w:highlight w:val="none"/>
        </w:rPr>
        <w:t>康复</w:t>
      </w:r>
      <w:r>
        <w:rPr>
          <w:rFonts w:hint="eastAsia" w:ascii="Times New Roman" w:hAnsi="Times New Roman" w:eastAsia="仿宋_GB2312" w:cs="Times New Roman"/>
          <w:sz w:val="32"/>
          <w:szCs w:val="32"/>
          <w:highlight w:val="none"/>
          <w:lang w:val="en-US" w:eastAsia="zh-CN"/>
        </w:rPr>
        <w:t>专科</w:t>
      </w:r>
      <w:r>
        <w:rPr>
          <w:rFonts w:hint="default" w:ascii="Times New Roman" w:hAnsi="Times New Roman" w:eastAsia="仿宋_GB2312" w:cs="Times New Roman"/>
          <w:sz w:val="32"/>
          <w:szCs w:val="32"/>
          <w:highlight w:val="none"/>
        </w:rPr>
        <w:t>等薄弱领域，强化基层定点机构能力，推动城乡基本医疗服务均等化，推进分级诊疗的落实落细。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规范管理与动态调整同步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简化定</w:t>
      </w:r>
      <w:r>
        <w:rPr>
          <w:rFonts w:hint="eastAsia" w:ascii="仿宋_GB2312" w:hAnsi="仿宋_GB2312" w:eastAsia="仿宋_GB2312" w:cs="仿宋_GB2312"/>
          <w:sz w:val="32"/>
          <w:szCs w:val="32"/>
          <w:highlight w:val="none"/>
        </w:rPr>
        <w:t>点申请流程，建立“公开透明、平等规范”的定点评估机制，加强</w:t>
      </w:r>
      <w:r>
        <w:rPr>
          <w:rFonts w:hint="eastAsia" w:ascii="仿宋_GB2312" w:hAnsi="仿宋_GB2312" w:eastAsia="仿宋_GB2312" w:cs="仿宋_GB2312"/>
          <w:sz w:val="32"/>
          <w:szCs w:val="32"/>
          <w:highlight w:val="none"/>
          <w:lang w:val="en-US" w:eastAsia="zh-CN"/>
        </w:rPr>
        <w:t>事前</w:t>
      </w:r>
      <w:r>
        <w:rPr>
          <w:rFonts w:hint="eastAsia" w:ascii="仿宋_GB2312" w:hAnsi="仿宋_GB2312" w:eastAsia="仿宋_GB2312" w:cs="仿宋_GB2312"/>
          <w:sz w:val="32"/>
          <w:szCs w:val="32"/>
          <w:highlight w:val="none"/>
        </w:rPr>
        <w:t>事中事后监管，完善“有进有出”的</w:t>
      </w:r>
      <w:r>
        <w:rPr>
          <w:rFonts w:hint="default" w:ascii="Times New Roman" w:hAnsi="Times New Roman" w:eastAsia="仿宋_GB2312" w:cs="Times New Roman"/>
          <w:sz w:val="32"/>
          <w:szCs w:val="32"/>
          <w:highlight w:val="none"/>
        </w:rPr>
        <w:t>动态管理体系，倒逼机构提升服务质量</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公立主导与民营协同发展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强化公立医院定点主体作用，支持社会办医纳入定点，引导民营机构差异化发展，形成多元互补的服务格局</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三、基本现状</w:t>
      </w:r>
      <w:bookmarkEnd w:id="2"/>
      <w:bookmarkStart w:id="3" w:name="heading_9"/>
      <w:r>
        <w:rPr>
          <w:rFonts w:hint="eastAsia" w:ascii="黑体" w:hAnsi="黑体" w:eastAsia="黑体" w:cs="黑体"/>
          <w:sz w:val="32"/>
          <w:szCs w:val="32"/>
          <w:highlight w:val="none"/>
          <w:lang w:val="en-US" w:eastAsia="zh-CN"/>
        </w:rPr>
        <w:t>及面临形势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基本现状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1.人口与参保基础。截至2024年底，根据最新人口统计数据，柳州市常住人口约414.60万人，户籍人口约401.09万人。基本医疗保险参保人数为367.07万人，其中城镇职工（含退休人员）94.48万人，城乡居民272.59万人。2024年全市地区生产总值2950.67亿元，人均可支配收入37535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sz w:val="32"/>
          <w:szCs w:val="32"/>
          <w:highlight w:val="none"/>
          <w:lang w:eastAsia="zh-CN"/>
        </w:rPr>
        <w:t>2.医保基金运行。2024年</w:t>
      </w:r>
      <w:r>
        <w:rPr>
          <w:rFonts w:hint="eastAsia" w:ascii="仿宋_GB2312" w:hAnsi="仿宋_GB2312" w:eastAsia="仿宋_GB2312" w:cs="仿宋_GB2312"/>
          <w:sz w:val="32"/>
          <w:szCs w:val="32"/>
          <w:highlight w:val="none"/>
          <w:lang w:eastAsia="zh-CN"/>
        </w:rPr>
        <w:t>实现基金总收入</w:t>
      </w:r>
      <w:r>
        <w:rPr>
          <w:rFonts w:hint="eastAsia" w:ascii="Times New Roman" w:hAnsi="Times New Roman" w:eastAsia="仿宋_GB2312" w:cs="Times New Roman"/>
          <w:sz w:val="32"/>
          <w:szCs w:val="32"/>
          <w:highlight w:val="none"/>
          <w:lang w:eastAsia="zh-CN"/>
        </w:rPr>
        <w:t>82.83</w:t>
      </w:r>
      <w:r>
        <w:rPr>
          <w:rFonts w:hint="eastAsia" w:ascii="仿宋_GB2312" w:hAnsi="仿宋_GB2312" w:eastAsia="仿宋_GB2312" w:cs="仿宋_GB2312"/>
          <w:sz w:val="32"/>
          <w:szCs w:val="32"/>
          <w:highlight w:val="none"/>
          <w:lang w:eastAsia="zh-CN"/>
        </w:rPr>
        <w:t>亿元，其中城镇职工医保</w:t>
      </w:r>
      <w:r>
        <w:rPr>
          <w:rFonts w:hint="eastAsia" w:ascii="Times New Roman" w:hAnsi="Times New Roman" w:eastAsia="仿宋_GB2312" w:cs="Times New Roman"/>
          <w:sz w:val="32"/>
          <w:szCs w:val="32"/>
          <w:highlight w:val="none"/>
          <w:lang w:eastAsia="zh-CN"/>
        </w:rPr>
        <w:t>51.19</w:t>
      </w:r>
      <w:r>
        <w:rPr>
          <w:rFonts w:hint="eastAsia" w:ascii="仿宋_GB2312" w:hAnsi="仿宋_GB2312" w:eastAsia="仿宋_GB2312" w:cs="仿宋_GB2312"/>
          <w:sz w:val="32"/>
          <w:szCs w:val="32"/>
          <w:highlight w:val="none"/>
          <w:lang w:eastAsia="zh-CN"/>
        </w:rPr>
        <w:t>亿元，城乡居民医保</w:t>
      </w:r>
      <w:r>
        <w:rPr>
          <w:rFonts w:hint="eastAsia" w:ascii="Times New Roman" w:hAnsi="Times New Roman" w:eastAsia="仿宋_GB2312" w:cs="Times New Roman"/>
          <w:sz w:val="32"/>
          <w:szCs w:val="32"/>
          <w:highlight w:val="none"/>
          <w:lang w:eastAsia="zh-CN"/>
        </w:rPr>
        <w:t>31.64</w:t>
      </w:r>
      <w:r>
        <w:rPr>
          <w:rFonts w:hint="eastAsia" w:ascii="仿宋_GB2312" w:hAnsi="仿宋_GB2312" w:eastAsia="仿宋_GB2312" w:cs="仿宋_GB2312"/>
          <w:sz w:val="32"/>
          <w:szCs w:val="32"/>
          <w:highlight w:val="none"/>
          <w:lang w:eastAsia="zh-CN"/>
        </w:rPr>
        <w:t>亿元。基金总支出</w:t>
      </w:r>
      <w:r>
        <w:rPr>
          <w:rFonts w:hint="eastAsia" w:ascii="Times New Roman" w:hAnsi="Times New Roman" w:eastAsia="仿宋_GB2312" w:cs="Times New Roman"/>
          <w:sz w:val="32"/>
          <w:szCs w:val="32"/>
          <w:highlight w:val="none"/>
          <w:lang w:eastAsia="zh-CN"/>
        </w:rPr>
        <w:t>78.40</w:t>
      </w:r>
      <w:r>
        <w:rPr>
          <w:rFonts w:hint="eastAsia" w:ascii="仿宋_GB2312" w:hAnsi="仿宋_GB2312" w:eastAsia="仿宋_GB2312" w:cs="仿宋_GB2312"/>
          <w:sz w:val="32"/>
          <w:szCs w:val="32"/>
          <w:highlight w:val="none"/>
          <w:lang w:eastAsia="zh-CN"/>
        </w:rPr>
        <w:t>亿元，其中：职工医保支出</w:t>
      </w:r>
      <w:r>
        <w:rPr>
          <w:rFonts w:hint="eastAsia" w:ascii="Times New Roman" w:hAnsi="Times New Roman" w:eastAsia="仿宋_GB2312" w:cs="Times New Roman"/>
          <w:sz w:val="32"/>
          <w:szCs w:val="32"/>
          <w:highlight w:val="none"/>
          <w:lang w:eastAsia="zh-CN"/>
        </w:rPr>
        <w:t>47.97</w:t>
      </w:r>
      <w:r>
        <w:rPr>
          <w:rFonts w:hint="eastAsia" w:ascii="仿宋_GB2312" w:hAnsi="仿宋_GB2312" w:eastAsia="仿宋_GB2312" w:cs="仿宋_GB2312"/>
          <w:sz w:val="32"/>
          <w:szCs w:val="32"/>
          <w:highlight w:val="none"/>
          <w:lang w:eastAsia="zh-CN"/>
        </w:rPr>
        <w:t>亿元，居民医保支出</w:t>
      </w:r>
      <w:r>
        <w:rPr>
          <w:rFonts w:hint="eastAsia" w:ascii="Times New Roman" w:hAnsi="Times New Roman" w:eastAsia="仿宋_GB2312" w:cs="Times New Roman"/>
          <w:sz w:val="32"/>
          <w:szCs w:val="32"/>
          <w:highlight w:val="none"/>
          <w:lang w:eastAsia="zh-CN"/>
        </w:rPr>
        <w:t>30.43</w:t>
      </w:r>
      <w:r>
        <w:rPr>
          <w:rFonts w:hint="eastAsia" w:ascii="仿宋_GB2312" w:hAnsi="仿宋_GB2312" w:eastAsia="仿宋_GB2312" w:cs="仿宋_GB2312"/>
          <w:sz w:val="32"/>
          <w:szCs w:val="32"/>
          <w:highlight w:val="none"/>
          <w:lang w:eastAsia="zh-CN"/>
        </w:rPr>
        <w:t>亿元。收支平衡方面，职工医保统筹基金结存率达</w:t>
      </w:r>
      <w:r>
        <w:rPr>
          <w:rFonts w:hint="eastAsia" w:ascii="Times New Roman" w:hAnsi="Times New Roman" w:eastAsia="仿宋_GB2312" w:cs="Times New Roman"/>
          <w:sz w:val="32"/>
          <w:szCs w:val="32"/>
          <w:highlight w:val="none"/>
          <w:lang w:eastAsia="zh-CN"/>
        </w:rPr>
        <w:t>6.3%</w:t>
      </w:r>
      <w:r>
        <w:rPr>
          <w:rFonts w:hint="eastAsia" w:ascii="仿宋_GB2312" w:hAnsi="仿宋_GB2312" w:eastAsia="仿宋_GB2312" w:cs="仿宋_GB2312"/>
          <w:sz w:val="32"/>
          <w:szCs w:val="32"/>
          <w:highlight w:val="none"/>
          <w:lang w:eastAsia="zh-CN"/>
        </w:rPr>
        <w:t>，期末统筹基金滚存结余</w:t>
      </w:r>
      <w:r>
        <w:rPr>
          <w:rFonts w:hint="eastAsia" w:ascii="Times New Roman" w:hAnsi="Times New Roman" w:eastAsia="仿宋_GB2312" w:cs="Times New Roman"/>
          <w:sz w:val="32"/>
          <w:szCs w:val="32"/>
          <w:highlight w:val="none"/>
          <w:lang w:eastAsia="zh-CN"/>
        </w:rPr>
        <w:t>51.66</w:t>
      </w:r>
      <w:r>
        <w:rPr>
          <w:rFonts w:hint="eastAsia" w:ascii="仿宋_GB2312" w:hAnsi="仿宋_GB2312" w:eastAsia="仿宋_GB2312" w:cs="仿宋_GB2312"/>
          <w:sz w:val="32"/>
          <w:szCs w:val="32"/>
          <w:highlight w:val="none"/>
          <w:lang w:eastAsia="zh-CN"/>
        </w:rPr>
        <w:t>亿元，可支付月数</w:t>
      </w:r>
      <w:r>
        <w:rPr>
          <w:rFonts w:hint="eastAsia" w:ascii="Times New Roman" w:hAnsi="Times New Roman" w:eastAsia="仿宋_GB2312" w:cs="Times New Roman"/>
          <w:sz w:val="32"/>
          <w:szCs w:val="32"/>
          <w:highlight w:val="none"/>
          <w:lang w:eastAsia="zh-CN"/>
        </w:rPr>
        <w:t>19.7</w:t>
      </w:r>
      <w:r>
        <w:rPr>
          <w:rFonts w:hint="eastAsia" w:ascii="仿宋_GB2312" w:hAnsi="仿宋_GB2312" w:eastAsia="仿宋_GB2312" w:cs="仿宋_GB2312"/>
          <w:sz w:val="32"/>
          <w:szCs w:val="32"/>
          <w:highlight w:val="none"/>
          <w:lang w:eastAsia="zh-CN"/>
        </w:rPr>
        <w:t>个月；居民医保基金结存率</w:t>
      </w:r>
      <w:r>
        <w:rPr>
          <w:rFonts w:hint="eastAsia" w:ascii="Times New Roman" w:hAnsi="Times New Roman" w:eastAsia="仿宋_GB2312" w:cs="Times New Roman"/>
          <w:sz w:val="32"/>
          <w:szCs w:val="32"/>
          <w:highlight w:val="none"/>
          <w:lang w:eastAsia="zh-CN"/>
        </w:rPr>
        <w:t>3.83%</w:t>
      </w:r>
      <w:r>
        <w:rPr>
          <w:rFonts w:hint="eastAsia" w:ascii="仿宋_GB2312" w:hAnsi="仿宋_GB2312" w:eastAsia="仿宋_GB2312" w:cs="仿宋_GB2312"/>
          <w:sz w:val="32"/>
          <w:szCs w:val="32"/>
          <w:highlight w:val="none"/>
          <w:lang w:eastAsia="zh-CN"/>
        </w:rPr>
        <w:t>，期末基金滚存结余</w:t>
      </w:r>
      <w:r>
        <w:rPr>
          <w:rFonts w:hint="eastAsia" w:ascii="Times New Roman" w:hAnsi="Times New Roman" w:eastAsia="仿宋_GB2312" w:cs="Times New Roman"/>
          <w:sz w:val="32"/>
          <w:szCs w:val="32"/>
          <w:highlight w:val="none"/>
          <w:lang w:eastAsia="zh-CN"/>
        </w:rPr>
        <w:t>21.27</w:t>
      </w:r>
      <w:r>
        <w:rPr>
          <w:rFonts w:hint="eastAsia" w:ascii="仿宋_GB2312" w:hAnsi="仿宋_GB2312" w:eastAsia="仿宋_GB2312" w:cs="仿宋_GB2312"/>
          <w:sz w:val="32"/>
          <w:szCs w:val="32"/>
          <w:highlight w:val="none"/>
          <w:lang w:eastAsia="zh-CN"/>
        </w:rPr>
        <w:t>亿元，可支付月数</w:t>
      </w:r>
      <w:r>
        <w:rPr>
          <w:rFonts w:hint="eastAsia" w:ascii="Times New Roman" w:hAnsi="Times New Roman" w:eastAsia="仿宋_GB2312" w:cs="Times New Roman"/>
          <w:sz w:val="32"/>
          <w:szCs w:val="32"/>
          <w:highlight w:val="none"/>
          <w:lang w:eastAsia="zh-CN"/>
        </w:rPr>
        <w:t>8.4</w:t>
      </w:r>
      <w:r>
        <w:rPr>
          <w:rFonts w:hint="eastAsia" w:ascii="仿宋_GB2312" w:hAnsi="仿宋_GB2312" w:eastAsia="仿宋_GB2312" w:cs="仿宋_GB2312"/>
          <w:sz w:val="32"/>
          <w:szCs w:val="32"/>
          <w:highlight w:val="none"/>
          <w:lang w:eastAsia="zh-CN"/>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3.定点医疗机构配置。截至</w:t>
      </w:r>
      <w:r>
        <w:rPr>
          <w:rFonts w:hint="eastAsia" w:ascii="Times New Roman" w:hAnsi="Times New Roman" w:eastAsia="仿宋_GB2312" w:cs="Times New Roman"/>
          <w:sz w:val="32"/>
          <w:szCs w:val="32"/>
          <w:highlight w:val="none"/>
          <w:lang w:eastAsia="zh-CN"/>
        </w:rPr>
        <w:t>2024</w:t>
      </w:r>
      <w:r>
        <w:rPr>
          <w:rFonts w:hint="eastAsia" w:ascii="仿宋_GB2312" w:hAnsi="仿宋_GB2312" w:eastAsia="仿宋_GB2312" w:cs="仿宋_GB2312"/>
          <w:sz w:val="32"/>
          <w:szCs w:val="32"/>
          <w:highlight w:val="none"/>
          <w:lang w:eastAsia="zh-CN"/>
        </w:rPr>
        <w:t>年底，医保定点医疗机构</w:t>
      </w:r>
      <w:r>
        <w:rPr>
          <w:rFonts w:hint="eastAsia" w:ascii="Times New Roman" w:hAnsi="Times New Roman" w:eastAsia="仿宋_GB2312" w:cs="Times New Roman"/>
          <w:sz w:val="32"/>
          <w:szCs w:val="32"/>
          <w:highlight w:val="none"/>
          <w:lang w:eastAsia="zh-CN"/>
        </w:rPr>
        <w:t>459</w:t>
      </w:r>
      <w:r>
        <w:rPr>
          <w:rFonts w:hint="eastAsia" w:ascii="仿宋_GB2312" w:hAnsi="仿宋_GB2312" w:eastAsia="仿宋_GB2312" w:cs="仿宋_GB2312"/>
          <w:sz w:val="32"/>
          <w:szCs w:val="32"/>
          <w:highlight w:val="none"/>
          <w:lang w:eastAsia="zh-CN"/>
        </w:rPr>
        <w:t>家，其中三级医疗机构</w:t>
      </w:r>
      <w:r>
        <w:rPr>
          <w:rFonts w:hint="eastAsia" w:ascii="Times New Roman" w:hAnsi="Times New Roman" w:eastAsia="仿宋_GB2312" w:cs="Times New Roman"/>
          <w:sz w:val="32"/>
          <w:szCs w:val="32"/>
          <w:highlight w:val="none"/>
          <w:lang w:eastAsia="zh-CN"/>
        </w:rPr>
        <w:t>13</w:t>
      </w:r>
      <w:r>
        <w:rPr>
          <w:rFonts w:hint="eastAsia" w:ascii="仿宋_GB2312" w:hAnsi="仿宋_GB2312" w:eastAsia="仿宋_GB2312" w:cs="仿宋_GB2312"/>
          <w:sz w:val="32"/>
          <w:szCs w:val="32"/>
          <w:highlight w:val="none"/>
          <w:lang w:eastAsia="zh-CN"/>
        </w:rPr>
        <w:t>家，二级医疗机构</w:t>
      </w:r>
      <w:r>
        <w:rPr>
          <w:rFonts w:hint="eastAsia" w:ascii="Times New Roman" w:hAnsi="Times New Roman" w:eastAsia="仿宋_GB2312" w:cs="Times New Roman"/>
          <w:sz w:val="32"/>
          <w:szCs w:val="32"/>
          <w:highlight w:val="none"/>
          <w:lang w:eastAsia="zh-CN"/>
        </w:rPr>
        <w:t>38</w:t>
      </w:r>
      <w:r>
        <w:rPr>
          <w:rFonts w:hint="eastAsia" w:ascii="仿宋_GB2312" w:hAnsi="仿宋_GB2312" w:eastAsia="仿宋_GB2312" w:cs="仿宋_GB2312"/>
          <w:sz w:val="32"/>
          <w:szCs w:val="32"/>
          <w:highlight w:val="none"/>
          <w:lang w:eastAsia="zh-CN"/>
        </w:rPr>
        <w:t>家；一级及以下医疗机构（含社区卫生服务中心、卫生院）</w:t>
      </w:r>
      <w:r>
        <w:rPr>
          <w:rFonts w:hint="eastAsia" w:ascii="Times New Roman" w:hAnsi="Times New Roman" w:eastAsia="仿宋_GB2312" w:cs="Times New Roman"/>
          <w:sz w:val="32"/>
          <w:szCs w:val="32"/>
          <w:highlight w:val="none"/>
          <w:lang w:eastAsia="zh-CN"/>
        </w:rPr>
        <w:t>408</w:t>
      </w:r>
      <w:r>
        <w:rPr>
          <w:rFonts w:hint="eastAsia" w:ascii="仿宋_GB2312" w:hAnsi="仿宋_GB2312" w:eastAsia="仿宋_GB2312" w:cs="仿宋_GB2312"/>
          <w:sz w:val="32"/>
          <w:szCs w:val="32"/>
          <w:highlight w:val="none"/>
          <w:lang w:eastAsia="zh-CN"/>
        </w:rPr>
        <w:t>家（含</w:t>
      </w:r>
      <w:r>
        <w:rPr>
          <w:rFonts w:hint="eastAsia" w:ascii="Times New Roman" w:hAnsi="Times New Roman" w:eastAsia="仿宋_GB2312" w:cs="Times New Roman"/>
          <w:sz w:val="32"/>
          <w:szCs w:val="32"/>
          <w:highlight w:val="none"/>
          <w:lang w:eastAsia="zh-CN"/>
        </w:rPr>
        <w:t>94</w:t>
      </w:r>
      <w:r>
        <w:rPr>
          <w:rFonts w:hint="eastAsia" w:ascii="仿宋_GB2312" w:hAnsi="仿宋_GB2312" w:eastAsia="仿宋_GB2312" w:cs="仿宋_GB2312"/>
          <w:sz w:val="32"/>
          <w:szCs w:val="32"/>
          <w:highlight w:val="none"/>
          <w:lang w:eastAsia="zh-CN"/>
        </w:rPr>
        <w:t>家卫生院）。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4.定点医疗机构床位配置。截至</w:t>
      </w:r>
      <w:r>
        <w:rPr>
          <w:rFonts w:hint="eastAsia" w:ascii="Times New Roman" w:hAnsi="Times New Roman" w:eastAsia="仿宋_GB2312" w:cs="Times New Roman"/>
          <w:sz w:val="32"/>
          <w:szCs w:val="32"/>
          <w:highlight w:val="none"/>
          <w:lang w:eastAsia="zh-CN"/>
        </w:rPr>
        <w:t>2025</w:t>
      </w:r>
      <w:r>
        <w:rPr>
          <w:rFonts w:hint="eastAsia" w:ascii="仿宋_GB2312" w:hAnsi="仿宋_GB2312" w:eastAsia="仿宋_GB2312" w:cs="仿宋_GB2312"/>
          <w:sz w:val="32"/>
          <w:szCs w:val="32"/>
          <w:highlight w:val="none"/>
          <w:lang w:eastAsia="zh-CN"/>
        </w:rPr>
        <w:t>年</w:t>
      </w:r>
      <w:r>
        <w:rPr>
          <w:rFonts w:hint="eastAsia" w:ascii="Times New Roman" w:hAnsi="Times New Roman" w:eastAsia="仿宋_GB2312" w:cs="Times New Roman"/>
          <w:sz w:val="32"/>
          <w:szCs w:val="32"/>
          <w:highlight w:val="none"/>
          <w:lang w:eastAsia="zh-CN"/>
        </w:rPr>
        <w:t>8</w:t>
      </w:r>
      <w:r>
        <w:rPr>
          <w:rFonts w:hint="eastAsia" w:ascii="仿宋_GB2312" w:hAnsi="仿宋_GB2312" w:eastAsia="仿宋_GB2312" w:cs="仿宋_GB2312"/>
          <w:sz w:val="32"/>
          <w:szCs w:val="32"/>
          <w:highlight w:val="none"/>
          <w:lang w:eastAsia="zh-CN"/>
        </w:rPr>
        <w:t>月每千常住人口医保定点医疗卫生机构床位数</w:t>
      </w:r>
      <w:r>
        <w:rPr>
          <w:rFonts w:hint="eastAsia" w:ascii="仿宋_GB2312" w:hAnsi="仿宋_GB2312" w:eastAsia="仿宋_GB2312" w:cs="仿宋_GB2312"/>
          <w:sz w:val="32"/>
          <w:szCs w:val="32"/>
          <w:highlight w:val="none"/>
          <w:lang w:val="en-US" w:eastAsia="zh-CN"/>
        </w:rPr>
        <w:t>为</w:t>
      </w:r>
      <w:r>
        <w:rPr>
          <w:rFonts w:hint="eastAsia" w:ascii="Times New Roman" w:hAnsi="Times New Roman" w:eastAsia="仿宋_GB2312" w:cs="Times New Roman"/>
          <w:sz w:val="32"/>
          <w:szCs w:val="32"/>
          <w:highlight w:val="none"/>
          <w:lang w:eastAsia="zh-CN"/>
        </w:rPr>
        <w:t>8.03</w:t>
      </w:r>
      <w:r>
        <w:rPr>
          <w:rFonts w:hint="eastAsia" w:ascii="仿宋_GB2312" w:hAnsi="仿宋_GB2312" w:eastAsia="仿宋_GB2312" w:cs="仿宋_GB2312"/>
          <w:sz w:val="32"/>
          <w:szCs w:val="32"/>
          <w:highlight w:val="none"/>
          <w:lang w:eastAsia="zh-CN"/>
        </w:rPr>
        <w:t>张，</w:t>
      </w:r>
      <w:r>
        <w:rPr>
          <w:rFonts w:hint="eastAsia" w:ascii="仿宋_GB2312" w:hAnsi="仿宋_GB2312" w:eastAsia="仿宋_GB2312" w:cs="仿宋_GB2312"/>
          <w:sz w:val="32"/>
          <w:szCs w:val="32"/>
          <w:highlight w:val="none"/>
          <w:lang w:val="en-US" w:eastAsia="zh-CN"/>
        </w:rPr>
        <w:t>较</w:t>
      </w:r>
      <w:r>
        <w:rPr>
          <w:rFonts w:hint="eastAsia" w:ascii="仿宋_GB2312" w:hAnsi="仿宋_GB2312" w:eastAsia="仿宋_GB2312" w:cs="仿宋_GB2312"/>
          <w:sz w:val="32"/>
          <w:szCs w:val="32"/>
          <w:highlight w:val="none"/>
          <w:lang w:eastAsia="zh-CN"/>
        </w:rPr>
        <w:t>《柳州市卫生健康事业发展“十四五”规划》</w:t>
      </w:r>
      <w:r>
        <w:rPr>
          <w:rFonts w:hint="eastAsia" w:ascii="仿宋_GB2312" w:hAnsi="仿宋_GB2312" w:eastAsia="仿宋_GB2312" w:cs="仿宋_GB2312"/>
          <w:sz w:val="32"/>
          <w:szCs w:val="32"/>
          <w:highlight w:val="none"/>
          <w:lang w:val="en-US" w:eastAsia="zh-CN"/>
        </w:rPr>
        <w:t>中</w:t>
      </w:r>
      <w:r>
        <w:rPr>
          <w:rFonts w:hint="eastAsia" w:ascii="Times New Roman" w:hAnsi="Times New Roman" w:eastAsia="仿宋_GB2312" w:cs="Times New Roman"/>
          <w:sz w:val="32"/>
          <w:szCs w:val="32"/>
          <w:highlight w:val="none"/>
          <w:lang w:eastAsia="zh-CN"/>
        </w:rPr>
        <w:t>2025</w:t>
      </w:r>
      <w:r>
        <w:rPr>
          <w:rFonts w:hint="eastAsia" w:ascii="仿宋_GB2312" w:hAnsi="仿宋_GB2312" w:eastAsia="仿宋_GB2312" w:cs="仿宋_GB2312"/>
          <w:sz w:val="32"/>
          <w:szCs w:val="32"/>
          <w:highlight w:val="none"/>
          <w:lang w:eastAsia="zh-CN"/>
        </w:rPr>
        <w:t>年柳州市预期每千常住人口医疗卫生机构床位数为</w:t>
      </w:r>
      <w:r>
        <w:rPr>
          <w:rFonts w:hint="eastAsia" w:ascii="Times New Roman" w:hAnsi="Times New Roman" w:eastAsia="仿宋_GB2312" w:cs="Times New Roman"/>
          <w:sz w:val="32"/>
          <w:szCs w:val="32"/>
          <w:highlight w:val="none"/>
          <w:lang w:eastAsia="zh-CN"/>
        </w:rPr>
        <w:t>7.9</w:t>
      </w:r>
      <w:r>
        <w:rPr>
          <w:rFonts w:hint="eastAsia" w:ascii="仿宋_GB2312" w:hAnsi="仿宋_GB2312" w:eastAsia="仿宋_GB2312" w:cs="仿宋_GB2312"/>
          <w:sz w:val="32"/>
          <w:szCs w:val="32"/>
          <w:highlight w:val="none"/>
          <w:lang w:eastAsia="zh-CN"/>
        </w:rPr>
        <w:t>张</w:t>
      </w:r>
      <w:r>
        <w:rPr>
          <w:rFonts w:hint="eastAsia" w:ascii="仿宋_GB2312" w:hAnsi="仿宋_GB2312" w:eastAsia="仿宋_GB2312" w:cs="仿宋_GB2312"/>
          <w:sz w:val="32"/>
          <w:szCs w:val="32"/>
          <w:highlight w:val="none"/>
          <w:lang w:val="en-US" w:eastAsia="zh-CN"/>
        </w:rPr>
        <w:t>的指标有提升</w:t>
      </w:r>
      <w:r>
        <w:rPr>
          <w:rFonts w:hint="eastAsia" w:ascii="仿宋_GB2312" w:hAnsi="仿宋_GB2312" w:eastAsia="仿宋_GB2312" w:cs="仿宋_GB2312"/>
          <w:sz w:val="32"/>
          <w:szCs w:val="32"/>
          <w:highlight w:val="none"/>
          <w:lang w:eastAsia="zh-CN"/>
        </w:rPr>
        <w:t>。现三级、二级和一级医院的床位数配置比例为</w:t>
      </w:r>
      <w:r>
        <w:rPr>
          <w:rFonts w:hint="eastAsia" w:ascii="Times New Roman" w:hAnsi="Times New Roman" w:eastAsia="仿宋_GB2312" w:cs="Times New Roman"/>
          <w:sz w:val="32"/>
          <w:szCs w:val="32"/>
          <w:highlight w:val="none"/>
          <w:lang w:eastAsia="zh-CN"/>
        </w:rPr>
        <w:t>4.6:3.1:2.3</w:t>
      </w:r>
      <w:r>
        <w:rPr>
          <w:rFonts w:hint="eastAsia" w:ascii="仿宋_GB2312" w:hAnsi="仿宋_GB2312" w:eastAsia="仿宋_GB2312" w:cs="仿宋_GB2312"/>
          <w:sz w:val="32"/>
          <w:szCs w:val="32"/>
          <w:highlight w:val="none"/>
          <w:lang w:eastAsia="zh-CN"/>
        </w:rPr>
        <w:t>，基本符合国家关于建成区人口</w:t>
      </w:r>
      <w:r>
        <w:rPr>
          <w:rFonts w:hint="eastAsia" w:ascii="Times New Roman" w:hAnsi="Times New Roman" w:eastAsia="仿宋_GB2312" w:cs="Times New Roman"/>
          <w:sz w:val="32"/>
          <w:szCs w:val="32"/>
          <w:highlight w:val="none"/>
          <w:lang w:eastAsia="zh-CN"/>
        </w:rPr>
        <w:t>300</w:t>
      </w:r>
      <w:r>
        <w:rPr>
          <w:rFonts w:hint="eastAsia" w:ascii="仿宋_GB2312" w:hAnsi="仿宋_GB2312" w:eastAsia="仿宋_GB2312" w:cs="仿宋_GB2312"/>
          <w:sz w:val="32"/>
          <w:szCs w:val="32"/>
          <w:highlight w:val="none"/>
          <w:lang w:eastAsia="zh-CN"/>
        </w:rPr>
        <w:t>万—</w:t>
      </w:r>
      <w:r>
        <w:rPr>
          <w:rFonts w:hint="eastAsia" w:ascii="Times New Roman" w:hAnsi="Times New Roman" w:eastAsia="仿宋_GB2312" w:cs="Times New Roman"/>
          <w:sz w:val="32"/>
          <w:szCs w:val="32"/>
          <w:highlight w:val="none"/>
          <w:lang w:eastAsia="zh-CN"/>
        </w:rPr>
        <w:t>500</w:t>
      </w:r>
      <w:r>
        <w:rPr>
          <w:rFonts w:hint="eastAsia" w:ascii="仿宋_GB2312" w:hAnsi="仿宋_GB2312" w:eastAsia="仿宋_GB2312" w:cs="仿宋_GB2312"/>
          <w:sz w:val="32"/>
          <w:szCs w:val="32"/>
          <w:highlight w:val="none"/>
          <w:lang w:eastAsia="zh-CN"/>
        </w:rPr>
        <w:t>万城市</w:t>
      </w:r>
      <w:r>
        <w:rPr>
          <w:rFonts w:hint="eastAsia" w:ascii="Times New Roman" w:hAnsi="Times New Roman" w:eastAsia="仿宋_GB2312" w:cs="Times New Roman"/>
          <w:sz w:val="32"/>
          <w:szCs w:val="32"/>
          <w:highlight w:val="none"/>
          <w:lang w:eastAsia="zh-CN"/>
        </w:rPr>
        <w:t>5:3:2</w:t>
      </w:r>
      <w:r>
        <w:rPr>
          <w:rFonts w:hint="eastAsia" w:ascii="仿宋_GB2312" w:hAnsi="仿宋_GB2312" w:eastAsia="仿宋_GB2312" w:cs="仿宋_GB2312"/>
          <w:sz w:val="32"/>
          <w:szCs w:val="32"/>
          <w:highlight w:val="none"/>
          <w:lang w:eastAsia="zh-CN"/>
        </w:rPr>
        <w:t>的分级配置建议。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5.定点零售药店配置。截至</w:t>
      </w:r>
      <w:r>
        <w:rPr>
          <w:rFonts w:hint="eastAsia" w:ascii="Times New Roman" w:hAnsi="Times New Roman" w:eastAsia="仿宋_GB2312" w:cs="Times New Roman"/>
          <w:sz w:val="32"/>
          <w:szCs w:val="32"/>
          <w:highlight w:val="none"/>
          <w:lang w:eastAsia="zh-CN"/>
        </w:rPr>
        <w:t>2024</w:t>
      </w:r>
      <w:r>
        <w:rPr>
          <w:rFonts w:hint="eastAsia" w:ascii="仿宋_GB2312" w:hAnsi="仿宋_GB2312" w:eastAsia="仿宋_GB2312" w:cs="仿宋_GB2312"/>
          <w:sz w:val="32"/>
          <w:szCs w:val="32"/>
          <w:highlight w:val="none"/>
          <w:lang w:eastAsia="zh-CN"/>
        </w:rPr>
        <w:t>年，全市</w:t>
      </w:r>
      <w:r>
        <w:rPr>
          <w:rFonts w:hint="eastAsia" w:ascii="Times New Roman" w:hAnsi="Times New Roman" w:eastAsia="仿宋_GB2312" w:cs="Times New Roman"/>
          <w:sz w:val="32"/>
          <w:szCs w:val="32"/>
          <w:highlight w:val="none"/>
          <w:lang w:eastAsia="zh-CN"/>
        </w:rPr>
        <w:t>1404</w:t>
      </w:r>
      <w:r>
        <w:rPr>
          <w:rFonts w:hint="eastAsia" w:ascii="仿宋_GB2312" w:hAnsi="仿宋_GB2312" w:eastAsia="仿宋_GB2312" w:cs="仿宋_GB2312"/>
          <w:sz w:val="32"/>
          <w:szCs w:val="32"/>
          <w:highlight w:val="none"/>
          <w:lang w:eastAsia="zh-CN"/>
        </w:rPr>
        <w:t>家定点零售药店，包含</w:t>
      </w:r>
      <w:r>
        <w:rPr>
          <w:rFonts w:hint="eastAsia" w:ascii="Times New Roman" w:hAnsi="Times New Roman" w:eastAsia="仿宋_GB2312" w:cs="Times New Roman"/>
          <w:sz w:val="32"/>
          <w:szCs w:val="32"/>
          <w:highlight w:val="none"/>
          <w:lang w:eastAsia="zh-CN"/>
        </w:rPr>
        <w:t>751</w:t>
      </w:r>
      <w:r>
        <w:rPr>
          <w:rFonts w:hint="eastAsia" w:ascii="仿宋_GB2312" w:hAnsi="仿宋_GB2312" w:eastAsia="仿宋_GB2312" w:cs="仿宋_GB2312"/>
          <w:sz w:val="32"/>
          <w:szCs w:val="32"/>
          <w:highlight w:val="none"/>
          <w:lang w:eastAsia="zh-CN"/>
        </w:rPr>
        <w:t>家门诊统筹药店（含</w:t>
      </w:r>
      <w:r>
        <w:rPr>
          <w:rFonts w:hint="eastAsia" w:ascii="Times New Roman" w:hAnsi="Times New Roman" w:eastAsia="仿宋_GB2312" w:cs="Times New Roman"/>
          <w:sz w:val="32"/>
          <w:szCs w:val="32"/>
          <w:highlight w:val="none"/>
          <w:lang w:eastAsia="zh-CN"/>
        </w:rPr>
        <w:t>3</w:t>
      </w:r>
      <w:r>
        <w:rPr>
          <w:rFonts w:hint="eastAsia" w:ascii="仿宋_GB2312" w:hAnsi="仿宋_GB2312" w:eastAsia="仿宋_GB2312" w:cs="仿宋_GB2312"/>
          <w:sz w:val="32"/>
          <w:szCs w:val="32"/>
          <w:highlight w:val="none"/>
          <w:lang w:eastAsia="zh-CN"/>
        </w:rPr>
        <w:t>家门诊慢性病药店）和</w:t>
      </w:r>
      <w:r>
        <w:rPr>
          <w:rFonts w:hint="eastAsia" w:ascii="Times New Roman" w:hAnsi="Times New Roman" w:eastAsia="仿宋_GB2312" w:cs="Times New Roman"/>
          <w:sz w:val="32"/>
          <w:szCs w:val="32"/>
          <w:highlight w:val="none"/>
          <w:lang w:eastAsia="zh-CN"/>
        </w:rPr>
        <w:t>26</w:t>
      </w:r>
      <w:r>
        <w:rPr>
          <w:rFonts w:hint="eastAsia" w:ascii="仿宋_GB2312" w:hAnsi="仿宋_GB2312" w:eastAsia="仿宋_GB2312" w:cs="仿宋_GB2312"/>
          <w:sz w:val="32"/>
          <w:szCs w:val="32"/>
          <w:highlight w:val="none"/>
          <w:lang w:eastAsia="zh-CN"/>
        </w:rPr>
        <w:t>家“双通道”药店，</w:t>
      </w:r>
      <w:r>
        <w:rPr>
          <w:rFonts w:hint="eastAsia" w:ascii="仿宋_GB2312" w:hAnsi="仿宋_GB2312" w:eastAsia="仿宋_GB2312" w:cs="仿宋_GB2312"/>
          <w:sz w:val="32"/>
          <w:szCs w:val="32"/>
          <w:highlight w:val="none"/>
          <w:lang w:val="en-US" w:eastAsia="zh-CN"/>
        </w:rPr>
        <w:t>提供</w:t>
      </w:r>
      <w:r>
        <w:rPr>
          <w:rFonts w:hint="eastAsia" w:ascii="仿宋_GB2312" w:hAnsi="仿宋_GB2312" w:eastAsia="仿宋_GB2312" w:cs="仿宋_GB2312"/>
          <w:sz w:val="32"/>
          <w:szCs w:val="32"/>
          <w:highlight w:val="none"/>
          <w:lang w:eastAsia="zh-CN"/>
        </w:rPr>
        <w:t>不同人群、不同药品的医保服务。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6.执业药师注册情况。当前，我市定点药店药师注册总量为</w:t>
      </w:r>
      <w:r>
        <w:rPr>
          <w:rFonts w:hint="eastAsia" w:ascii="Times New Roman" w:hAnsi="Times New Roman" w:eastAsia="仿宋_GB2312" w:cs="Times New Roman"/>
          <w:sz w:val="32"/>
          <w:szCs w:val="32"/>
          <w:highlight w:val="none"/>
          <w:lang w:eastAsia="zh-CN"/>
        </w:rPr>
        <w:t>1553</w:t>
      </w:r>
      <w:r>
        <w:rPr>
          <w:rFonts w:hint="eastAsia" w:ascii="仿宋_GB2312" w:hAnsi="仿宋_GB2312" w:eastAsia="仿宋_GB2312" w:cs="仿宋_GB2312"/>
          <w:sz w:val="32"/>
          <w:szCs w:val="32"/>
          <w:highlight w:val="none"/>
          <w:lang w:eastAsia="zh-CN"/>
        </w:rPr>
        <w:t>人，按常住人口</w:t>
      </w:r>
      <w:r>
        <w:rPr>
          <w:rFonts w:hint="eastAsia" w:ascii="Times New Roman" w:hAnsi="Times New Roman" w:eastAsia="仿宋_GB2312" w:cs="Times New Roman"/>
          <w:sz w:val="32"/>
          <w:szCs w:val="32"/>
          <w:highlight w:val="none"/>
          <w:lang w:eastAsia="zh-CN"/>
        </w:rPr>
        <w:t>414.6</w:t>
      </w:r>
      <w:r>
        <w:rPr>
          <w:rFonts w:hint="eastAsia" w:ascii="仿宋_GB2312" w:hAnsi="仿宋_GB2312" w:eastAsia="仿宋_GB2312" w:cs="仿宋_GB2312"/>
          <w:sz w:val="32"/>
          <w:szCs w:val="32"/>
          <w:highlight w:val="none"/>
          <w:lang w:eastAsia="zh-CN"/>
        </w:rPr>
        <w:t>万人测算，每十万人口执业药师配备数为</w:t>
      </w:r>
      <w:r>
        <w:rPr>
          <w:rFonts w:hint="eastAsia" w:ascii="Times New Roman" w:hAnsi="Times New Roman" w:eastAsia="仿宋_GB2312" w:cs="Times New Roman"/>
          <w:sz w:val="32"/>
          <w:szCs w:val="32"/>
          <w:highlight w:val="none"/>
          <w:lang w:eastAsia="zh-CN"/>
        </w:rPr>
        <w:t>37.46</w:t>
      </w:r>
      <w:r>
        <w:rPr>
          <w:rFonts w:hint="eastAsia" w:ascii="仿宋_GB2312" w:hAnsi="仿宋_GB2312" w:eastAsia="仿宋_GB2312" w:cs="仿宋_GB2312"/>
          <w:sz w:val="32"/>
          <w:szCs w:val="32"/>
          <w:highlight w:val="none"/>
          <w:lang w:eastAsia="zh-CN"/>
        </w:rPr>
        <w:t>人，平均每家定点零售药店执业药师配备率为</w:t>
      </w:r>
      <w:r>
        <w:rPr>
          <w:rFonts w:hint="eastAsia" w:ascii="Times New Roman" w:hAnsi="Times New Roman" w:eastAsia="仿宋_GB2312" w:cs="Times New Roman"/>
          <w:sz w:val="32"/>
          <w:szCs w:val="32"/>
          <w:highlight w:val="none"/>
          <w:lang w:eastAsia="zh-CN"/>
        </w:rPr>
        <w:t>1.06</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面临的形势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政策导向持续深化，改革要求不断提升。国家层面持续推进医药卫生体制改革，“三医联动” 改革向纵深发展，医保基金监管、定点机构管理等政策不断细化，对定点医药机构资源配置的科学性、规范性、精准性提出更高要求。《广西医疗保障“十四五”规划》及《柳州市“十四五”卫生健康发展规划》明确了区域医疗中心建设、卫生健康高质量发展的核心目标，医保定点资源配置需主动衔接战略部署，实现从“覆盖全民”向“提质增效”的转型跨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人口结构与需求变化，服务供给亟待适配。柳州市常住人口规模稳定，城乡居民与城镇职工参保结构呈现差异化特征，老龄化进程加快，慢性病、康复护理等多元化医疗需求持续增长。同时，异地</w:t>
      </w:r>
      <w:r>
        <w:rPr>
          <w:rFonts w:hint="eastAsia" w:ascii="Times New Roman" w:hAnsi="Times New Roman" w:eastAsia="仿宋_GB2312" w:cs="Times New Roman"/>
          <w:sz w:val="32"/>
          <w:szCs w:val="32"/>
          <w:highlight w:val="none"/>
          <w:lang w:val="en-US" w:eastAsia="zh-CN"/>
        </w:rPr>
        <w:t>参保人来柳</w:t>
      </w:r>
      <w:r>
        <w:rPr>
          <w:rFonts w:hint="eastAsia" w:ascii="Times New Roman" w:hAnsi="Times New Roman" w:eastAsia="仿宋_GB2312" w:cs="Times New Roman"/>
          <w:sz w:val="32"/>
          <w:szCs w:val="32"/>
          <w:highlight w:val="none"/>
          <w:lang w:eastAsia="zh-CN"/>
        </w:rPr>
        <w:t>就医</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eastAsia="zh-CN"/>
        </w:rPr>
        <w:t>需求日益旺盛，对定点医疗机构的服务能力、床位供给、区域布局提出了更高要求，亟需优化资源配置以匹配参保人员从“看病就医”到“健康保障” 的需求升级。</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基金运行承压，资源配置需提质增效。</w:t>
      </w:r>
      <w:r>
        <w:rPr>
          <w:rFonts w:hint="eastAsia" w:ascii="Times New Roman" w:hAnsi="Times New Roman" w:eastAsia="仿宋_GB2312" w:cs="Times New Roman"/>
          <w:sz w:val="32"/>
          <w:szCs w:val="32"/>
          <w:highlight w:val="none"/>
          <w:lang w:val="en-US" w:eastAsia="zh-CN"/>
        </w:rPr>
        <w:t>当前柳州市医保</w:t>
      </w:r>
      <w:r>
        <w:rPr>
          <w:rFonts w:hint="eastAsia" w:ascii="Times New Roman" w:hAnsi="Times New Roman" w:eastAsia="仿宋_GB2312" w:cs="Times New Roman"/>
          <w:sz w:val="32"/>
          <w:szCs w:val="32"/>
          <w:highlight w:val="none"/>
          <w:lang w:eastAsia="zh-CN"/>
        </w:rPr>
        <w:t>基金运行总体平稳，</w:t>
      </w:r>
      <w:r>
        <w:rPr>
          <w:rFonts w:hint="eastAsia" w:ascii="Times New Roman" w:hAnsi="Times New Roman" w:eastAsia="仿宋_GB2312" w:cs="Times New Roman"/>
          <w:sz w:val="32"/>
          <w:szCs w:val="32"/>
          <w:highlight w:val="none"/>
          <w:lang w:val="en-US" w:eastAsia="zh-CN"/>
        </w:rPr>
        <w:t>其中城乡居民医保基金收支长期处于紧平衡、存在阶段性收不抵支情况，医保定点医药机构</w:t>
      </w:r>
      <w:r>
        <w:rPr>
          <w:rFonts w:hint="eastAsia" w:ascii="Times New Roman" w:hAnsi="Times New Roman" w:eastAsia="仿宋_GB2312" w:cs="Times New Roman"/>
          <w:sz w:val="32"/>
          <w:szCs w:val="32"/>
          <w:highlight w:val="none"/>
          <w:lang w:eastAsia="zh-CN"/>
        </w:rPr>
        <w:t>资源配置必须坚守“保基本、可持续”底线。</w:t>
      </w:r>
      <w:r>
        <w:rPr>
          <w:rFonts w:hint="eastAsia" w:ascii="Times New Roman" w:hAnsi="Times New Roman" w:eastAsia="仿宋_GB2312" w:cs="Times New Roman"/>
          <w:sz w:val="32"/>
          <w:szCs w:val="32"/>
          <w:highlight w:val="none"/>
          <w:lang w:val="en-US" w:eastAsia="zh-CN"/>
        </w:rPr>
        <w:t>我市资源供需基本适配，但中心城区和县域资源配置不均衡，</w:t>
      </w:r>
      <w:r>
        <w:rPr>
          <w:rFonts w:hint="eastAsia" w:ascii="Times New Roman" w:hAnsi="Times New Roman" w:eastAsia="仿宋_GB2312" w:cs="Times New Roman"/>
          <w:sz w:val="32"/>
          <w:szCs w:val="32"/>
          <w:highlight w:val="none"/>
          <w:lang w:eastAsia="zh-CN"/>
        </w:rPr>
        <w:t>部分区域存在床位冗余、药店供给过剩等问题，导致基金使用效能未能充分释放，亟须通过科学规划实现资源“减量提质、优化布局”，确保基金安全与效益最大化。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四、总体目标</w:t>
      </w:r>
      <w:bookmarkEnd w:id="3"/>
      <w:bookmarkStart w:id="4" w:name="heading_10"/>
    </w:p>
    <w:bookmarkEnd w:id="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至</w:t>
      </w:r>
      <w:r>
        <w:rPr>
          <w:rFonts w:hint="eastAsia" w:ascii="Times New Roman" w:hAnsi="Times New Roman" w:eastAsia="仿宋_GB2312" w:cs="Times New Roman"/>
          <w:sz w:val="32"/>
          <w:szCs w:val="32"/>
          <w:highlight w:val="none"/>
          <w:lang w:val="en-US" w:eastAsia="zh-CN"/>
        </w:rPr>
        <w:t>2030</w:t>
      </w:r>
      <w:r>
        <w:rPr>
          <w:rFonts w:hint="eastAsia" w:ascii="仿宋_GB2312" w:hAnsi="仿宋_GB2312" w:eastAsia="仿宋_GB2312" w:cs="仿宋_GB2312"/>
          <w:sz w:val="32"/>
          <w:szCs w:val="32"/>
          <w:highlight w:val="none"/>
          <w:lang w:val="en-US" w:eastAsia="zh-CN"/>
        </w:rPr>
        <w:t>年，通过优化我市医保定点医药机构资源配置规划，构建结构优化、覆盖全面、管理精细、服务高效的体系，推动资源布局持续优化、短板领域有效补齐、基层服务能力显著提升、管理服务精准高效，全面筑牢医保服务保障根基，更好满足参保群众多层次就医购药需求</w:t>
      </w:r>
      <w:r>
        <w:rPr>
          <w:rFonts w:hint="eastAsia" w:ascii="仿宋_GB2312" w:hAnsi="仿宋_GB2312" w:eastAsia="仿宋_GB2312" w:cs="仿宋_GB2312"/>
          <w:sz w:val="32"/>
          <w:szCs w:val="32"/>
          <w:highlight w:val="none"/>
          <w:lang w:eastAsia="zh-CN"/>
        </w:rPr>
        <w:t>。</w:t>
      </w:r>
      <w:bookmarkStart w:id="5" w:name="heading_11"/>
    </w:p>
    <w:bookmarkEnd w:id="5"/>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住院定点医疗机构</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全市医保住院床位总量，</w:t>
      </w:r>
      <w:r>
        <w:rPr>
          <w:rFonts w:hint="eastAsia" w:ascii="仿宋_GB2312" w:hAnsi="仿宋_GB2312" w:eastAsia="仿宋_GB2312" w:cs="仿宋_GB2312"/>
          <w:sz w:val="32"/>
          <w:szCs w:val="32"/>
          <w:highlight w:val="none"/>
          <w:lang w:val="en-US" w:eastAsia="zh-CN"/>
        </w:rPr>
        <w:t>原则上维持在</w:t>
      </w:r>
      <w:r>
        <w:rPr>
          <w:rFonts w:hint="default" w:ascii="Times New Roman" w:hAnsi="Times New Roman" w:eastAsia="仿宋_GB2312" w:cs="Times New Roman"/>
          <w:sz w:val="32"/>
          <w:szCs w:val="32"/>
          <w:highlight w:val="none"/>
          <w:shd w:val="clear"/>
        </w:rPr>
        <w:t>医保统筹基金可承担的</w:t>
      </w:r>
      <w:r>
        <w:rPr>
          <w:rFonts w:hint="eastAsia" w:ascii="Times New Roman" w:hAnsi="Times New Roman" w:eastAsia="仿宋_GB2312" w:cs="Times New Roman"/>
          <w:sz w:val="32"/>
          <w:szCs w:val="32"/>
          <w:highlight w:val="none"/>
          <w:shd w:val="clear"/>
          <w:lang w:val="en-US" w:eastAsia="zh-CN"/>
        </w:rPr>
        <w:t>每</w:t>
      </w:r>
      <w:r>
        <w:rPr>
          <w:rFonts w:hint="default" w:ascii="Times New Roman" w:hAnsi="Times New Roman" w:eastAsia="仿宋_GB2312" w:cs="Times New Roman"/>
          <w:sz w:val="32"/>
          <w:szCs w:val="32"/>
          <w:highlight w:val="none"/>
          <w:shd w:val="clear"/>
        </w:rPr>
        <w:t>千人床位数</w:t>
      </w:r>
      <w:r>
        <w:rPr>
          <w:rFonts w:hint="default" w:ascii="Times New Roman" w:hAnsi="Times New Roman" w:eastAsia="仿宋_GB2312" w:cs="Times New Roman"/>
          <w:sz w:val="32"/>
          <w:szCs w:val="32"/>
          <w:highlight w:val="none"/>
          <w:lang w:eastAsia="zh-CN"/>
        </w:rPr>
        <w:t>8.02</w:t>
      </w:r>
      <w:r>
        <w:rPr>
          <w:rFonts w:hint="default" w:ascii="Times New Roman" w:hAnsi="Times New Roman" w:eastAsia="仿宋_GB2312" w:cs="Times New Roman"/>
          <w:sz w:val="32"/>
          <w:szCs w:val="32"/>
          <w:highlight w:val="none"/>
          <w:shd w:val="clear"/>
        </w:rPr>
        <w:t>张</w:t>
      </w:r>
      <w:r>
        <w:rPr>
          <w:rFonts w:hint="eastAsia" w:ascii="Times New Roman" w:hAnsi="Times New Roman" w:eastAsia="仿宋_GB2312" w:cs="Times New Roman"/>
          <w:sz w:val="32"/>
          <w:szCs w:val="32"/>
          <w:highlight w:val="none"/>
          <w:shd w:val="clear"/>
          <w:lang w:val="en-US" w:eastAsia="zh-CN"/>
        </w:rPr>
        <w:t>左右，最高不超过按</w:t>
      </w:r>
      <w:r>
        <w:rPr>
          <w:rFonts w:hint="default" w:ascii="Times New Roman" w:hAnsi="Times New Roman" w:eastAsia="仿宋_GB2312" w:cs="Times New Roman"/>
          <w:sz w:val="32"/>
          <w:szCs w:val="32"/>
          <w:highlight w:val="none"/>
          <w:shd w:val="clear"/>
        </w:rPr>
        <w:t>需求测算的每千人床位数</w:t>
      </w:r>
      <w:r>
        <w:rPr>
          <w:rFonts w:hint="default" w:ascii="Times New Roman" w:hAnsi="Times New Roman" w:eastAsia="仿宋_GB2312" w:cs="Times New Roman"/>
          <w:sz w:val="32"/>
          <w:szCs w:val="32"/>
          <w:highlight w:val="none"/>
          <w:lang w:eastAsia="zh-CN"/>
        </w:rPr>
        <w:t>8.22</w:t>
      </w:r>
      <w:r>
        <w:rPr>
          <w:rFonts w:hint="default" w:ascii="Times New Roman" w:hAnsi="Times New Roman" w:eastAsia="仿宋_GB2312" w:cs="Times New Roman"/>
          <w:sz w:val="32"/>
          <w:szCs w:val="32"/>
          <w:highlight w:val="none"/>
          <w:shd w:val="clear"/>
        </w:rPr>
        <w:t>张</w:t>
      </w:r>
      <w:r>
        <w:rPr>
          <w:rFonts w:hint="eastAsia" w:ascii="仿宋_GB2312" w:hAnsi="仿宋_GB2312" w:eastAsia="仿宋_GB2312" w:cs="仿宋_GB2312"/>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u w:val="none"/>
          <w:lang w:val="en-US" w:eastAsia="zh-CN"/>
        </w:rPr>
        <w:t>实际医保住院床位总数超出规划上限</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u w:val="none"/>
          <w:lang w:val="en-US" w:eastAsia="zh-CN"/>
        </w:rPr>
        <w:t>全市不再新增</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val="en-US" w:eastAsia="zh-CN"/>
        </w:rPr>
        <w:t>住院</w:t>
      </w:r>
      <w:r>
        <w:rPr>
          <w:rFonts w:hint="eastAsia" w:ascii="仿宋_GB2312" w:hAnsi="仿宋_GB2312" w:eastAsia="仿宋_GB2312" w:cs="仿宋_GB2312"/>
          <w:sz w:val="32"/>
          <w:szCs w:val="32"/>
        </w:rPr>
        <w:t>床位</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highlight w:val="none"/>
        </w:rPr>
        <w:t>对年平均床位使用率持续低于</w:t>
      </w:r>
      <w:r>
        <w:rPr>
          <w:rFonts w:hint="default" w:ascii="Times New Roman" w:hAnsi="Times New Roman" w:eastAsia="仿宋_GB2312" w:cs="Times New Roman"/>
          <w:sz w:val="32"/>
          <w:szCs w:val="32"/>
          <w:highlight w:val="none"/>
          <w:lang w:eastAsia="zh-CN"/>
        </w:rPr>
        <w:t>75%</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每千人口床位数超规划</w:t>
      </w:r>
      <w:r>
        <w:rPr>
          <w:rFonts w:hint="eastAsia" w:ascii="Times New Roman" w:hAnsi="Times New Roman" w:eastAsia="仿宋_GB2312" w:cs="Times New Roman"/>
          <w:sz w:val="32"/>
          <w:szCs w:val="32"/>
          <w:highlight w:val="none"/>
          <w:lang w:val="en-US" w:eastAsia="zh-CN"/>
        </w:rPr>
        <w:t>上限</w:t>
      </w:r>
      <w:r>
        <w:rPr>
          <w:rFonts w:hint="default" w:ascii="Times New Roman" w:hAnsi="Times New Roman" w:eastAsia="仿宋_GB2312" w:cs="Times New Roman"/>
          <w:sz w:val="32"/>
          <w:szCs w:val="32"/>
          <w:highlight w:val="none"/>
        </w:rPr>
        <w:t>的区域，原则上不再新增医保住院床位。</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精神专科、</w:t>
      </w:r>
      <w:r>
        <w:rPr>
          <w:rFonts w:hint="eastAsia" w:ascii="仿宋_GB2312" w:hAnsi="仿宋_GB2312" w:eastAsia="仿宋_GB2312" w:cs="仿宋_GB2312"/>
          <w:sz w:val="32"/>
          <w:szCs w:val="32"/>
        </w:rPr>
        <w:t>中医（综合）医院与康复专科医院床位按需求</w:t>
      </w:r>
      <w:r>
        <w:rPr>
          <w:rFonts w:hint="eastAsia" w:ascii="仿宋_GB2312" w:hAnsi="仿宋_GB2312" w:eastAsia="仿宋_GB2312" w:cs="仿宋_GB2312"/>
          <w:sz w:val="32"/>
          <w:szCs w:val="32"/>
          <w:lang w:val="en-US" w:eastAsia="zh-CN"/>
        </w:rPr>
        <w:t>盈缺情况</w:t>
      </w:r>
      <w:r>
        <w:rPr>
          <w:rFonts w:hint="eastAsia" w:ascii="仿宋_GB2312" w:hAnsi="仿宋_GB2312" w:eastAsia="仿宋_GB2312" w:cs="仿宋_GB2312"/>
          <w:sz w:val="32"/>
          <w:szCs w:val="32"/>
        </w:rPr>
        <w:t>适度补充</w:t>
      </w:r>
      <w:r>
        <w:rPr>
          <w:rFonts w:hint="eastAsia" w:ascii="仿宋_GB2312" w:hAnsi="仿宋_GB2312" w:eastAsia="仿宋_GB2312" w:cs="仿宋_GB2312"/>
          <w:sz w:val="32"/>
          <w:szCs w:val="32"/>
          <w:lang w:val="en-US" w:eastAsia="zh-CN"/>
        </w:rPr>
        <w:t>或转移</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具体床位配置规划目标详见附件</w:t>
      </w: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3"/>
        </w:numPr>
        <w:kinsoku/>
        <w:wordWrap/>
        <w:overflowPunct/>
        <w:autoSpaceDE/>
        <w:autoSpaceDN/>
        <w:bidi w:val="0"/>
        <w:adjustRightInd/>
        <w:snapToGrid/>
        <w:spacing w:line="560" w:lineRule="exact"/>
        <w:ind w:left="0" w:leftChars="0" w:firstLine="42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门诊类定点医疗机构与定点</w:t>
      </w:r>
      <w:r>
        <w:rPr>
          <w:rFonts w:hint="default" w:ascii="Times New Roman" w:hAnsi="Times New Roman" w:eastAsia="仿宋_GB2312" w:cs="Times New Roman"/>
          <w:sz w:val="32"/>
          <w:szCs w:val="32"/>
          <w:highlight w:val="none"/>
          <w:shd w:val="clear"/>
        </w:rPr>
        <w:t>零售</w:t>
      </w:r>
      <w:r>
        <w:rPr>
          <w:rFonts w:hint="eastAsia" w:ascii="仿宋_GB2312" w:hAnsi="仿宋_GB2312" w:eastAsia="仿宋_GB2312" w:cs="仿宋_GB2312"/>
          <w:sz w:val="32"/>
          <w:szCs w:val="32"/>
          <w:lang w:val="en-US" w:eastAsia="zh-CN"/>
        </w:rPr>
        <w:t>药店</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shd w:val="clear"/>
          <w:lang w:eastAsia="zh-CN"/>
        </w:rPr>
      </w:pPr>
      <w:r>
        <w:rPr>
          <w:rFonts w:hint="eastAsia" w:ascii="仿宋_GB2312" w:hAnsi="仿宋_GB2312" w:eastAsia="仿宋_GB2312" w:cs="仿宋_GB2312"/>
          <w:sz w:val="32"/>
          <w:szCs w:val="32"/>
          <w:highlight w:val="none"/>
          <w:shd w:val="clear"/>
        </w:rPr>
        <w:t>按照“量入为出、总量控制、结构优化、动态调整”</w:t>
      </w:r>
      <w:r>
        <w:rPr>
          <w:rFonts w:hint="default" w:ascii="Times New Roman" w:hAnsi="Times New Roman" w:eastAsia="仿宋_GB2312" w:cs="Times New Roman"/>
          <w:sz w:val="32"/>
          <w:szCs w:val="32"/>
          <w:highlight w:val="none"/>
          <w:shd w:val="clear"/>
        </w:rPr>
        <w:t>的原则，在严格落实基金约束前提下，</w:t>
      </w:r>
      <w:r>
        <w:rPr>
          <w:rFonts w:hint="eastAsia" w:ascii="Times New Roman" w:hAnsi="Times New Roman" w:eastAsia="仿宋_GB2312" w:cs="Times New Roman"/>
          <w:sz w:val="32"/>
          <w:szCs w:val="32"/>
          <w:highlight w:val="none"/>
          <w:shd w:val="clear"/>
          <w:lang w:val="en-US" w:eastAsia="zh-CN"/>
        </w:rPr>
        <w:t>针对</w:t>
      </w:r>
      <w:r>
        <w:rPr>
          <w:rFonts w:hint="eastAsia" w:ascii="仿宋_GB2312" w:hAnsi="仿宋_GB2312" w:eastAsia="仿宋_GB2312" w:cs="仿宋_GB2312"/>
          <w:sz w:val="32"/>
          <w:szCs w:val="32"/>
          <w:lang w:val="en-US" w:eastAsia="zh-CN"/>
        </w:rPr>
        <w:t>门诊类定点医疗机构与定点</w:t>
      </w:r>
      <w:r>
        <w:rPr>
          <w:rFonts w:hint="default" w:ascii="Times New Roman" w:hAnsi="Times New Roman" w:eastAsia="仿宋_GB2312" w:cs="Times New Roman"/>
          <w:sz w:val="32"/>
          <w:szCs w:val="32"/>
          <w:highlight w:val="none"/>
          <w:shd w:val="clear"/>
        </w:rPr>
        <w:t>零售</w:t>
      </w:r>
      <w:r>
        <w:rPr>
          <w:rFonts w:hint="eastAsia" w:ascii="仿宋_GB2312" w:hAnsi="仿宋_GB2312" w:eastAsia="仿宋_GB2312" w:cs="仿宋_GB2312"/>
          <w:sz w:val="32"/>
          <w:szCs w:val="32"/>
          <w:lang w:val="en-US" w:eastAsia="zh-CN"/>
        </w:rPr>
        <w:t>药店</w:t>
      </w:r>
      <w:r>
        <w:rPr>
          <w:rFonts w:hint="default" w:ascii="Times New Roman" w:hAnsi="Times New Roman" w:eastAsia="仿宋_GB2312" w:cs="Times New Roman"/>
          <w:sz w:val="32"/>
          <w:szCs w:val="32"/>
          <w:highlight w:val="none"/>
          <w:shd w:val="clear"/>
        </w:rPr>
        <w:t>合理压减存量、</w:t>
      </w:r>
      <w:r>
        <w:rPr>
          <w:rFonts w:hint="eastAsia" w:ascii="Times New Roman" w:hAnsi="Times New Roman" w:eastAsia="仿宋_GB2312" w:cs="Times New Roman"/>
          <w:sz w:val="32"/>
          <w:szCs w:val="32"/>
          <w:highlight w:val="none"/>
          <w:shd w:val="clear"/>
          <w:lang w:val="en-US" w:eastAsia="zh-CN"/>
        </w:rPr>
        <w:t>限制</w:t>
      </w:r>
      <w:r>
        <w:rPr>
          <w:rFonts w:hint="default" w:ascii="Times New Roman" w:hAnsi="Times New Roman" w:eastAsia="仿宋_GB2312" w:cs="Times New Roman"/>
          <w:sz w:val="32"/>
          <w:szCs w:val="32"/>
          <w:highlight w:val="none"/>
          <w:shd w:val="clear"/>
        </w:rPr>
        <w:t>增量</w:t>
      </w:r>
      <w:r>
        <w:rPr>
          <w:rFonts w:hint="eastAsia" w:ascii="Times New Roman" w:hAnsi="Times New Roman" w:eastAsia="仿宋_GB2312" w:cs="Times New Roman"/>
          <w:sz w:val="32"/>
          <w:szCs w:val="32"/>
          <w:highlight w:val="none"/>
          <w:shd w:val="clear"/>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shd w:val="clear"/>
        </w:rPr>
      </w:pPr>
      <w:r>
        <w:rPr>
          <w:rFonts w:hint="eastAsia" w:ascii="仿宋_GB2312" w:hAnsi="仿宋_GB2312" w:eastAsia="仿宋_GB2312" w:cs="仿宋_GB2312"/>
          <w:color w:val="auto"/>
          <w:sz w:val="32"/>
          <w:szCs w:val="32"/>
        </w:rPr>
        <w:t>门诊类定点医疗机构</w:t>
      </w:r>
      <w:r>
        <w:rPr>
          <w:rFonts w:hint="eastAsia" w:ascii="仿宋_GB2312" w:hAnsi="仿宋_GB2312" w:eastAsia="仿宋_GB2312" w:cs="仿宋_GB2312"/>
          <w:color w:val="auto"/>
          <w:sz w:val="32"/>
          <w:szCs w:val="32"/>
          <w:lang w:eastAsia="zh-CN"/>
        </w:rPr>
        <w:t>（不含有住院功能的医疗机构，下同）</w:t>
      </w:r>
      <w:r>
        <w:rPr>
          <w:rFonts w:hint="eastAsia" w:ascii="仿宋_GB2312" w:hAnsi="仿宋_GB2312" w:eastAsia="仿宋_GB2312" w:cs="仿宋_GB2312"/>
          <w:color w:val="auto"/>
          <w:sz w:val="32"/>
          <w:szCs w:val="32"/>
        </w:rPr>
        <w:t>和定点零售药店的规划数量，</w:t>
      </w:r>
      <w:r>
        <w:rPr>
          <w:rFonts w:hint="eastAsia" w:ascii="Times New Roman" w:hAnsi="Times New Roman" w:eastAsia="仿宋_GB2312" w:cs="Times New Roman"/>
          <w:sz w:val="32"/>
          <w:szCs w:val="32"/>
          <w:highlight w:val="none"/>
          <w:shd w:val="clear"/>
          <w:lang w:val="en-US" w:eastAsia="zh-CN"/>
        </w:rPr>
        <w:t>根据统筹基金收支情况，</w:t>
      </w:r>
      <w:r>
        <w:rPr>
          <w:rFonts w:hint="eastAsia" w:ascii="仿宋_GB2312" w:hAnsi="仿宋_GB2312" w:eastAsia="仿宋_GB2312" w:cs="仿宋_GB2312"/>
          <w:color w:val="auto"/>
          <w:sz w:val="32"/>
          <w:szCs w:val="32"/>
        </w:rPr>
        <w:t>按照构建“</w:t>
      </w:r>
      <w:r>
        <w:rPr>
          <w:rFonts w:hint="eastAsia" w:ascii="Times New Roman" w:hAnsi="Times New Roman" w:eastAsia="仿宋_GB2312" w:cs="Times New Roman"/>
          <w:sz w:val="32"/>
          <w:szCs w:val="32"/>
          <w:highlight w:val="none"/>
          <w:lang w:eastAsia="zh-CN"/>
        </w:rPr>
        <w:t>15</w:t>
      </w:r>
      <w:r>
        <w:rPr>
          <w:rFonts w:hint="eastAsia" w:ascii="仿宋_GB2312" w:hAnsi="仿宋_GB2312" w:eastAsia="仿宋_GB2312" w:cs="仿宋_GB2312"/>
          <w:color w:val="auto"/>
          <w:sz w:val="32"/>
          <w:szCs w:val="32"/>
        </w:rPr>
        <w:t>分钟医保服务圈</w:t>
      </w:r>
      <w:r>
        <w:rPr>
          <w:rFonts w:hint="default" w:ascii="Times New Roman" w:hAnsi="Times New Roman" w:eastAsia="仿宋_GB2312" w:cs="Times New Roman"/>
          <w:color w:val="auto"/>
          <w:kern w:val="2"/>
          <w:sz w:val="32"/>
          <w:szCs w:val="32"/>
          <w:lang w:bidi="ar-SA"/>
        </w:rPr>
        <w:t>（</w:t>
      </w:r>
      <w:r>
        <w:rPr>
          <w:rFonts w:hint="default" w:ascii="Times New Roman" w:hAnsi="Times New Roman" w:eastAsia="仿宋_GB2312" w:cs="Times New Roman"/>
          <w:color w:val="auto"/>
          <w:kern w:val="2"/>
          <w:sz w:val="32"/>
          <w:szCs w:val="32"/>
          <w:lang w:val="en-US" w:eastAsia="zh-CN" w:bidi="ar-SA"/>
        </w:rPr>
        <w:t>服务半径</w:t>
      </w:r>
      <w:r>
        <w:rPr>
          <w:rFonts w:hint="default" w:ascii="Times New Roman" w:hAnsi="Times New Roman" w:eastAsia="仿宋_GB2312" w:cs="Times New Roman"/>
          <w:color w:val="auto"/>
          <w:kern w:val="2"/>
          <w:sz w:val="32"/>
          <w:szCs w:val="32"/>
          <w:lang w:bidi="ar-SA"/>
        </w:rPr>
        <w:t>800米范围内）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sz w:val="32"/>
          <w:szCs w:val="32"/>
          <w:highlight w:val="none"/>
          <w:shd w:val="clear"/>
        </w:rPr>
        <w:t>单</w:t>
      </w:r>
      <w:r>
        <w:rPr>
          <w:rFonts w:hint="eastAsia" w:ascii="Times New Roman" w:hAnsi="Times New Roman" w:eastAsia="仿宋_GB2312" w:cs="Times New Roman"/>
          <w:sz w:val="32"/>
          <w:szCs w:val="32"/>
          <w:highlight w:val="none"/>
          <w:shd w:val="clear"/>
          <w:lang w:val="en-US" w:eastAsia="zh-CN"/>
        </w:rPr>
        <w:t>机构（</w:t>
      </w:r>
      <w:r>
        <w:rPr>
          <w:rFonts w:hint="default" w:ascii="Times New Roman" w:hAnsi="Times New Roman" w:eastAsia="仿宋_GB2312" w:cs="Times New Roman"/>
          <w:sz w:val="32"/>
          <w:szCs w:val="32"/>
          <w:highlight w:val="none"/>
          <w:shd w:val="clear"/>
        </w:rPr>
        <w:t>药店</w:t>
      </w:r>
      <w:r>
        <w:rPr>
          <w:rFonts w:hint="eastAsia" w:ascii="Times New Roman" w:hAnsi="Times New Roman" w:eastAsia="仿宋_GB2312" w:cs="Times New Roman"/>
          <w:sz w:val="32"/>
          <w:szCs w:val="32"/>
          <w:highlight w:val="none"/>
          <w:shd w:val="clear"/>
          <w:lang w:eastAsia="zh-CN"/>
        </w:rPr>
        <w:t>）</w:t>
      </w:r>
      <w:r>
        <w:rPr>
          <w:rFonts w:hint="default" w:ascii="Times New Roman" w:hAnsi="Times New Roman" w:eastAsia="仿宋_GB2312" w:cs="Times New Roman"/>
          <w:sz w:val="32"/>
          <w:szCs w:val="32"/>
          <w:highlight w:val="none"/>
          <w:shd w:val="clear"/>
        </w:rPr>
        <w:t>平均服务常住人口4000人</w:t>
      </w:r>
      <w:r>
        <w:rPr>
          <w:rFonts w:hint="eastAsia" w:ascii="Times New Roman" w:hAnsi="Times New Roman" w:eastAsia="仿宋_GB2312" w:cs="Times New Roman"/>
          <w:sz w:val="32"/>
          <w:szCs w:val="32"/>
          <w:highlight w:val="none"/>
          <w:shd w:val="clear"/>
          <w:lang w:val="en-US" w:eastAsia="zh-CN"/>
        </w:rPr>
        <w:t>进行</w:t>
      </w:r>
      <w:r>
        <w:rPr>
          <w:rFonts w:hint="default" w:ascii="Times New Roman" w:hAnsi="Times New Roman" w:eastAsia="仿宋_GB2312" w:cs="Times New Roman"/>
          <w:sz w:val="32"/>
          <w:szCs w:val="32"/>
          <w:highlight w:val="none"/>
          <w:shd w:val="clear"/>
        </w:rPr>
        <w:t>测算</w:t>
      </w:r>
      <w:r>
        <w:rPr>
          <w:rFonts w:hint="eastAsia" w:ascii="Times New Roman" w:hAnsi="Times New Roman" w:eastAsia="仿宋_GB2312" w:cs="Times New Roman"/>
          <w:sz w:val="32"/>
          <w:szCs w:val="32"/>
          <w:highlight w:val="none"/>
          <w:shd w:val="clear"/>
          <w:lang w:eastAsia="zh-CN"/>
        </w:rPr>
        <w:t>，</w:t>
      </w:r>
      <w:r>
        <w:rPr>
          <w:rFonts w:hint="eastAsia" w:ascii="Times New Roman" w:hAnsi="Times New Roman" w:eastAsia="仿宋_GB2312" w:cs="Times New Roman"/>
          <w:sz w:val="32"/>
          <w:szCs w:val="32"/>
          <w:highlight w:val="none"/>
          <w:shd w:val="clear"/>
          <w:lang w:val="en-US" w:eastAsia="zh-CN"/>
        </w:rPr>
        <w:t>应</w:t>
      </w:r>
      <w:r>
        <w:rPr>
          <w:rFonts w:hint="default" w:ascii="Times New Roman" w:hAnsi="Times New Roman" w:eastAsia="仿宋_GB2312" w:cs="Times New Roman"/>
          <w:sz w:val="32"/>
          <w:szCs w:val="32"/>
          <w:highlight w:val="none"/>
          <w:shd w:val="clear"/>
        </w:rPr>
        <w:t>将</w:t>
      </w:r>
      <w:r>
        <w:rPr>
          <w:rFonts w:hint="eastAsia" w:ascii="仿宋_GB2312" w:hAnsi="仿宋_GB2312" w:eastAsia="仿宋_GB2312" w:cs="仿宋_GB2312"/>
          <w:sz w:val="32"/>
          <w:szCs w:val="32"/>
          <w:lang w:val="en-US" w:eastAsia="zh-CN"/>
        </w:rPr>
        <w:t>门诊类定点医疗机构与定点</w:t>
      </w:r>
      <w:r>
        <w:rPr>
          <w:rFonts w:hint="default" w:ascii="Times New Roman" w:hAnsi="Times New Roman" w:eastAsia="仿宋_GB2312" w:cs="Times New Roman"/>
          <w:sz w:val="32"/>
          <w:szCs w:val="32"/>
          <w:highlight w:val="none"/>
          <w:shd w:val="clear"/>
        </w:rPr>
        <w:t>零售</w:t>
      </w:r>
      <w:r>
        <w:rPr>
          <w:rFonts w:hint="eastAsia" w:ascii="仿宋_GB2312" w:hAnsi="仿宋_GB2312" w:eastAsia="仿宋_GB2312" w:cs="仿宋_GB2312"/>
          <w:sz w:val="32"/>
          <w:szCs w:val="32"/>
          <w:lang w:val="en-US" w:eastAsia="zh-CN"/>
        </w:rPr>
        <w:t>药店</w:t>
      </w:r>
      <w:r>
        <w:rPr>
          <w:rFonts w:hint="default" w:ascii="Times New Roman" w:hAnsi="Times New Roman" w:eastAsia="仿宋_GB2312" w:cs="Times New Roman"/>
          <w:sz w:val="32"/>
          <w:szCs w:val="32"/>
          <w:highlight w:val="none"/>
          <w:shd w:val="clear"/>
        </w:rPr>
        <w:t>总量控制在约</w:t>
      </w:r>
      <w:r>
        <w:rPr>
          <w:rFonts w:hint="eastAsia" w:ascii="Times New Roman" w:hAnsi="Times New Roman" w:eastAsia="仿宋_GB2312" w:cs="Times New Roman"/>
          <w:sz w:val="32"/>
          <w:szCs w:val="32"/>
          <w:highlight w:val="none"/>
          <w:lang w:val="en-US" w:eastAsia="zh-CN"/>
        </w:rPr>
        <w:t>1033</w:t>
      </w:r>
      <w:r>
        <w:rPr>
          <w:rFonts w:hint="default" w:ascii="Times New Roman" w:hAnsi="Times New Roman" w:eastAsia="仿宋_GB2312" w:cs="Times New Roman"/>
          <w:sz w:val="32"/>
          <w:szCs w:val="32"/>
          <w:highlight w:val="none"/>
          <w:shd w:val="clear"/>
        </w:rPr>
        <w:t>家、门诊统筹定点零售药店总量控制在约</w:t>
      </w:r>
      <w:r>
        <w:rPr>
          <w:rFonts w:hint="default" w:ascii="Times New Roman" w:hAnsi="Times New Roman" w:eastAsia="仿宋_GB2312" w:cs="Times New Roman"/>
          <w:sz w:val="32"/>
          <w:szCs w:val="32"/>
          <w:highlight w:val="none"/>
          <w:lang w:eastAsia="zh-CN"/>
        </w:rPr>
        <w:t>899</w:t>
      </w:r>
      <w:r>
        <w:rPr>
          <w:rFonts w:hint="default" w:ascii="Times New Roman" w:hAnsi="Times New Roman" w:eastAsia="仿宋_GB2312" w:cs="Times New Roman"/>
          <w:sz w:val="32"/>
          <w:szCs w:val="32"/>
          <w:highlight w:val="none"/>
          <w:shd w:val="clear"/>
        </w:rPr>
        <w:t>家</w:t>
      </w:r>
      <w:r>
        <w:rPr>
          <w:rFonts w:hint="eastAsia" w:ascii="Times New Roman" w:hAnsi="Times New Roman" w:eastAsia="仿宋_GB2312" w:cs="Times New Roman"/>
          <w:sz w:val="32"/>
          <w:szCs w:val="32"/>
          <w:highlight w:val="none"/>
          <w:shd w:val="clear"/>
          <w:lang w:eastAsia="zh-CN"/>
        </w:rPr>
        <w:t>、</w:t>
      </w:r>
      <w:r>
        <w:rPr>
          <w:rFonts w:hint="default" w:ascii="Times New Roman" w:hAnsi="Times New Roman" w:eastAsia="仿宋_GB2312" w:cs="Times New Roman"/>
          <w:sz w:val="32"/>
          <w:szCs w:val="32"/>
          <w:highlight w:val="none"/>
          <w:shd w:val="clear"/>
        </w:rPr>
        <w:t>双通道定点零售药店保持约</w:t>
      </w:r>
      <w:r>
        <w:rPr>
          <w:rFonts w:hint="default" w:ascii="Times New Roman" w:hAnsi="Times New Roman" w:eastAsia="仿宋_GB2312" w:cs="Times New Roman"/>
          <w:sz w:val="32"/>
          <w:szCs w:val="32"/>
          <w:highlight w:val="none"/>
          <w:lang w:eastAsia="zh-CN"/>
        </w:rPr>
        <w:t>41</w:t>
      </w:r>
      <w:r>
        <w:rPr>
          <w:rFonts w:hint="default" w:ascii="Times New Roman" w:hAnsi="Times New Roman" w:eastAsia="仿宋_GB2312" w:cs="Times New Roman"/>
          <w:sz w:val="32"/>
          <w:szCs w:val="32"/>
          <w:highlight w:val="none"/>
          <w:shd w:val="clear"/>
        </w:rPr>
        <w:t>家，重点调减中心城区过高存量，县域总体保持稳定并在不突破总量和基金约束前提下适度补齐短板，确保资源配置与群众需求及医保基金承受能力相匹配。</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shd w:val="clear"/>
          <w:lang w:eastAsia="zh-CN"/>
        </w:rPr>
      </w:pPr>
      <w:r>
        <w:rPr>
          <w:rFonts w:hint="eastAsia" w:ascii="仿宋_GB2312" w:hAnsi="仿宋_GB2312" w:eastAsia="仿宋_GB2312" w:cs="仿宋_GB2312"/>
          <w:color w:val="auto"/>
          <w:sz w:val="32"/>
          <w:szCs w:val="32"/>
        </w:rPr>
        <w:t>定点门诊类医疗机构和定点零售药店跨区域变更注册地址的，应符合</w:t>
      </w:r>
      <w:r>
        <w:rPr>
          <w:rFonts w:hint="eastAsia" w:ascii="仿宋_GB2312" w:hAnsi="仿宋_GB2312" w:eastAsia="仿宋_GB2312" w:cs="仿宋_GB2312"/>
          <w:color w:val="auto"/>
          <w:sz w:val="32"/>
          <w:szCs w:val="32"/>
          <w:lang w:eastAsia="zh-CN"/>
        </w:rPr>
        <w:t>区域</w:t>
      </w:r>
      <w:r>
        <w:rPr>
          <w:rFonts w:hint="eastAsia" w:ascii="仿宋_GB2312" w:hAnsi="仿宋_GB2312" w:eastAsia="仿宋_GB2312" w:cs="仿宋_GB2312"/>
          <w:color w:val="auto"/>
          <w:sz w:val="32"/>
          <w:szCs w:val="32"/>
        </w:rPr>
        <w:t>定点资源配置规划数量要求，并按规定重新申请</w:t>
      </w:r>
      <w:r>
        <w:rPr>
          <w:rFonts w:hint="eastAsia" w:ascii="仿宋_GB2312" w:hAnsi="仿宋_GB2312" w:eastAsia="仿宋_GB2312" w:cs="仿宋_GB2312"/>
          <w:color w:val="auto"/>
          <w:sz w:val="32"/>
          <w:szCs w:val="32"/>
          <w:lang w:eastAsia="zh-CN"/>
        </w:rPr>
        <w:t>纳入</w:t>
      </w:r>
      <w:r>
        <w:rPr>
          <w:rFonts w:hint="eastAsia" w:ascii="仿宋_GB2312" w:hAnsi="仿宋_GB2312" w:eastAsia="仿宋_GB2312" w:cs="仿宋_GB2312"/>
          <w:color w:val="auto"/>
          <w:sz w:val="32"/>
          <w:szCs w:val="32"/>
        </w:rPr>
        <w:t>医保定点</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_GB2312" w:cs="Times New Roman"/>
          <w:sz w:val="32"/>
          <w:szCs w:val="32"/>
          <w:highlight w:val="none"/>
          <w:shd w:val="clear"/>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具体定点零售药店配置规划目标详见附件</w:t>
      </w:r>
      <w:r>
        <w:rPr>
          <w:rFonts w:hint="eastAsia" w:ascii="Times New Roman" w:hAnsi="Times New Roman" w:eastAsia="仿宋_GB2312" w:cs="Times New Roman"/>
          <w:sz w:val="32"/>
          <w:szCs w:val="32"/>
          <w:highlight w:val="none"/>
          <w:lang w:val="en-US" w:eastAsia="zh-CN"/>
        </w:rPr>
        <w:t>3。</w:t>
      </w:r>
    </w:p>
    <w:p>
      <w:pPr>
        <w:keepNext w:val="0"/>
        <w:keepLines w:val="0"/>
        <w:pageBreakBefore w:val="0"/>
        <w:widowControl w:val="0"/>
        <w:numPr>
          <w:ilvl w:val="0"/>
          <w:numId w:val="3"/>
        </w:numPr>
        <w:kinsoku/>
        <w:wordWrap/>
        <w:overflowPunct/>
        <w:autoSpaceDE/>
        <w:autoSpaceDN/>
        <w:bidi w:val="0"/>
        <w:adjustRightInd/>
        <w:snapToGrid/>
        <w:spacing w:line="560" w:lineRule="exact"/>
        <w:ind w:left="0" w:leftChars="0" w:firstLine="42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w:t>
      </w:r>
    </w:p>
    <w:p>
      <w:pPr>
        <w:keepNext w:val="0"/>
        <w:keepLines w:val="0"/>
        <w:pageBreakBefore w:val="0"/>
        <w:widowControl w:val="0"/>
        <w:numPr>
          <w:ilvl w:val="0"/>
          <w:numId w:val="6"/>
        </w:numPr>
        <w:kinsoku/>
        <w:wordWrap/>
        <w:overflowPunct/>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符合我市区域卫生健康规划的基层医疗卫生机构，如社区卫生服务中心、社区卫生服务站、村卫生室，</w:t>
      </w:r>
      <w:r>
        <w:rPr>
          <w:rFonts w:hint="eastAsia" w:ascii="仿宋_GB2312" w:hAnsi="仿宋_GB2312" w:eastAsia="仿宋_GB2312" w:cs="仿宋_GB2312"/>
          <w:color w:val="auto"/>
          <w:sz w:val="32"/>
          <w:szCs w:val="32"/>
          <w:lang w:val="en-US" w:eastAsia="zh-CN"/>
        </w:rPr>
        <w:t>以及养老机构内设医疗机构，</w:t>
      </w:r>
      <w:r>
        <w:rPr>
          <w:rFonts w:hint="eastAsia" w:ascii="仿宋_GB2312" w:hAnsi="仿宋_GB2312" w:eastAsia="仿宋_GB2312" w:cs="仿宋_GB2312"/>
          <w:sz w:val="32"/>
          <w:szCs w:val="32"/>
          <w:lang w:val="en-US" w:eastAsia="zh-CN"/>
        </w:rPr>
        <w:t>原则上可按规定优先纳入医保定点范围，不受本规划数量限制。</w:t>
      </w:r>
    </w:p>
    <w:p>
      <w:pPr>
        <w:keepNext w:val="0"/>
        <w:keepLines w:val="0"/>
        <w:pageBreakBefore w:val="0"/>
        <w:widowControl w:val="0"/>
        <w:numPr>
          <w:ilvl w:val="0"/>
          <w:numId w:val="6"/>
        </w:numPr>
        <w:kinsoku/>
        <w:wordWrap/>
        <w:overflowPunct/>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鼓励引进优质医疗资源服务我市居民。对列入柳州市重点建设项目范围，能够补强我市医疗技术短板、提供高水平或差异化医疗服务的医药机构，可按规定程序和标准直接纳入医保定点，不受本规划数量限制。</w:t>
      </w:r>
    </w:p>
    <w:p>
      <w:pPr>
        <w:keepNext w:val="0"/>
        <w:keepLines w:val="0"/>
        <w:pageBreakBefore w:val="0"/>
        <w:widowControl w:val="0"/>
        <w:numPr>
          <w:ilvl w:val="0"/>
          <w:numId w:val="6"/>
        </w:numPr>
        <w:kinsoku/>
        <w:wordWrap/>
        <w:overflowPunct/>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本规划</w:t>
      </w:r>
      <w:r>
        <w:rPr>
          <w:rFonts w:hint="eastAsia" w:ascii="仿宋_GB2312" w:hAnsi="仿宋_GB2312" w:eastAsia="仿宋_GB2312" w:cs="仿宋_GB2312"/>
          <w:b w:val="0"/>
          <w:bCs w:val="0"/>
          <w:color w:val="auto"/>
          <w:sz w:val="32"/>
          <w:szCs w:val="32"/>
          <w:u w:val="none"/>
          <w:lang w:val="en-US" w:eastAsia="zh-CN"/>
        </w:rPr>
        <w:t>正式实施</w:t>
      </w:r>
      <w:r>
        <w:rPr>
          <w:rFonts w:hint="default" w:ascii="仿宋_GB2312" w:hAnsi="仿宋_GB2312" w:eastAsia="仿宋_GB2312" w:cs="仿宋_GB2312"/>
          <w:b w:val="0"/>
          <w:bCs w:val="0"/>
          <w:color w:val="auto"/>
          <w:sz w:val="32"/>
          <w:szCs w:val="32"/>
          <w:u w:val="none"/>
          <w:lang w:val="en-US" w:eastAsia="zh-CN"/>
        </w:rPr>
        <w:t>前已经卫生健康和市场监管部门批准设立的医疗机构和零售药店，</w:t>
      </w:r>
      <w:r>
        <w:rPr>
          <w:rFonts w:hint="eastAsia" w:ascii="仿宋_GB2312" w:hAnsi="仿宋_GB2312" w:eastAsia="仿宋_GB2312" w:cs="仿宋_GB2312"/>
          <w:b w:val="0"/>
          <w:bCs w:val="0"/>
          <w:color w:val="auto"/>
          <w:sz w:val="32"/>
          <w:szCs w:val="32"/>
          <w:u w:val="none"/>
          <w:lang w:val="en-US" w:eastAsia="zh-CN"/>
        </w:rPr>
        <w:t>可于</w:t>
      </w:r>
      <w:r>
        <w:rPr>
          <w:rFonts w:hint="eastAsia" w:ascii="Times New Roman" w:hAnsi="Times New Roman" w:eastAsia="仿宋_GB2312" w:cs="Times New Roman"/>
          <w:sz w:val="32"/>
          <w:szCs w:val="32"/>
          <w:highlight w:val="none"/>
          <w:lang w:val="en-US" w:eastAsia="zh-CN"/>
        </w:rPr>
        <w:t>2026</w:t>
      </w:r>
      <w:r>
        <w:rPr>
          <w:rFonts w:hint="eastAsia" w:ascii="仿宋_GB2312" w:hAnsi="仿宋_GB2312" w:eastAsia="仿宋_GB2312" w:cs="仿宋_GB2312"/>
          <w:b w:val="0"/>
          <w:bCs w:val="0"/>
          <w:color w:val="auto"/>
          <w:sz w:val="32"/>
          <w:szCs w:val="32"/>
          <w:u w:val="none"/>
          <w:lang w:val="en-US" w:eastAsia="zh-CN"/>
        </w:rPr>
        <w:t>年</w:t>
      </w:r>
      <w:r>
        <w:rPr>
          <w:rFonts w:hint="eastAsia" w:ascii="Times New Roman" w:hAnsi="Times New Roman" w:eastAsia="仿宋_GB2312" w:cs="Times New Roman"/>
          <w:sz w:val="32"/>
          <w:szCs w:val="32"/>
          <w:highlight w:val="none"/>
          <w:lang w:val="en-US" w:eastAsia="zh-CN"/>
        </w:rPr>
        <w:t>12</w:t>
      </w:r>
      <w:r>
        <w:rPr>
          <w:rFonts w:hint="eastAsia" w:ascii="仿宋_GB2312" w:hAnsi="仿宋_GB2312" w:eastAsia="仿宋_GB2312" w:cs="仿宋_GB2312"/>
          <w:b w:val="0"/>
          <w:bCs w:val="0"/>
          <w:color w:val="auto"/>
          <w:sz w:val="32"/>
          <w:szCs w:val="32"/>
          <w:u w:val="none"/>
          <w:lang w:val="en-US" w:eastAsia="zh-CN"/>
        </w:rPr>
        <w:t>月</w:t>
      </w:r>
      <w:r>
        <w:rPr>
          <w:rFonts w:hint="eastAsia" w:ascii="Times New Roman" w:hAnsi="Times New Roman" w:eastAsia="仿宋_GB2312" w:cs="Times New Roman"/>
          <w:sz w:val="32"/>
          <w:szCs w:val="32"/>
          <w:highlight w:val="none"/>
          <w:lang w:val="en-US" w:eastAsia="zh-CN"/>
        </w:rPr>
        <w:t>31</w:t>
      </w:r>
      <w:r>
        <w:rPr>
          <w:rFonts w:hint="eastAsia" w:ascii="仿宋_GB2312" w:hAnsi="仿宋_GB2312" w:eastAsia="仿宋_GB2312" w:cs="仿宋_GB2312"/>
          <w:b w:val="0"/>
          <w:bCs w:val="0"/>
          <w:color w:val="auto"/>
          <w:sz w:val="32"/>
          <w:szCs w:val="32"/>
          <w:u w:val="none"/>
          <w:lang w:val="en-US" w:eastAsia="zh-CN"/>
        </w:rPr>
        <w:t>日前提出定点申请，</w:t>
      </w:r>
      <w:r>
        <w:rPr>
          <w:rFonts w:hint="default" w:ascii="仿宋_GB2312" w:hAnsi="仿宋_GB2312" w:eastAsia="仿宋_GB2312" w:cs="仿宋_GB2312"/>
          <w:b w:val="0"/>
          <w:bCs w:val="0"/>
          <w:color w:val="auto"/>
          <w:sz w:val="32"/>
          <w:szCs w:val="32"/>
          <w:u w:val="none"/>
          <w:lang w:val="en-US" w:eastAsia="zh-CN"/>
        </w:rPr>
        <w:t>符合</w:t>
      </w:r>
      <w:r>
        <w:rPr>
          <w:rFonts w:hint="eastAsia" w:ascii="仿宋_GB2312" w:hAnsi="仿宋_GB2312" w:eastAsia="仿宋_GB2312" w:cs="仿宋_GB2312"/>
          <w:b w:val="0"/>
          <w:bCs w:val="0"/>
          <w:color w:val="auto"/>
          <w:sz w:val="32"/>
          <w:szCs w:val="32"/>
          <w:u w:val="none"/>
          <w:lang w:val="en-US" w:eastAsia="zh-CN"/>
        </w:rPr>
        <w:t>医保</w:t>
      </w:r>
      <w:r>
        <w:rPr>
          <w:rFonts w:hint="default" w:ascii="仿宋_GB2312" w:hAnsi="仿宋_GB2312" w:eastAsia="仿宋_GB2312" w:cs="仿宋_GB2312"/>
          <w:b w:val="0"/>
          <w:bCs w:val="0"/>
          <w:color w:val="auto"/>
          <w:sz w:val="32"/>
          <w:szCs w:val="32"/>
          <w:u w:val="none"/>
          <w:lang w:val="en-US" w:eastAsia="zh-CN"/>
        </w:rPr>
        <w:t>定点准入条件的，</w:t>
      </w:r>
      <w:r>
        <w:rPr>
          <w:rFonts w:hint="eastAsia" w:ascii="仿宋_GB2312" w:hAnsi="仿宋_GB2312" w:eastAsia="仿宋_GB2312" w:cs="仿宋_GB2312"/>
          <w:b w:val="0"/>
          <w:bCs w:val="0"/>
          <w:color w:val="auto"/>
          <w:sz w:val="32"/>
          <w:szCs w:val="32"/>
          <w:u w:val="none"/>
          <w:lang w:val="en-US" w:eastAsia="zh-CN"/>
        </w:rPr>
        <w:t>可</w:t>
      </w:r>
      <w:r>
        <w:rPr>
          <w:rFonts w:hint="default" w:ascii="仿宋_GB2312" w:hAnsi="仿宋_GB2312" w:eastAsia="仿宋_GB2312" w:cs="仿宋_GB2312"/>
          <w:b w:val="0"/>
          <w:bCs w:val="0"/>
          <w:color w:val="auto"/>
          <w:sz w:val="32"/>
          <w:szCs w:val="32"/>
          <w:u w:val="none"/>
          <w:lang w:val="en-US" w:eastAsia="zh-CN"/>
        </w:rPr>
        <w:t>按规定</w:t>
      </w:r>
      <w:r>
        <w:rPr>
          <w:rFonts w:hint="eastAsia" w:ascii="仿宋_GB2312" w:hAnsi="仿宋_GB2312" w:eastAsia="仿宋_GB2312" w:cs="仿宋_GB2312"/>
          <w:b w:val="0"/>
          <w:bCs w:val="0"/>
          <w:color w:val="auto"/>
          <w:sz w:val="32"/>
          <w:szCs w:val="32"/>
          <w:u w:val="none"/>
          <w:lang w:val="en-US" w:eastAsia="zh-CN"/>
        </w:rPr>
        <w:t>流程</w:t>
      </w:r>
      <w:r>
        <w:rPr>
          <w:rFonts w:hint="default" w:ascii="仿宋_GB2312" w:hAnsi="仿宋_GB2312" w:eastAsia="仿宋_GB2312" w:cs="仿宋_GB2312"/>
          <w:b w:val="0"/>
          <w:bCs w:val="0"/>
          <w:color w:val="auto"/>
          <w:sz w:val="32"/>
          <w:szCs w:val="32"/>
          <w:u w:val="none"/>
          <w:lang w:val="en-US" w:eastAsia="zh-CN"/>
        </w:rPr>
        <w:t>纳入医保定点管理</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numPr>
          <w:ilvl w:val="0"/>
          <w:numId w:val="6"/>
        </w:numPr>
        <w:kinsoku/>
        <w:wordWrap/>
        <w:overflowPunct/>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对医保基金当期赤字、动态监测赤字或收到上级医保部门基金运行预警函的</w:t>
      </w:r>
      <w:r>
        <w:rPr>
          <w:rFonts w:hint="eastAsia" w:ascii="仿宋_GB2312" w:hAnsi="仿宋_GB2312" w:eastAsia="仿宋_GB2312" w:cs="仿宋_GB2312"/>
          <w:color w:val="auto"/>
          <w:sz w:val="32"/>
          <w:szCs w:val="32"/>
          <w:lang w:eastAsia="zh-CN"/>
        </w:rPr>
        <w:t>区域</w:t>
      </w:r>
      <w:r>
        <w:rPr>
          <w:rFonts w:hint="eastAsia" w:ascii="仿宋_GB2312" w:hAnsi="仿宋_GB2312" w:eastAsia="仿宋_GB2312" w:cs="仿宋_GB2312"/>
          <w:color w:val="auto"/>
          <w:sz w:val="32"/>
          <w:szCs w:val="32"/>
        </w:rPr>
        <w:t>，原则上不再新增定点医药机构。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lang w:eastAsia="zh-CN"/>
        </w:rPr>
        <w:t>重点任务</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bCs w:val="0"/>
          <w:sz w:val="32"/>
          <w:szCs w:val="32"/>
          <w:highlight w:val="none"/>
        </w:rPr>
        <w:t>规范医保定点医药机构配置</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shd w:val="clear" w:fill="FFFF00"/>
          <w:lang w:eastAsia="zh-CN"/>
        </w:rPr>
      </w:pPr>
      <w:r>
        <w:rPr>
          <w:rFonts w:hint="eastAsia" w:ascii="Times New Roman" w:hAnsi="Times New Roman" w:eastAsia="仿宋_GB2312" w:cs="Times New Roman"/>
          <w:sz w:val="32"/>
          <w:szCs w:val="32"/>
          <w:highlight w:val="none"/>
          <w:lang w:eastAsia="zh-CN"/>
        </w:rPr>
        <w:t>优化区域床位资源结构。</w:t>
      </w:r>
      <w:r>
        <w:rPr>
          <w:rFonts w:hint="default" w:ascii="Times New Roman" w:hAnsi="Times New Roman" w:eastAsia="仿宋_GB2312" w:cs="Times New Roman"/>
          <w:sz w:val="32"/>
          <w:szCs w:val="32"/>
          <w:highlight w:val="none"/>
        </w:rPr>
        <w:t>以各城区、县区常住人口数量、老龄化程度、慢性病患病率、现有定点机构密度及异地就医需求为核心指标，衔接区域卫生规划要求。床位资源重点向中心城区紧缺专科和基层倾斜，并通过引导县域富余床位向康复、</w:t>
      </w:r>
      <w:r>
        <w:rPr>
          <w:rFonts w:hint="eastAsia" w:ascii="Times New Roman" w:hAnsi="Times New Roman" w:eastAsia="仿宋_GB2312" w:cs="Times New Roman"/>
          <w:sz w:val="32"/>
          <w:szCs w:val="32"/>
          <w:highlight w:val="none"/>
          <w:lang w:val="en-US" w:eastAsia="zh-CN"/>
        </w:rPr>
        <w:t>中医等</w:t>
      </w:r>
      <w:r>
        <w:rPr>
          <w:rFonts w:hint="default" w:ascii="Times New Roman" w:hAnsi="Times New Roman" w:eastAsia="仿宋_GB2312" w:cs="Times New Roman"/>
          <w:sz w:val="32"/>
          <w:szCs w:val="32"/>
          <w:highlight w:val="none"/>
        </w:rPr>
        <w:t>领域转型，盘活闲置资源。</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合理规划门诊类</w:t>
      </w:r>
      <w:r>
        <w:rPr>
          <w:rFonts w:hint="eastAsia" w:ascii="Times New Roman" w:hAnsi="Times New Roman" w:eastAsia="仿宋_GB2312" w:cs="Times New Roman"/>
          <w:b w:val="0"/>
          <w:bCs w:val="0"/>
          <w:sz w:val="32"/>
          <w:szCs w:val="32"/>
          <w:highlight w:val="none"/>
          <w:lang w:val="en-US" w:eastAsia="zh-CN"/>
        </w:rPr>
        <w:t>定点医疗</w:t>
      </w:r>
      <w:r>
        <w:rPr>
          <w:rFonts w:hint="default" w:ascii="Times New Roman" w:hAnsi="Times New Roman" w:eastAsia="仿宋_GB2312" w:cs="Times New Roman"/>
          <w:b w:val="0"/>
          <w:bCs w:val="0"/>
          <w:sz w:val="32"/>
          <w:szCs w:val="32"/>
          <w:highlight w:val="none"/>
          <w:lang w:val="en-US" w:eastAsia="zh-CN"/>
        </w:rPr>
        <w:t>机构与</w:t>
      </w:r>
      <w:r>
        <w:rPr>
          <w:rFonts w:hint="eastAsia" w:ascii="Times New Roman" w:hAnsi="Times New Roman" w:eastAsia="仿宋_GB2312" w:cs="Times New Roman"/>
          <w:b w:val="0"/>
          <w:bCs w:val="0"/>
          <w:sz w:val="32"/>
          <w:szCs w:val="32"/>
          <w:highlight w:val="none"/>
          <w:lang w:val="en-US" w:eastAsia="zh-CN"/>
        </w:rPr>
        <w:t>定点</w:t>
      </w:r>
      <w:r>
        <w:rPr>
          <w:rFonts w:hint="default" w:ascii="Times New Roman" w:hAnsi="Times New Roman" w:eastAsia="仿宋_GB2312" w:cs="Times New Roman"/>
          <w:b w:val="0"/>
          <w:bCs w:val="0"/>
          <w:sz w:val="32"/>
          <w:szCs w:val="32"/>
          <w:highlight w:val="none"/>
          <w:lang w:val="en-US" w:eastAsia="zh-CN"/>
        </w:rPr>
        <w:t>药店</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按照构建</w:t>
      </w:r>
      <w:r>
        <w:rPr>
          <w:rFonts w:hint="default" w:ascii="Times New Roman" w:hAnsi="Times New Roman" w:eastAsia="仿宋_GB2312" w:cs="Times New Roman"/>
          <w:sz w:val="32"/>
          <w:szCs w:val="32"/>
          <w:highlight w:val="none"/>
          <w:lang w:eastAsia="zh-CN"/>
        </w:rPr>
        <w:t>15</w:t>
      </w:r>
      <w:r>
        <w:rPr>
          <w:rFonts w:hint="default" w:ascii="Times New Roman" w:hAnsi="Times New Roman" w:eastAsia="仿宋_GB2312" w:cs="Times New Roman"/>
          <w:b w:val="0"/>
          <w:bCs w:val="0"/>
          <w:sz w:val="32"/>
          <w:szCs w:val="32"/>
          <w:highlight w:val="none"/>
        </w:rPr>
        <w:t>分钟医疗服务圈</w:t>
      </w:r>
      <w:r>
        <w:rPr>
          <w:rFonts w:hint="default" w:ascii="Times New Roman" w:hAnsi="Times New Roman" w:eastAsia="仿宋_GB2312" w:cs="Times New Roman"/>
          <w:color w:val="auto"/>
          <w:kern w:val="2"/>
          <w:sz w:val="32"/>
          <w:szCs w:val="32"/>
          <w:lang w:bidi="ar-SA"/>
        </w:rPr>
        <w:t>（</w:t>
      </w:r>
      <w:r>
        <w:rPr>
          <w:rFonts w:hint="default" w:ascii="Times New Roman" w:hAnsi="Times New Roman" w:eastAsia="仿宋_GB2312" w:cs="Times New Roman"/>
          <w:color w:val="auto"/>
          <w:kern w:val="2"/>
          <w:sz w:val="32"/>
          <w:szCs w:val="32"/>
          <w:lang w:val="en-US" w:eastAsia="zh-CN" w:bidi="ar-SA"/>
        </w:rPr>
        <w:t>服务半径</w:t>
      </w:r>
      <w:r>
        <w:rPr>
          <w:rFonts w:hint="default" w:ascii="Times New Roman" w:hAnsi="Times New Roman" w:eastAsia="仿宋_GB2312" w:cs="Times New Roman"/>
          <w:color w:val="auto"/>
          <w:kern w:val="2"/>
          <w:sz w:val="32"/>
          <w:szCs w:val="32"/>
          <w:lang w:bidi="ar-SA"/>
        </w:rPr>
        <w:t>800米范围内）</w:t>
      </w:r>
      <w:r>
        <w:rPr>
          <w:rFonts w:hint="default" w:ascii="Times New Roman" w:hAnsi="Times New Roman" w:eastAsia="仿宋_GB2312" w:cs="Times New Roman"/>
          <w:b w:val="0"/>
          <w:bCs w:val="0"/>
          <w:sz w:val="32"/>
          <w:szCs w:val="32"/>
          <w:highlight w:val="none"/>
        </w:rPr>
        <w:t>要求，基于合理布局、便利群众原则，综合考虑服务半径、常住人口密度与医保基金承受能力确定规划数量</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依据区域基础购药与门诊需求，落</w:t>
      </w:r>
      <w:r>
        <w:rPr>
          <w:rFonts w:hint="eastAsia" w:ascii="仿宋_GB2312" w:hAnsi="仿宋_GB2312" w:eastAsia="仿宋_GB2312" w:cs="仿宋_GB2312"/>
          <w:b w:val="0"/>
          <w:bCs w:val="0"/>
          <w:sz w:val="32"/>
          <w:szCs w:val="32"/>
          <w:highlight w:val="none"/>
        </w:rPr>
        <w:t>实“总量控制”要</w:t>
      </w:r>
      <w:r>
        <w:rPr>
          <w:rFonts w:hint="default" w:ascii="Times New Roman" w:hAnsi="Times New Roman" w:eastAsia="仿宋_GB2312" w:cs="Times New Roman"/>
          <w:b w:val="0"/>
          <w:bCs w:val="0"/>
          <w:sz w:val="32"/>
          <w:szCs w:val="32"/>
          <w:highlight w:val="none"/>
        </w:rPr>
        <w:t>求，制定年度配置计划。</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建立科学的规划决策与动态管理机制</w:t>
      </w:r>
    </w:p>
    <w:p>
      <w:pPr>
        <w:keepNext w:val="0"/>
        <w:keepLines w:val="0"/>
        <w:pageBreakBefore w:val="0"/>
        <w:widowControl w:val="0"/>
        <w:numPr>
          <w:ilvl w:val="0"/>
          <w:numId w:val="9"/>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构建资源配置分析系统。依托全国统一医保信息平台，在宏观决策子系统内，探索建立柳州市医保资源配置分析系统。归集人口、疾病谱、医保结算、机构运行等数据，实现定点医药机构资源布局、服务量、基金使用等情况的可视化展示与智能分析，为规划制定、调整与监管提供实时数据支撑和决策支持。</w:t>
      </w:r>
    </w:p>
    <w:p>
      <w:pPr>
        <w:keepNext w:val="0"/>
        <w:keepLines w:val="0"/>
        <w:pageBreakBefore w:val="0"/>
        <w:widowControl w:val="0"/>
        <w:numPr>
          <w:ilvl w:val="0"/>
          <w:numId w:val="9"/>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实</w:t>
      </w:r>
      <w:r>
        <w:rPr>
          <w:rFonts w:hint="eastAsia" w:ascii="仿宋_GB2312" w:hAnsi="仿宋_GB2312" w:eastAsia="仿宋_GB2312" w:cs="仿宋_GB2312"/>
          <w:sz w:val="32"/>
          <w:szCs w:val="32"/>
          <w:highlight w:val="none"/>
          <w:lang w:eastAsia="zh-CN"/>
        </w:rPr>
        <w:t>施“触发式”动</w:t>
      </w:r>
      <w:r>
        <w:rPr>
          <w:rFonts w:hint="default" w:ascii="Times New Roman" w:hAnsi="Times New Roman" w:eastAsia="仿宋_GB2312" w:cs="Times New Roman"/>
          <w:sz w:val="32"/>
          <w:szCs w:val="32"/>
          <w:highlight w:val="none"/>
          <w:lang w:eastAsia="zh-CN"/>
        </w:rPr>
        <w:t>态管理。建立以测算值、目标值和现实值为核心的管理触发机制。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当现实值远低于测算值与目标值（即资源短缺区域），以“优化增量”为主，细化申报条件，优先、快速将符合条件的机构纳入定点。</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当现实值远高于测算值与目标值（即资源过剩区域），以</w:t>
      </w:r>
      <w:r>
        <w:rPr>
          <w:rFonts w:hint="eastAsia" w:ascii="仿宋_GB2312" w:hAnsi="仿宋_GB2312" w:eastAsia="仿宋_GB2312" w:cs="仿宋_GB2312"/>
          <w:sz w:val="32"/>
          <w:szCs w:val="32"/>
          <w:highlight w:val="none"/>
          <w:lang w:eastAsia="zh-CN"/>
        </w:rPr>
        <w:t>“优化存量”为主，原则上不再新增，并通过引导富余床位向康复、</w:t>
      </w:r>
      <w:r>
        <w:rPr>
          <w:rFonts w:hint="default" w:ascii="Times New Roman" w:hAnsi="Times New Roman" w:eastAsia="仿宋_GB2312" w:cs="Times New Roman"/>
          <w:sz w:val="32"/>
          <w:szCs w:val="32"/>
          <w:highlight w:val="none"/>
          <w:lang w:eastAsia="zh-CN"/>
        </w:rPr>
        <w:t>护理等领域转型、推动机构差异化发展等方式，提升存量资源效率。</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当现实值介于二者之间，采取综合措施，同步优化增量与存量。</w:t>
      </w:r>
    </w:p>
    <w:p>
      <w:pPr>
        <w:keepNext w:val="0"/>
        <w:keepLines w:val="0"/>
        <w:pageBreakBefore w:val="0"/>
        <w:widowControl w:val="0"/>
        <w:numPr>
          <w:ilvl w:val="0"/>
          <w:numId w:val="9"/>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强化规划协同衔接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在现有工作协同基础上，进一步确保本规划与《柳州市国民经济和社会发展规划》、区域卫生规划、分级诊疗制度建设、养老服务改革、乡村振兴战略等深度衔接，形成政策合力，提升医保资源配置的整体效能。</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加强定点医药机构协议管理</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完善准入管理机制。严把定点医药机构准入关，依据区域资源配置规划与服务需求，明确准入标准与条件，优先纳入符合布局导向、专科补齐及基层服务能力提升要求的机构。提升准入效率与透明度。对资源饱和区域从严控制新增，重点向资源薄弱地区、紧缺专科及基层倾斜，确保新增机构与规划目标、基金承受能力及群众需求相匹配。</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推行服务协议网上签订模式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依托全国统一医保信息平台，开发柳州市定点医药机构线上签约系统，</w:t>
      </w:r>
      <w:r>
        <w:rPr>
          <w:rFonts w:hint="eastAsia" w:ascii="仿宋_GB2312" w:hAnsi="仿宋_GB2312" w:eastAsia="仿宋_GB2312" w:cs="仿宋_GB2312"/>
          <w:sz w:val="32"/>
          <w:szCs w:val="32"/>
          <w:highlight w:val="none"/>
        </w:rPr>
        <w:t>实现协议签订“零跑腿、</w:t>
      </w:r>
      <w:r>
        <w:rPr>
          <w:rFonts w:hint="eastAsia" w:ascii="仿宋_GB2312" w:hAnsi="仿宋_GB2312" w:eastAsia="仿宋_GB2312" w:cs="仿宋_GB2312"/>
          <w:sz w:val="32"/>
          <w:szCs w:val="32"/>
          <w:highlight w:val="none"/>
          <w:lang w:eastAsia="zh-CN"/>
        </w:rPr>
        <w:t>少</w:t>
      </w:r>
      <w:r>
        <w:rPr>
          <w:rFonts w:hint="eastAsia" w:ascii="仿宋_GB2312" w:hAnsi="仿宋_GB2312" w:eastAsia="仿宋_GB2312" w:cs="仿宋_GB2312"/>
          <w:sz w:val="32"/>
          <w:szCs w:val="32"/>
          <w:highlight w:val="none"/>
        </w:rPr>
        <w:t>见面、数字化”。通过系统自动核验机构</w:t>
      </w:r>
      <w:r>
        <w:rPr>
          <w:rFonts w:hint="default" w:ascii="Times New Roman" w:hAnsi="Times New Roman" w:eastAsia="仿宋_GB2312" w:cs="Times New Roman"/>
          <w:sz w:val="32"/>
          <w:szCs w:val="32"/>
          <w:highlight w:val="none"/>
        </w:rPr>
        <w:t>资质、智能匹配协议条款、电子签章加密存档，缩短签约周期，同时建立协议电子台账，实时追溯签约进度与履约情况，提升管理效率与透明度，降低机构办事成本</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协议续签关联区域服务需求匹配度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若续签机构所在区域已出现定点资源过剩，且机构上一协议期内服务量持续下降，需重新评估其服务必要性，必要时缩减协议服务范围或引导机构调整服务方向，确保资源与规划需求匹配。</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推行协议分级管理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根据年度协议考核结果，将定点机构分为A（优秀）、B（合格）、C（待改进）三个等级。A级机构可</w:t>
      </w:r>
      <w:r>
        <w:rPr>
          <w:rFonts w:hint="eastAsia" w:ascii="仿宋_GB2312" w:hAnsi="仿宋_GB2312" w:eastAsia="仿宋_GB2312" w:cs="仿宋_GB2312"/>
          <w:sz w:val="32"/>
          <w:szCs w:val="32"/>
          <w:highlight w:val="none"/>
        </w:rPr>
        <w:t>享受“优先纳入集采药品供应点”“减少检查频次”</w:t>
      </w:r>
      <w:r>
        <w:rPr>
          <w:rFonts w:hint="default" w:ascii="Times New Roman" w:hAnsi="Times New Roman" w:eastAsia="仿宋_GB2312" w:cs="Times New Roman"/>
          <w:sz w:val="32"/>
          <w:szCs w:val="32"/>
          <w:highlight w:val="none"/>
        </w:rPr>
        <w:t>等优惠政策；C级机构需限期</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个月整改，整改不合格的下调等级或启动退出程序，通过分级管理推动机构服务质量提升</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健全违约处理机制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明确各类违约行为的认定标准、处理程序和处罚措施，形成清晰的违约惩戒梯度。对严重违反协议或多次违约的定点医药机构，坚决依法依规终止服务协议，取消定点资格，并向社会公开，形成有力震慑，实</w:t>
      </w:r>
      <w:r>
        <w:rPr>
          <w:rFonts w:hint="eastAsia" w:ascii="仿宋_GB2312" w:hAnsi="仿宋_GB2312" w:eastAsia="仿宋_GB2312" w:cs="仿宋_GB2312"/>
          <w:sz w:val="32"/>
          <w:szCs w:val="32"/>
          <w:highlight w:val="none"/>
        </w:rPr>
        <w:t>现“优者胜、劣者汰”的动态</w:t>
      </w:r>
      <w:r>
        <w:rPr>
          <w:rFonts w:hint="default" w:ascii="Times New Roman" w:hAnsi="Times New Roman" w:eastAsia="仿宋_GB2312" w:cs="Times New Roman"/>
          <w:sz w:val="32"/>
          <w:szCs w:val="32"/>
          <w:highlight w:val="none"/>
        </w:rPr>
        <w:t>调整，保障医保基金安全与医疗服务质量。</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完善退出机制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明确退出情形分类：划分</w:t>
      </w:r>
      <w:r>
        <w:rPr>
          <w:rFonts w:hint="eastAsia" w:ascii="仿宋_GB2312" w:hAnsi="仿宋_GB2312" w:eastAsia="仿宋_GB2312" w:cs="仿宋_GB2312"/>
          <w:sz w:val="32"/>
          <w:szCs w:val="32"/>
          <w:highlight w:val="none"/>
        </w:rPr>
        <w:t>“强制退出”与“自愿退出”两类情形。</w:t>
      </w:r>
      <w:r>
        <w:rPr>
          <w:rFonts w:hint="default" w:ascii="Times New Roman" w:hAnsi="Times New Roman" w:eastAsia="仿宋_GB2312" w:cs="Times New Roman"/>
          <w:sz w:val="32"/>
          <w:szCs w:val="32"/>
          <w:highlight w:val="none"/>
        </w:rPr>
        <w:t>强制退出包括：存在欺诈骗保、连续多次违规违约等性质恶劣的违法违规行为的医药机构，坚决取消医保定点。建</w:t>
      </w:r>
      <w:r>
        <w:rPr>
          <w:rFonts w:hint="eastAsia" w:ascii="仿宋_GB2312" w:hAnsi="仿宋_GB2312" w:eastAsia="仿宋_GB2312" w:cs="仿宋_GB2312"/>
          <w:sz w:val="32"/>
          <w:szCs w:val="32"/>
          <w:highlight w:val="none"/>
        </w:rPr>
        <w:t>立“退出机构黑名单”制度</w:t>
      </w:r>
      <w:r>
        <w:rPr>
          <w:rFonts w:hint="default" w:ascii="Times New Roman" w:hAnsi="Times New Roman" w:eastAsia="仿宋_GB2312" w:cs="Times New Roman"/>
          <w:sz w:val="32"/>
          <w:szCs w:val="32"/>
          <w:highlight w:val="none"/>
        </w:rPr>
        <w:t>，被强制退出的机构及法定代表人，</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年内不得重新申请医保定点资格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自愿退出需由机构提前提交书面申请，经医保部门审核同意后，结清医保费用，注销定点资格。</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长护险服务机构规划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建立长期护理保险制度，推动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医养结合服务与长护险制度的衔接，发挥医养结合、康复、护理等专业医疗资源优势，引导有条件的县（区）级医疗卫生机构，延伸开展医养结合服务</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加快推动基层医疗卫生机构护理型床位建设，加快发展机构护理、居家护理等服务供给，鼓励基层医疗卫生机构提供长期护理服务，探索发挥家庭医生、村医在失能等级评估中的作用。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根据试点城市经验</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在长护险建设初期，居家护理机构每家机构服务约300名重度失能人员，机构护理每家机构服务</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约</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50名重度失能人员。待长护险运行稳定后，可按照基金运行情况、服务资源、服务需求情况动态调整。</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基金使用效率动态监测</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建立医保基金动态监测机制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基金安全稳健运行为核心目标，依托医保大数据构建动态监测体系，对定点机构关键费用指标实施监测并设定预警机制，针对异常情况开展核查与整改督促，将监测结果与协议管理、医保支付联动，保障基金使用安全高效；</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完善医疗服务能力监测体系</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按机构类型与等级，分别聚焦医疗机构服务能力、零售药店药学服务与药品安全开展监测，</w:t>
      </w:r>
      <w:r>
        <w:rPr>
          <w:rFonts w:hint="default"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rPr>
        <w:t>通过培训、预警整改等方式，推动定点机构持续提升服务质量，助力基金使用效率优化。</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强化责任协同，形成推进合力</w:t>
      </w:r>
      <w:r>
        <w:rPr>
          <w:rFonts w:hint="eastAsia"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建</w:t>
      </w:r>
      <w:r>
        <w:rPr>
          <w:rFonts w:hint="eastAsia" w:ascii="仿宋_GB2312" w:hAnsi="仿宋_GB2312" w:eastAsia="仿宋_GB2312" w:cs="仿宋_GB2312"/>
          <w:b w:val="0"/>
          <w:bCs w:val="0"/>
          <w:sz w:val="32"/>
          <w:szCs w:val="32"/>
          <w:highlight w:val="none"/>
        </w:rPr>
        <w:t>立“市</w:t>
      </w:r>
      <w:r>
        <w:rPr>
          <w:rFonts w:hint="eastAsia" w:ascii="仿宋_GB2312" w:hAnsi="仿宋_GB2312" w:eastAsia="仿宋_GB2312" w:cs="仿宋_GB2312"/>
          <w:b w:val="0"/>
          <w:bCs w:val="0"/>
          <w:sz w:val="32"/>
          <w:szCs w:val="32"/>
          <w:highlight w:val="none"/>
          <w:lang w:val="en-US" w:eastAsia="zh-CN"/>
        </w:rPr>
        <w:t>级</w:t>
      </w:r>
      <w:r>
        <w:rPr>
          <w:rFonts w:hint="eastAsia" w:ascii="仿宋_GB2312" w:hAnsi="仿宋_GB2312" w:eastAsia="仿宋_GB2312" w:cs="仿宋_GB2312"/>
          <w:b w:val="0"/>
          <w:bCs w:val="0"/>
          <w:sz w:val="32"/>
          <w:szCs w:val="32"/>
          <w:highlight w:val="none"/>
        </w:rPr>
        <w:t>医保</w:t>
      </w:r>
      <w:r>
        <w:rPr>
          <w:rFonts w:hint="eastAsia" w:ascii="仿宋_GB2312" w:hAnsi="仿宋_GB2312" w:eastAsia="仿宋_GB2312" w:cs="仿宋_GB2312"/>
          <w:b w:val="0"/>
          <w:bCs w:val="0"/>
          <w:sz w:val="32"/>
          <w:szCs w:val="32"/>
          <w:highlight w:val="none"/>
          <w:lang w:val="en-US" w:eastAsia="zh-CN"/>
        </w:rPr>
        <w:t>部门</w:t>
      </w:r>
      <w:r>
        <w:rPr>
          <w:rFonts w:hint="eastAsia" w:ascii="仿宋_GB2312" w:hAnsi="仿宋_GB2312" w:eastAsia="仿宋_GB2312" w:cs="仿宋_GB2312"/>
          <w:b w:val="0"/>
          <w:bCs w:val="0"/>
          <w:sz w:val="32"/>
          <w:szCs w:val="32"/>
          <w:highlight w:val="none"/>
        </w:rPr>
        <w:t>牵头、县区</w:t>
      </w:r>
      <w:r>
        <w:rPr>
          <w:rFonts w:hint="eastAsia" w:ascii="仿宋_GB2312" w:hAnsi="仿宋_GB2312" w:eastAsia="仿宋_GB2312" w:cs="仿宋_GB2312"/>
          <w:b w:val="0"/>
          <w:bCs w:val="0"/>
          <w:sz w:val="32"/>
          <w:szCs w:val="32"/>
          <w:highlight w:val="none"/>
          <w:lang w:val="en-US" w:eastAsia="zh-CN"/>
        </w:rPr>
        <w:t>级</w:t>
      </w:r>
      <w:r>
        <w:rPr>
          <w:rFonts w:hint="eastAsia" w:ascii="仿宋_GB2312" w:hAnsi="仿宋_GB2312" w:eastAsia="仿宋_GB2312" w:cs="仿宋_GB2312"/>
          <w:b w:val="0"/>
          <w:bCs w:val="0"/>
          <w:sz w:val="32"/>
          <w:szCs w:val="32"/>
          <w:highlight w:val="none"/>
        </w:rPr>
        <w:t>医保部门落实、多部门联动”工</w:t>
      </w:r>
      <w:r>
        <w:rPr>
          <w:rFonts w:hint="default" w:ascii="Times New Roman" w:hAnsi="Times New Roman" w:eastAsia="仿宋_GB2312" w:cs="Times New Roman"/>
          <w:b w:val="0"/>
          <w:bCs w:val="0"/>
          <w:sz w:val="32"/>
          <w:szCs w:val="32"/>
          <w:highlight w:val="none"/>
        </w:rPr>
        <w:t>作机制，市</w:t>
      </w:r>
      <w:r>
        <w:rPr>
          <w:rFonts w:hint="default" w:ascii="Times New Roman" w:hAnsi="Times New Roman" w:eastAsia="仿宋_GB2312" w:cs="Times New Roman"/>
          <w:b w:val="0"/>
          <w:bCs w:val="0"/>
          <w:sz w:val="32"/>
          <w:szCs w:val="32"/>
          <w:highlight w:val="none"/>
          <w:lang w:val="en-US" w:eastAsia="zh-CN"/>
        </w:rPr>
        <w:t>级</w:t>
      </w:r>
      <w:r>
        <w:rPr>
          <w:rFonts w:hint="default" w:ascii="Times New Roman" w:hAnsi="Times New Roman" w:eastAsia="仿宋_GB2312" w:cs="Times New Roman"/>
          <w:b w:val="0"/>
          <w:bCs w:val="0"/>
          <w:sz w:val="32"/>
          <w:szCs w:val="32"/>
          <w:highlight w:val="none"/>
        </w:rPr>
        <w:t>医保</w:t>
      </w:r>
      <w:r>
        <w:rPr>
          <w:rFonts w:hint="default" w:ascii="Times New Roman" w:hAnsi="Times New Roman" w:eastAsia="仿宋_GB2312" w:cs="Times New Roman"/>
          <w:b w:val="0"/>
          <w:bCs w:val="0"/>
          <w:sz w:val="32"/>
          <w:szCs w:val="32"/>
          <w:highlight w:val="none"/>
          <w:lang w:val="en-US" w:eastAsia="zh-CN"/>
        </w:rPr>
        <w:t>部门</w:t>
      </w:r>
      <w:r>
        <w:rPr>
          <w:rFonts w:hint="default" w:ascii="Times New Roman" w:hAnsi="Times New Roman" w:eastAsia="仿宋_GB2312" w:cs="Times New Roman"/>
          <w:b w:val="0"/>
          <w:bCs w:val="0"/>
          <w:sz w:val="32"/>
          <w:szCs w:val="32"/>
          <w:highlight w:val="none"/>
        </w:rPr>
        <w:t>负责统筹规划制定、指标下达与整体督导；县区</w:t>
      </w:r>
      <w:r>
        <w:rPr>
          <w:rFonts w:hint="default" w:ascii="Times New Roman" w:hAnsi="Times New Roman" w:eastAsia="仿宋_GB2312" w:cs="Times New Roman"/>
          <w:b w:val="0"/>
          <w:bCs w:val="0"/>
          <w:sz w:val="32"/>
          <w:szCs w:val="32"/>
          <w:highlight w:val="none"/>
          <w:lang w:val="en-US" w:eastAsia="zh-CN"/>
        </w:rPr>
        <w:t>级</w:t>
      </w:r>
      <w:r>
        <w:rPr>
          <w:rFonts w:hint="default" w:ascii="Times New Roman" w:hAnsi="Times New Roman" w:eastAsia="仿宋_GB2312" w:cs="Times New Roman"/>
          <w:b w:val="0"/>
          <w:bCs w:val="0"/>
          <w:sz w:val="32"/>
          <w:szCs w:val="32"/>
          <w:highlight w:val="none"/>
        </w:rPr>
        <w:t>医保部门结合辖区实际细化实施方案，确保规划任务落地；加强与卫生健康、市场监管、财政等部门沟通协作，协同解决资源配置、机构监管、基金保障等跨部门问题，避免</w:t>
      </w:r>
      <w:r>
        <w:rPr>
          <w:rFonts w:hint="default" w:ascii="Times New Roman" w:hAnsi="Times New Roman" w:eastAsia="仿宋_GB2312" w:cs="Times New Roman"/>
          <w:sz w:val="32"/>
          <w:szCs w:val="32"/>
          <w:highlight w:val="none"/>
        </w:rPr>
        <w:t>政策壁垒。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rPr>
        <w:t>明确定点医药机构主体责任，要求机构严格对照规划要求规范运营，主动配合资源布局调整与协议管理，将规划目标融入日常服务，确保服务质量</w:t>
      </w:r>
      <w:r>
        <w:rPr>
          <w:rFonts w:hint="default" w:ascii="Times New Roman" w:hAnsi="Times New Roman" w:eastAsia="仿宋_GB2312" w:cs="Times New Roman"/>
          <w:b w:val="0"/>
          <w:bCs w:val="0"/>
          <w:sz w:val="32"/>
          <w:szCs w:val="32"/>
          <w:highlight w:val="none"/>
        </w:rPr>
        <w:t>与医保政策、卫生健康发展要求深度契合。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（二）严格执行标准，确保</w:t>
      </w:r>
      <w:r>
        <w:rPr>
          <w:rFonts w:hint="eastAsia" w:ascii="楷体_GB2312" w:hAnsi="楷体_GB2312" w:eastAsia="楷体_GB2312" w:cs="楷体_GB2312"/>
          <w:b w:val="0"/>
          <w:bCs w:val="0"/>
          <w:sz w:val="32"/>
          <w:szCs w:val="32"/>
          <w:highlight w:val="none"/>
          <w:lang w:val="en-US" w:eastAsia="zh-CN"/>
        </w:rPr>
        <w:t>落实</w:t>
      </w:r>
      <w:r>
        <w:rPr>
          <w:rFonts w:hint="eastAsia" w:ascii="楷体_GB2312" w:hAnsi="楷体_GB2312" w:eastAsia="楷体_GB2312" w:cs="楷体_GB2312"/>
          <w:b w:val="0"/>
          <w:bCs w:val="0"/>
          <w:sz w:val="32"/>
          <w:szCs w:val="32"/>
          <w:highlight w:val="none"/>
        </w:rPr>
        <w:t>规划</w:t>
      </w:r>
      <w:r>
        <w:rPr>
          <w:rFonts w:hint="eastAsia"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严格依据本规划确定的资源配置指标开展准入与调整工作，未</w:t>
      </w:r>
      <w:r>
        <w:rPr>
          <w:rFonts w:hint="eastAsia" w:ascii="Times New Roman" w:hAnsi="Times New Roman" w:eastAsia="仿宋_GB2312" w:cs="Times New Roman"/>
          <w:b w:val="0"/>
          <w:bCs w:val="0"/>
          <w:sz w:val="32"/>
          <w:szCs w:val="32"/>
          <w:highlight w:val="none"/>
          <w:lang w:eastAsia="zh-CN"/>
        </w:rPr>
        <w:t>达到</w:t>
      </w:r>
      <w:r>
        <w:rPr>
          <w:rFonts w:hint="default" w:ascii="Times New Roman" w:hAnsi="Times New Roman" w:eastAsia="仿宋_GB2312" w:cs="Times New Roman"/>
          <w:sz w:val="32"/>
          <w:szCs w:val="32"/>
          <w:highlight w:val="none"/>
        </w:rPr>
        <w:t>规划要求的区域不得超量新增机构，资源过剩区域需按动态优化要求逐步整合，确保</w:t>
      </w:r>
      <w:r>
        <w:rPr>
          <w:rFonts w:hint="eastAsia" w:ascii="仿宋_GB2312" w:hAnsi="仿宋_GB2312" w:eastAsia="仿宋_GB2312" w:cs="仿宋_GB2312"/>
          <w:sz w:val="32"/>
          <w:szCs w:val="32"/>
          <w:highlight w:val="none"/>
        </w:rPr>
        <w:t>“总量可控、布局合理”。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）强化宣传引导，营造良好氛围</w:t>
      </w:r>
      <w:r>
        <w:rPr>
          <w:rFonts w:hint="eastAsia" w:ascii="楷体_GB2312" w:hAnsi="楷体_GB2312" w:eastAsia="楷体_GB2312" w:cs="楷体_GB2312"/>
          <w:sz w:val="32"/>
          <w:szCs w:val="32"/>
          <w:highlight w:val="none"/>
          <w:lang w:eastAsia="zh-CN"/>
        </w:rPr>
        <w:t>。</w:t>
      </w:r>
      <w:r>
        <w:rPr>
          <w:rFonts w:hint="default" w:ascii="Times New Roman" w:hAnsi="Times New Roman" w:eastAsia="仿宋_GB2312" w:cs="Times New Roman"/>
          <w:sz w:val="32"/>
          <w:szCs w:val="32"/>
          <w:highlight w:val="none"/>
        </w:rPr>
        <w:t>通过柳州市医保局官网</w:t>
      </w:r>
      <w:r>
        <w:rPr>
          <w:rFonts w:hint="eastAsia" w:ascii="仿宋_GB2312" w:hAnsi="仿宋_GB2312" w:eastAsia="仿宋_GB2312" w:cs="仿宋_GB2312"/>
          <w:sz w:val="32"/>
          <w:szCs w:val="32"/>
          <w:highlight w:val="none"/>
        </w:rPr>
        <w:t>、“柳州医保”公众号等平</w:t>
      </w:r>
      <w:r>
        <w:rPr>
          <w:rFonts w:hint="default" w:ascii="Times New Roman" w:hAnsi="Times New Roman" w:eastAsia="仿宋_GB2312" w:cs="Times New Roman"/>
          <w:sz w:val="32"/>
          <w:szCs w:val="32"/>
          <w:highlight w:val="none"/>
        </w:rPr>
        <w:t>台，公开规划内容、实施进展与调整动态，解读资源配置政策，让参保群众与定点机构清晰了解规划导向，提升政策知晓度。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四</w:t>
      </w:r>
      <w:r>
        <w:rPr>
          <w:rFonts w:hint="default" w:ascii="楷体_GB2312" w:hAnsi="楷体_GB2312" w:eastAsia="楷体_GB2312" w:cs="楷体_GB2312"/>
          <w:sz w:val="32"/>
          <w:szCs w:val="32"/>
          <w:highlight w:val="none"/>
        </w:rPr>
        <w:t>）夯实能力保障，提升管理效能</w:t>
      </w:r>
      <w:r>
        <w:rPr>
          <w:rFonts w:hint="default" w:ascii="楷体_GB2312" w:hAnsi="楷体_GB2312" w:eastAsia="楷体_GB2312" w:cs="楷体_GB2312"/>
          <w:sz w:val="32"/>
          <w:szCs w:val="32"/>
          <w:highlight w:val="none"/>
          <w:lang w:eastAsia="zh-CN"/>
        </w:rPr>
        <w:t>。</w:t>
      </w:r>
      <w:r>
        <w:rPr>
          <w:rFonts w:hint="default" w:ascii="Times New Roman" w:hAnsi="Times New Roman" w:eastAsia="仿宋_GB2312" w:cs="Times New Roman"/>
          <w:sz w:val="32"/>
          <w:szCs w:val="32"/>
          <w:highlight w:val="none"/>
        </w:rPr>
        <w:t>加强医保经办队伍建</w:t>
      </w:r>
      <w:r>
        <w:rPr>
          <w:rFonts w:hint="eastAsia" w:ascii="仿宋_GB2312" w:hAnsi="仿宋_GB2312" w:eastAsia="仿宋_GB2312" w:cs="仿宋_GB2312"/>
          <w:sz w:val="32"/>
          <w:szCs w:val="32"/>
          <w:highlight w:val="none"/>
        </w:rPr>
        <w:t>设，通过专题培训、业务交流等方式，提升工作人员在资源配置测算、协议分级管理、基金动态监测等方面的专业能力，确保规划执行与管理服务精准高效。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本规划自</w:t>
      </w:r>
      <w:r>
        <w:rPr>
          <w:rFonts w:hint="eastAsia" w:ascii="Times New Roman" w:hAnsi="Times New Roman" w:eastAsia="仿宋_GB2312" w:cs="Times New Roman"/>
          <w:sz w:val="32"/>
          <w:szCs w:val="32"/>
          <w:highlight w:val="none"/>
          <w:lang w:val="en-US" w:eastAsia="zh-CN"/>
        </w:rPr>
        <w:t>2026</w:t>
      </w:r>
      <w:r>
        <w:rPr>
          <w:rFonts w:hint="eastAsia" w:ascii="仿宋_GB2312" w:hAnsi="仿宋_GB2312" w:eastAsia="仿宋_GB2312" w:cs="仿宋_GB2312"/>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日起正式施行。规划实施期间，若国家、自治区出台关于医保定点医药机构资源配置的新政策，从其规定；市医保部门可结合我市经济社会发展实际态势，以及医疗保障事业高质量发展的工作部署与现实需求，对本规划内容进行适时评估与动态调整，确保规划科学性、适用性与可持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r>
        <w:rPr>
          <w:rFonts w:hint="eastAsia" w:ascii="仿宋_GB2312" w:hAnsi="仿宋_GB2312" w:eastAsia="仿宋_GB2312" w:cs="仿宋_GB2312"/>
          <w:sz w:val="32"/>
          <w:szCs w:val="32"/>
          <w:highlight w:val="none"/>
        </w:rPr>
        <w:t>柳州市医保定点医疗机构床位配置规划</w:t>
      </w:r>
      <w:r>
        <w:rPr>
          <w:rFonts w:hint="eastAsia" w:ascii="仿宋_GB2312" w:hAnsi="仿宋_GB2312" w:eastAsia="仿宋_GB2312" w:cs="仿宋_GB2312"/>
          <w:sz w:val="32"/>
          <w:szCs w:val="32"/>
          <w:highlight w:val="none"/>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textAlignment w:val="auto"/>
        <w:rPr>
          <w:rFonts w:hint="default" w:ascii="仿宋_GB2312" w:hAnsi="仿宋_GB2312" w:eastAsia="仿宋_GB2312" w:cs="仿宋_GB2312"/>
          <w:spacing w:val="-20"/>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pacing w:val="-20"/>
          <w:sz w:val="32"/>
          <w:szCs w:val="32"/>
          <w:highlight w:val="none"/>
          <w:lang w:val="en-US" w:eastAsia="zh-CN"/>
        </w:rPr>
        <w:t>柳州市医保定点医疗机构床位分级配置结构规划表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3.柳州市医保定点零售药店配置规划表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柳州市医疗保障局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2025年11月24</w:t>
      </w:r>
      <w:bookmarkStart w:id="6" w:name="_GoBack"/>
      <w:bookmarkEnd w:id="6"/>
      <w:r>
        <w:rPr>
          <w:rFonts w:hint="eastAsia" w:ascii="仿宋_GB2312" w:hAnsi="仿宋_GB2312" w:eastAsia="仿宋_GB2312" w:cs="仿宋_GB2312"/>
          <w:sz w:val="32"/>
          <w:szCs w:val="32"/>
          <w:highlight w:val="none"/>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sectPr>
          <w:footerReference r:id="rId3" w:type="default"/>
          <w:pgSz w:w="11905" w:h="16840"/>
          <w:pgMar w:top="2098" w:right="1474" w:bottom="1984" w:left="1587" w:header="720" w:footer="720"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柳州市医保定点医疗机构床位配置规划表</w:t>
      </w:r>
    </w:p>
    <w:tbl>
      <w:tblPr>
        <w:tblStyle w:val="4"/>
        <w:tblW w:w="1296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07"/>
        <w:gridCol w:w="2832"/>
        <w:gridCol w:w="1282"/>
        <w:gridCol w:w="1282"/>
        <w:gridCol w:w="1282"/>
        <w:gridCol w:w="1282"/>
        <w:gridCol w:w="1282"/>
        <w:gridCol w:w="1297"/>
        <w:gridCol w:w="152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90" w:hRule="atLeast"/>
          <w:jc w:val="center"/>
        </w:trPr>
        <w:tc>
          <w:tcPr>
            <w:tcW w:w="9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8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区县</w:t>
            </w:r>
          </w:p>
        </w:tc>
        <w:tc>
          <w:tcPr>
            <w:tcW w:w="7707"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w:t>
            </w:r>
          </w:p>
        </w:tc>
        <w:tc>
          <w:tcPr>
            <w:tcW w:w="15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2026—2030年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jc w:val="center"/>
        </w:trPr>
        <w:tc>
          <w:tcPr>
            <w:tcW w:w="907"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832"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28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常住人口（万人）</w:t>
            </w:r>
          </w:p>
        </w:tc>
        <w:tc>
          <w:tcPr>
            <w:tcW w:w="128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实际开放床位数（张）</w:t>
            </w:r>
          </w:p>
        </w:tc>
        <w:tc>
          <w:tcPr>
            <w:tcW w:w="128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定点医疗机构总数（家）</w:t>
            </w:r>
          </w:p>
        </w:tc>
        <w:tc>
          <w:tcPr>
            <w:tcW w:w="128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张/千人</w:t>
            </w:r>
          </w:p>
        </w:tc>
        <w:tc>
          <w:tcPr>
            <w:tcW w:w="128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家/万人</w:t>
            </w:r>
          </w:p>
        </w:tc>
        <w:tc>
          <w:tcPr>
            <w:tcW w:w="129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需求开放床位数（张）</w:t>
            </w:r>
          </w:p>
        </w:tc>
        <w:tc>
          <w:tcPr>
            <w:tcW w:w="152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规划新增（调减）床位总数（张）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20" w:hRule="atLeast"/>
          <w:jc w:val="center"/>
        </w:trPr>
        <w:tc>
          <w:tcPr>
            <w:tcW w:w="907"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832"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282"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282"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282"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282"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282"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297"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523" w:type="dxa"/>
            <w:vMerge w:val="continue"/>
            <w:tcBorders>
              <w:tl2br w:val="nil"/>
              <w:tr2bl w:val="nil"/>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80" w:hRule="exact"/>
          <w:jc w:val="center"/>
        </w:trPr>
        <w:tc>
          <w:tcPr>
            <w:tcW w:w="37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柳州市</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414.6</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33292</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459</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8.03</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34094</w:t>
            </w:r>
          </w:p>
        </w:tc>
        <w:tc>
          <w:tcPr>
            <w:tcW w:w="152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9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柳州市区</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201.57</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18303</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316</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23208</w:t>
            </w:r>
          </w:p>
        </w:tc>
        <w:tc>
          <w:tcPr>
            <w:tcW w:w="1523"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80" w:hRule="exact"/>
          <w:jc w:val="center"/>
        </w:trPr>
        <w:tc>
          <w:tcPr>
            <w:tcW w:w="9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柳江区</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50.21</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2599</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5.18</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3296</w:t>
            </w:r>
          </w:p>
        </w:tc>
        <w:tc>
          <w:tcPr>
            <w:tcW w:w="1523"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9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柳城县</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31.24</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2357</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7.54</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1195</w:t>
            </w:r>
          </w:p>
        </w:tc>
        <w:tc>
          <w:tcPr>
            <w:tcW w:w="1523"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9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鹿寨县</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33.55</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3079</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9.18</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2009</w:t>
            </w:r>
          </w:p>
        </w:tc>
        <w:tc>
          <w:tcPr>
            <w:tcW w:w="1523"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80" w:hRule="exact"/>
          <w:jc w:val="center"/>
        </w:trPr>
        <w:tc>
          <w:tcPr>
            <w:tcW w:w="9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融安县</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25.12</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2259</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8.99</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1616</w:t>
            </w:r>
          </w:p>
        </w:tc>
        <w:tc>
          <w:tcPr>
            <w:tcW w:w="1523"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9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融水苗族自治县</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41.13</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2765</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6.72</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1590</w:t>
            </w:r>
          </w:p>
        </w:tc>
        <w:tc>
          <w:tcPr>
            <w:tcW w:w="1523"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9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三江侗族自治县</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31.78</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1930</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6.07</w:t>
            </w:r>
          </w:p>
        </w:tc>
        <w:tc>
          <w:tcPr>
            <w:tcW w:w="12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w:t>
            </w:r>
          </w:p>
        </w:tc>
        <w:tc>
          <w:tcPr>
            <w:tcW w:w="129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1180</w:t>
            </w:r>
          </w:p>
        </w:tc>
        <w:tc>
          <w:tcPr>
            <w:tcW w:w="1523"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柳州市医保定点医疗机构床位分级配置结构规划表</w:t>
      </w:r>
    </w:p>
    <w:tbl>
      <w:tblPr>
        <w:tblStyle w:val="4"/>
        <w:tblW w:w="129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857"/>
        <w:gridCol w:w="1857"/>
        <w:gridCol w:w="2786"/>
        <w:gridCol w:w="2786"/>
        <w:gridCol w:w="2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jc w:val="center"/>
        </w:trPr>
        <w:tc>
          <w:tcPr>
            <w:tcW w:w="89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185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医疗机构级别</w:t>
            </w:r>
          </w:p>
        </w:tc>
        <w:tc>
          <w:tcPr>
            <w:tcW w:w="185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机构家数</w:t>
            </w:r>
          </w:p>
        </w:tc>
        <w:tc>
          <w:tcPr>
            <w:tcW w:w="278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核定床位数</w:t>
            </w:r>
            <w:r>
              <w:rPr>
                <w:rFonts w:hint="eastAsia" w:ascii="黑体" w:hAnsi="黑体" w:eastAsia="黑体" w:cs="黑体"/>
                <w:b w:val="0"/>
                <w:bCs w:val="0"/>
                <w:i w:val="0"/>
                <w:iCs w:val="0"/>
                <w:color w:val="000000"/>
                <w:kern w:val="0"/>
                <w:sz w:val="22"/>
                <w:szCs w:val="22"/>
                <w:u w:val="none"/>
                <w:lang w:val="en-US" w:eastAsia="zh-CN" w:bidi="ar"/>
              </w:rPr>
              <w:br w:type="textWrapping"/>
            </w:r>
            <w:r>
              <w:rPr>
                <w:rFonts w:hint="eastAsia" w:ascii="黑体" w:hAnsi="黑体" w:eastAsia="黑体" w:cs="黑体"/>
                <w:b w:val="0"/>
                <w:bCs w:val="0"/>
                <w:i w:val="0"/>
                <w:iCs w:val="0"/>
                <w:color w:val="000000"/>
                <w:kern w:val="0"/>
                <w:sz w:val="22"/>
                <w:szCs w:val="22"/>
                <w:u w:val="none"/>
                <w:lang w:val="en-US" w:eastAsia="zh-CN" w:bidi="ar"/>
              </w:rPr>
              <w:t>（三、二、一级医院）</w:t>
            </w:r>
          </w:p>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目前分级配置比例是：</w:t>
            </w:r>
            <w:r>
              <w:rPr>
                <w:rFonts w:hint="eastAsia" w:ascii="黑体" w:hAnsi="黑体" w:eastAsia="黑体" w:cs="黑体"/>
                <w:b w:val="0"/>
                <w:bCs w:val="0"/>
                <w:i w:val="0"/>
                <w:iCs w:val="0"/>
                <w:color w:val="000000"/>
                <w:kern w:val="0"/>
                <w:sz w:val="22"/>
                <w:szCs w:val="22"/>
                <w:u w:val="none"/>
                <w:lang w:val="en-US" w:eastAsia="zh-CN" w:bidi="ar"/>
              </w:rPr>
              <w:br w:type="textWrapping"/>
            </w:r>
            <w:r>
              <w:rPr>
                <w:rStyle w:val="8"/>
                <w:rFonts w:hint="eastAsia" w:ascii="黑体" w:hAnsi="黑体" w:eastAsia="黑体" w:cs="黑体"/>
                <w:b w:val="0"/>
                <w:bCs w:val="0"/>
                <w:sz w:val="22"/>
                <w:szCs w:val="22"/>
                <w:lang w:val="en-US" w:eastAsia="zh-CN" w:bidi="ar"/>
              </w:rPr>
              <w:t>4.6:3.1:2.3</w:t>
            </w:r>
          </w:p>
        </w:tc>
        <w:tc>
          <w:tcPr>
            <w:tcW w:w="278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开放床位数</w:t>
            </w:r>
            <w:r>
              <w:rPr>
                <w:rFonts w:hint="eastAsia" w:ascii="黑体" w:hAnsi="黑体" w:eastAsia="黑体" w:cs="黑体"/>
                <w:b w:val="0"/>
                <w:bCs w:val="0"/>
                <w:i w:val="0"/>
                <w:iCs w:val="0"/>
                <w:color w:val="000000"/>
                <w:kern w:val="0"/>
                <w:sz w:val="22"/>
                <w:szCs w:val="22"/>
                <w:u w:val="none"/>
                <w:lang w:val="en-US" w:eastAsia="zh-CN" w:bidi="ar"/>
              </w:rPr>
              <w:br w:type="textWrapping"/>
            </w:r>
            <w:r>
              <w:rPr>
                <w:rFonts w:hint="eastAsia" w:ascii="黑体" w:hAnsi="黑体" w:eastAsia="黑体" w:cs="黑体"/>
                <w:b w:val="0"/>
                <w:bCs w:val="0"/>
                <w:i w:val="0"/>
                <w:iCs w:val="0"/>
                <w:color w:val="000000"/>
                <w:kern w:val="0"/>
                <w:sz w:val="22"/>
                <w:szCs w:val="22"/>
                <w:u w:val="none"/>
                <w:lang w:val="en-US" w:eastAsia="zh-CN" w:bidi="ar"/>
              </w:rPr>
              <w:t>（三、二、一级医院）</w:t>
            </w:r>
          </w:p>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目前分级配置比例是：</w:t>
            </w:r>
          </w:p>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4.3:3:2.7</w:t>
            </w:r>
          </w:p>
        </w:tc>
        <w:tc>
          <w:tcPr>
            <w:tcW w:w="278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按国家建议城市建成区300万—500万人口规模</w:t>
            </w:r>
          </w:p>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调整分级配置比例：5:3:2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jc w:val="center"/>
        </w:trPr>
        <w:tc>
          <w:tcPr>
            <w:tcW w:w="89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13247</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14248</w:t>
            </w:r>
          </w:p>
        </w:tc>
        <w:tc>
          <w:tcPr>
            <w:tcW w:w="278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jc w:val="center"/>
        </w:trPr>
        <w:tc>
          <w:tcPr>
            <w:tcW w:w="89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8806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9990</w:t>
            </w:r>
          </w:p>
        </w:tc>
        <w:tc>
          <w:tcPr>
            <w:tcW w:w="278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jc w:val="center"/>
        </w:trPr>
        <w:tc>
          <w:tcPr>
            <w:tcW w:w="89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一级及以下</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408</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6700</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9054</w:t>
            </w:r>
          </w:p>
        </w:tc>
        <w:tc>
          <w:tcPr>
            <w:tcW w:w="278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jc w:val="center"/>
        </w:trPr>
        <w:tc>
          <w:tcPr>
            <w:tcW w:w="898"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85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5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459</w:t>
            </w:r>
          </w:p>
        </w:tc>
        <w:tc>
          <w:tcPr>
            <w:tcW w:w="278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28753</w:t>
            </w:r>
          </w:p>
        </w:tc>
        <w:tc>
          <w:tcPr>
            <w:tcW w:w="278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33292</w:t>
            </w:r>
          </w:p>
        </w:tc>
        <w:tc>
          <w:tcPr>
            <w:tcW w:w="2787"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34094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柳州市医保定点零售药店配置规划表</w:t>
      </w:r>
    </w:p>
    <w:tbl>
      <w:tblPr>
        <w:tblStyle w:val="4"/>
        <w:tblW w:w="129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2120"/>
        <w:gridCol w:w="2177"/>
        <w:gridCol w:w="2382"/>
        <w:gridCol w:w="2086"/>
        <w:gridCol w:w="3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jc w:val="center"/>
        </w:trPr>
        <w:tc>
          <w:tcPr>
            <w:tcW w:w="90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1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区县</w:t>
            </w:r>
          </w:p>
        </w:tc>
        <w:tc>
          <w:tcPr>
            <w:tcW w:w="217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常住人口（万人）</w:t>
            </w:r>
          </w:p>
        </w:tc>
        <w:tc>
          <w:tcPr>
            <w:tcW w:w="238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定点零售药店总数（家）</w:t>
            </w:r>
          </w:p>
        </w:tc>
        <w:tc>
          <w:tcPr>
            <w:tcW w:w="208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2026—2030年</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规划药店总数（家）</w:t>
            </w:r>
          </w:p>
        </w:tc>
        <w:tc>
          <w:tcPr>
            <w:tcW w:w="3296"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2026—2030年</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规划新增（调减）药店总数（家）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90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1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17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38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08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3296"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302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柳州市</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414.6</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1033</w:t>
            </w:r>
          </w:p>
        </w:tc>
        <w:tc>
          <w:tcPr>
            <w:tcW w:w="329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柳州市区</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201.57</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537</w:t>
            </w:r>
          </w:p>
        </w:tc>
        <w:tc>
          <w:tcPr>
            <w:tcW w:w="329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柳江区</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50.21</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29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柳城县</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31.24</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329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鹿寨县</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33.55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329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融安县</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25.12</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329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融水苗族自治县</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41.13</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29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三江侗族自治县</w:t>
            </w:r>
          </w:p>
        </w:tc>
        <w:tc>
          <w:tcPr>
            <w:tcW w:w="217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31.78</w:t>
            </w:r>
          </w:p>
        </w:tc>
        <w:tc>
          <w:tcPr>
            <w:tcW w:w="238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208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3296"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sectPr>
      <w:pgSz w:w="16840" w:h="11905" w:orient="landscape"/>
      <w:pgMar w:top="1587" w:right="2098" w:bottom="1474" w:left="1984"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438AA"/>
    <w:multiLevelType w:val="singleLevel"/>
    <w:tmpl w:val="827438AA"/>
    <w:lvl w:ilvl="0" w:tentative="0">
      <w:start w:val="1"/>
      <w:numFmt w:val="decimal"/>
      <w:suff w:val="nothing"/>
      <w:lvlText w:val="%1．"/>
      <w:lvlJc w:val="left"/>
      <w:pPr>
        <w:ind w:left="0" w:firstLine="400"/>
      </w:pPr>
      <w:rPr>
        <w:rFonts w:hint="default"/>
      </w:rPr>
    </w:lvl>
  </w:abstractNum>
  <w:abstractNum w:abstractNumId="1">
    <w:nsid w:val="84D23640"/>
    <w:multiLevelType w:val="singleLevel"/>
    <w:tmpl w:val="84D23640"/>
    <w:lvl w:ilvl="0" w:tentative="0">
      <w:start w:val="1"/>
      <w:numFmt w:val="decimal"/>
      <w:suff w:val="nothing"/>
      <w:lvlText w:val="%1．"/>
      <w:lvlJc w:val="left"/>
      <w:pPr>
        <w:ind w:left="0" w:firstLine="400"/>
      </w:pPr>
      <w:rPr>
        <w:rFonts w:hint="default"/>
      </w:rPr>
    </w:lvl>
  </w:abstractNum>
  <w:abstractNum w:abstractNumId="2">
    <w:nsid w:val="A1471D7C"/>
    <w:multiLevelType w:val="singleLevel"/>
    <w:tmpl w:val="A1471D7C"/>
    <w:lvl w:ilvl="0" w:tentative="0">
      <w:start w:val="1"/>
      <w:numFmt w:val="chineseCounting"/>
      <w:suff w:val="nothing"/>
      <w:lvlText w:val="（%1）"/>
      <w:lvlJc w:val="left"/>
      <w:pPr>
        <w:ind w:left="0" w:firstLine="420"/>
      </w:pPr>
      <w:rPr>
        <w:rFonts w:hint="eastAsia"/>
      </w:rPr>
    </w:lvl>
  </w:abstractNum>
  <w:abstractNum w:abstractNumId="3">
    <w:nsid w:val="A321A5C8"/>
    <w:multiLevelType w:val="singleLevel"/>
    <w:tmpl w:val="A321A5C8"/>
    <w:lvl w:ilvl="0" w:tentative="0">
      <w:start w:val="1"/>
      <w:numFmt w:val="decimal"/>
      <w:suff w:val="nothing"/>
      <w:lvlText w:val="%1．"/>
      <w:lvlJc w:val="left"/>
      <w:pPr>
        <w:ind w:left="0" w:firstLine="400"/>
      </w:pPr>
      <w:rPr>
        <w:rFonts w:hint="default"/>
      </w:rPr>
    </w:lvl>
  </w:abstractNum>
  <w:abstractNum w:abstractNumId="4">
    <w:nsid w:val="CE95EE0B"/>
    <w:multiLevelType w:val="singleLevel"/>
    <w:tmpl w:val="CE95EE0B"/>
    <w:lvl w:ilvl="0" w:tentative="0">
      <w:start w:val="1"/>
      <w:numFmt w:val="decimal"/>
      <w:suff w:val="nothing"/>
      <w:lvlText w:val="%1．"/>
      <w:lvlJc w:val="left"/>
      <w:pPr>
        <w:ind w:left="0" w:firstLine="400"/>
      </w:pPr>
      <w:rPr>
        <w:rFonts w:hint="default"/>
      </w:rPr>
    </w:lvl>
  </w:abstractNum>
  <w:abstractNum w:abstractNumId="5">
    <w:nsid w:val="E3BB7E84"/>
    <w:multiLevelType w:val="singleLevel"/>
    <w:tmpl w:val="E3BB7E84"/>
    <w:lvl w:ilvl="0" w:tentative="0">
      <w:start w:val="1"/>
      <w:numFmt w:val="decimal"/>
      <w:suff w:val="nothing"/>
      <w:lvlText w:val="%1．"/>
      <w:lvlJc w:val="left"/>
      <w:pPr>
        <w:ind w:left="0" w:firstLine="400"/>
      </w:pPr>
      <w:rPr>
        <w:rFonts w:hint="default"/>
      </w:rPr>
    </w:lvl>
  </w:abstractNum>
  <w:abstractNum w:abstractNumId="6">
    <w:nsid w:val="E9E60FE3"/>
    <w:multiLevelType w:val="singleLevel"/>
    <w:tmpl w:val="E9E60FE3"/>
    <w:lvl w:ilvl="0" w:tentative="0">
      <w:start w:val="1"/>
      <w:numFmt w:val="decimal"/>
      <w:suff w:val="nothing"/>
      <w:lvlText w:val="%1．"/>
      <w:lvlJc w:val="left"/>
      <w:pPr>
        <w:ind w:left="0" w:firstLine="400"/>
      </w:pPr>
      <w:rPr>
        <w:rFonts w:hint="default"/>
      </w:rPr>
    </w:lvl>
  </w:abstractNum>
  <w:abstractNum w:abstractNumId="7">
    <w:nsid w:val="EA2975EF"/>
    <w:multiLevelType w:val="singleLevel"/>
    <w:tmpl w:val="EA2975EF"/>
    <w:lvl w:ilvl="0" w:tentative="0">
      <w:start w:val="1"/>
      <w:numFmt w:val="decimal"/>
      <w:suff w:val="nothing"/>
      <w:lvlText w:val="%1．"/>
      <w:lvlJc w:val="left"/>
      <w:pPr>
        <w:ind w:left="0" w:firstLine="400"/>
      </w:pPr>
      <w:rPr>
        <w:rFonts w:hint="default"/>
      </w:rPr>
    </w:lvl>
  </w:abstractNum>
  <w:abstractNum w:abstractNumId="8">
    <w:nsid w:val="F70B5021"/>
    <w:multiLevelType w:val="singleLevel"/>
    <w:tmpl w:val="F70B5021"/>
    <w:lvl w:ilvl="0" w:tentative="0">
      <w:start w:val="1"/>
      <w:numFmt w:val="chineseCounting"/>
      <w:suff w:val="nothing"/>
      <w:lvlText w:val="（%1）"/>
      <w:lvlJc w:val="left"/>
      <w:pPr>
        <w:ind w:left="0" w:firstLine="420"/>
      </w:pPr>
      <w:rPr>
        <w:rFonts w:hint="eastAsia"/>
      </w:rPr>
    </w:lvl>
  </w:abstractNum>
  <w:abstractNum w:abstractNumId="9">
    <w:nsid w:val="0616B6F6"/>
    <w:multiLevelType w:val="singleLevel"/>
    <w:tmpl w:val="0616B6F6"/>
    <w:lvl w:ilvl="0" w:tentative="0">
      <w:start w:val="1"/>
      <w:numFmt w:val="chineseCounting"/>
      <w:suff w:val="nothing"/>
      <w:lvlText w:val="（%1）"/>
      <w:lvlJc w:val="left"/>
      <w:pPr>
        <w:ind w:left="0" w:firstLine="420"/>
      </w:pPr>
      <w:rPr>
        <w:rFonts w:hint="eastAsia"/>
      </w:rPr>
    </w:lvl>
  </w:abstractNum>
  <w:abstractNum w:abstractNumId="10">
    <w:nsid w:val="5C4E9845"/>
    <w:multiLevelType w:val="singleLevel"/>
    <w:tmpl w:val="5C4E9845"/>
    <w:lvl w:ilvl="0" w:tentative="0">
      <w:start w:val="1"/>
      <w:numFmt w:val="decimal"/>
      <w:suff w:val="nothing"/>
      <w:lvlText w:val="%1．"/>
      <w:lvlJc w:val="left"/>
      <w:pPr>
        <w:ind w:left="0" w:firstLine="400"/>
      </w:pPr>
      <w:rPr>
        <w:rFonts w:hint="default"/>
      </w:rPr>
    </w:lvl>
  </w:abstractNum>
  <w:num w:numId="1">
    <w:abstractNumId w:val="8"/>
  </w:num>
  <w:num w:numId="2">
    <w:abstractNumId w:val="4"/>
  </w:num>
  <w:num w:numId="3">
    <w:abstractNumId w:val="9"/>
  </w:num>
  <w:num w:numId="4">
    <w:abstractNumId w:val="7"/>
  </w:num>
  <w:num w:numId="5">
    <w:abstractNumId w:val="3"/>
  </w:num>
  <w:num w:numId="6">
    <w:abstractNumId w:val="10"/>
  </w:num>
  <w:num w:numId="7">
    <w:abstractNumId w:val="2"/>
  </w:num>
  <w:num w:numId="8">
    <w:abstractNumId w:val="5"/>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A13B3"/>
    <w:rsid w:val="00A3295D"/>
    <w:rsid w:val="011E3D92"/>
    <w:rsid w:val="01C761D7"/>
    <w:rsid w:val="01D408F4"/>
    <w:rsid w:val="023B0973"/>
    <w:rsid w:val="02410C92"/>
    <w:rsid w:val="025F28B4"/>
    <w:rsid w:val="026659F0"/>
    <w:rsid w:val="027F6AB2"/>
    <w:rsid w:val="0298457D"/>
    <w:rsid w:val="02AB78A7"/>
    <w:rsid w:val="030605E9"/>
    <w:rsid w:val="031306A7"/>
    <w:rsid w:val="031E451D"/>
    <w:rsid w:val="034B2E38"/>
    <w:rsid w:val="03B92498"/>
    <w:rsid w:val="041F054D"/>
    <w:rsid w:val="0422003D"/>
    <w:rsid w:val="042E0790"/>
    <w:rsid w:val="04AB3238"/>
    <w:rsid w:val="04DF1A8A"/>
    <w:rsid w:val="051756C8"/>
    <w:rsid w:val="05257DE5"/>
    <w:rsid w:val="05285BC9"/>
    <w:rsid w:val="05A16D4A"/>
    <w:rsid w:val="05AA2098"/>
    <w:rsid w:val="06024CE8"/>
    <w:rsid w:val="062A31D9"/>
    <w:rsid w:val="068F128E"/>
    <w:rsid w:val="06903E96"/>
    <w:rsid w:val="06A40024"/>
    <w:rsid w:val="06C726BC"/>
    <w:rsid w:val="06C929F2"/>
    <w:rsid w:val="0701218C"/>
    <w:rsid w:val="072916E2"/>
    <w:rsid w:val="074B3407"/>
    <w:rsid w:val="077E1A2E"/>
    <w:rsid w:val="08144141"/>
    <w:rsid w:val="084542FA"/>
    <w:rsid w:val="08A96637"/>
    <w:rsid w:val="08C4097B"/>
    <w:rsid w:val="08D119D4"/>
    <w:rsid w:val="08D35DAA"/>
    <w:rsid w:val="0955056D"/>
    <w:rsid w:val="09815806"/>
    <w:rsid w:val="09A17C56"/>
    <w:rsid w:val="09F72074"/>
    <w:rsid w:val="0A12645E"/>
    <w:rsid w:val="0A402FCB"/>
    <w:rsid w:val="0A60366D"/>
    <w:rsid w:val="0A6E5D8A"/>
    <w:rsid w:val="0AC260D6"/>
    <w:rsid w:val="0AC57974"/>
    <w:rsid w:val="0B1A1A6E"/>
    <w:rsid w:val="0B756CA4"/>
    <w:rsid w:val="0BDA11FD"/>
    <w:rsid w:val="0C833643"/>
    <w:rsid w:val="0C8A2C23"/>
    <w:rsid w:val="0CF307C8"/>
    <w:rsid w:val="0D093B48"/>
    <w:rsid w:val="0D26294C"/>
    <w:rsid w:val="0D2C3CDA"/>
    <w:rsid w:val="0D7D62E4"/>
    <w:rsid w:val="0D9C49BC"/>
    <w:rsid w:val="0DBF68FD"/>
    <w:rsid w:val="0DD71E98"/>
    <w:rsid w:val="0DDF2AFB"/>
    <w:rsid w:val="0DF47A92"/>
    <w:rsid w:val="0E3E5A73"/>
    <w:rsid w:val="0E6A6868"/>
    <w:rsid w:val="0E6F20D1"/>
    <w:rsid w:val="0EA77ABC"/>
    <w:rsid w:val="0F2E7896"/>
    <w:rsid w:val="0F64150A"/>
    <w:rsid w:val="0F6634D4"/>
    <w:rsid w:val="0F7A0D2D"/>
    <w:rsid w:val="0F9022FF"/>
    <w:rsid w:val="0FE97C61"/>
    <w:rsid w:val="0FF00FEF"/>
    <w:rsid w:val="0FFE370C"/>
    <w:rsid w:val="10246EEB"/>
    <w:rsid w:val="103E1EC3"/>
    <w:rsid w:val="10675755"/>
    <w:rsid w:val="108C6F6A"/>
    <w:rsid w:val="10E32902"/>
    <w:rsid w:val="10E8616A"/>
    <w:rsid w:val="11765524"/>
    <w:rsid w:val="118440E5"/>
    <w:rsid w:val="11BB73DB"/>
    <w:rsid w:val="11E701D0"/>
    <w:rsid w:val="11F766C2"/>
    <w:rsid w:val="120B0362"/>
    <w:rsid w:val="1220793F"/>
    <w:rsid w:val="125735A8"/>
    <w:rsid w:val="126006AE"/>
    <w:rsid w:val="127557DC"/>
    <w:rsid w:val="12971BF6"/>
    <w:rsid w:val="129C545E"/>
    <w:rsid w:val="12B72298"/>
    <w:rsid w:val="12ED7A68"/>
    <w:rsid w:val="12FB2185"/>
    <w:rsid w:val="12FD414F"/>
    <w:rsid w:val="13174AE5"/>
    <w:rsid w:val="135D2E40"/>
    <w:rsid w:val="13623FB2"/>
    <w:rsid w:val="13817F9B"/>
    <w:rsid w:val="13FD1F2D"/>
    <w:rsid w:val="140E7C96"/>
    <w:rsid w:val="143A4F2F"/>
    <w:rsid w:val="14A34F2C"/>
    <w:rsid w:val="156C2EC6"/>
    <w:rsid w:val="15E1402D"/>
    <w:rsid w:val="16526560"/>
    <w:rsid w:val="16775FC6"/>
    <w:rsid w:val="168626AD"/>
    <w:rsid w:val="16DA6555"/>
    <w:rsid w:val="16DE4297"/>
    <w:rsid w:val="16E11692"/>
    <w:rsid w:val="16E573D4"/>
    <w:rsid w:val="175E7186"/>
    <w:rsid w:val="17610E77"/>
    <w:rsid w:val="177644D0"/>
    <w:rsid w:val="17CA0378"/>
    <w:rsid w:val="18414ADE"/>
    <w:rsid w:val="185A16FC"/>
    <w:rsid w:val="186A39DE"/>
    <w:rsid w:val="188E75F7"/>
    <w:rsid w:val="18C82B09"/>
    <w:rsid w:val="18E839A9"/>
    <w:rsid w:val="19174FF1"/>
    <w:rsid w:val="194F6D87"/>
    <w:rsid w:val="195919B3"/>
    <w:rsid w:val="197C1B46"/>
    <w:rsid w:val="19B65058"/>
    <w:rsid w:val="1A0C6552"/>
    <w:rsid w:val="1A1B135F"/>
    <w:rsid w:val="1AB377E9"/>
    <w:rsid w:val="1AB84DFF"/>
    <w:rsid w:val="1B244243"/>
    <w:rsid w:val="1B4E306E"/>
    <w:rsid w:val="1B5E7755"/>
    <w:rsid w:val="1B724FAE"/>
    <w:rsid w:val="1B854CE1"/>
    <w:rsid w:val="1BAD4238"/>
    <w:rsid w:val="1BB24DF8"/>
    <w:rsid w:val="1BB455C7"/>
    <w:rsid w:val="1BEF662E"/>
    <w:rsid w:val="1C5841A4"/>
    <w:rsid w:val="1C8A35E0"/>
    <w:rsid w:val="1CA473E9"/>
    <w:rsid w:val="1CE04199"/>
    <w:rsid w:val="1D4D182F"/>
    <w:rsid w:val="1D552DD9"/>
    <w:rsid w:val="1D556936"/>
    <w:rsid w:val="1D5801D4"/>
    <w:rsid w:val="1D69418F"/>
    <w:rsid w:val="1E0B3B01"/>
    <w:rsid w:val="1E2C3B3A"/>
    <w:rsid w:val="1E65704C"/>
    <w:rsid w:val="1E85324A"/>
    <w:rsid w:val="1EAC6A29"/>
    <w:rsid w:val="1EE00481"/>
    <w:rsid w:val="1EE47F71"/>
    <w:rsid w:val="1F1C595D"/>
    <w:rsid w:val="1F953961"/>
    <w:rsid w:val="1FEC17D3"/>
    <w:rsid w:val="1FFE1506"/>
    <w:rsid w:val="200C3C23"/>
    <w:rsid w:val="20370574"/>
    <w:rsid w:val="204D1B46"/>
    <w:rsid w:val="2050797E"/>
    <w:rsid w:val="20AF2801"/>
    <w:rsid w:val="20BB2F53"/>
    <w:rsid w:val="20C77B4A"/>
    <w:rsid w:val="210C37AF"/>
    <w:rsid w:val="211A5ECC"/>
    <w:rsid w:val="215C64E4"/>
    <w:rsid w:val="21674E89"/>
    <w:rsid w:val="219914E7"/>
    <w:rsid w:val="21E479B0"/>
    <w:rsid w:val="21F506E7"/>
    <w:rsid w:val="22123047"/>
    <w:rsid w:val="224F429B"/>
    <w:rsid w:val="226B2757"/>
    <w:rsid w:val="227710FC"/>
    <w:rsid w:val="2277734E"/>
    <w:rsid w:val="22F34C27"/>
    <w:rsid w:val="231A0405"/>
    <w:rsid w:val="233314C7"/>
    <w:rsid w:val="23384D2F"/>
    <w:rsid w:val="23700025"/>
    <w:rsid w:val="239B0E1A"/>
    <w:rsid w:val="23C40371"/>
    <w:rsid w:val="23D04F68"/>
    <w:rsid w:val="245F009A"/>
    <w:rsid w:val="24637B8A"/>
    <w:rsid w:val="2483647E"/>
    <w:rsid w:val="249064A5"/>
    <w:rsid w:val="24AE34FB"/>
    <w:rsid w:val="24E8008F"/>
    <w:rsid w:val="250255F5"/>
    <w:rsid w:val="25407ECB"/>
    <w:rsid w:val="25553977"/>
    <w:rsid w:val="256E4A38"/>
    <w:rsid w:val="25BF34E6"/>
    <w:rsid w:val="26103D41"/>
    <w:rsid w:val="272C6959"/>
    <w:rsid w:val="27321A96"/>
    <w:rsid w:val="275F3A8B"/>
    <w:rsid w:val="28074CD0"/>
    <w:rsid w:val="284D4DD9"/>
    <w:rsid w:val="285856D6"/>
    <w:rsid w:val="28A95D87"/>
    <w:rsid w:val="28B22E8E"/>
    <w:rsid w:val="28C52BC1"/>
    <w:rsid w:val="28FC3385"/>
    <w:rsid w:val="2919115F"/>
    <w:rsid w:val="29284CB9"/>
    <w:rsid w:val="292A6EC8"/>
    <w:rsid w:val="29A94291"/>
    <w:rsid w:val="29AE665D"/>
    <w:rsid w:val="29B36EBE"/>
    <w:rsid w:val="29C25353"/>
    <w:rsid w:val="2A443FBA"/>
    <w:rsid w:val="2A467D32"/>
    <w:rsid w:val="2A834AE2"/>
    <w:rsid w:val="2A9E191C"/>
    <w:rsid w:val="2B3202B6"/>
    <w:rsid w:val="2B6F150A"/>
    <w:rsid w:val="2C047EA4"/>
    <w:rsid w:val="2C532BDA"/>
    <w:rsid w:val="2D045C82"/>
    <w:rsid w:val="2D3622E0"/>
    <w:rsid w:val="2D450775"/>
    <w:rsid w:val="2DAA24F0"/>
    <w:rsid w:val="2DAC25A2"/>
    <w:rsid w:val="2DE0049D"/>
    <w:rsid w:val="2E100D83"/>
    <w:rsid w:val="2E206AEC"/>
    <w:rsid w:val="2E731311"/>
    <w:rsid w:val="2E954DE4"/>
    <w:rsid w:val="2EB72FAC"/>
    <w:rsid w:val="2ED31DB0"/>
    <w:rsid w:val="2F106B60"/>
    <w:rsid w:val="2F2D14C0"/>
    <w:rsid w:val="2F3E191F"/>
    <w:rsid w:val="2F4D3910"/>
    <w:rsid w:val="2F6D3FB3"/>
    <w:rsid w:val="2F7D2448"/>
    <w:rsid w:val="303A20E7"/>
    <w:rsid w:val="30600597"/>
    <w:rsid w:val="307849BD"/>
    <w:rsid w:val="30C8030D"/>
    <w:rsid w:val="3106021B"/>
    <w:rsid w:val="314A45AB"/>
    <w:rsid w:val="316E7B6E"/>
    <w:rsid w:val="31837ABD"/>
    <w:rsid w:val="318F0210"/>
    <w:rsid w:val="31DD59DB"/>
    <w:rsid w:val="31E4268D"/>
    <w:rsid w:val="31E542D4"/>
    <w:rsid w:val="31E87920"/>
    <w:rsid w:val="32696CB3"/>
    <w:rsid w:val="32A41A99"/>
    <w:rsid w:val="32B819E9"/>
    <w:rsid w:val="32BA750F"/>
    <w:rsid w:val="32DA370D"/>
    <w:rsid w:val="33266952"/>
    <w:rsid w:val="33776A19"/>
    <w:rsid w:val="33953AD8"/>
    <w:rsid w:val="339B7340"/>
    <w:rsid w:val="33AF4B9A"/>
    <w:rsid w:val="33C30645"/>
    <w:rsid w:val="347436ED"/>
    <w:rsid w:val="348222AE"/>
    <w:rsid w:val="348C4EDB"/>
    <w:rsid w:val="34963664"/>
    <w:rsid w:val="34EE524E"/>
    <w:rsid w:val="351078BA"/>
    <w:rsid w:val="35380BBF"/>
    <w:rsid w:val="35C111CB"/>
    <w:rsid w:val="35C83CF1"/>
    <w:rsid w:val="36145188"/>
    <w:rsid w:val="36237179"/>
    <w:rsid w:val="365B2DB7"/>
    <w:rsid w:val="36987B67"/>
    <w:rsid w:val="36996DB4"/>
    <w:rsid w:val="36C50230"/>
    <w:rsid w:val="371A057C"/>
    <w:rsid w:val="375D66BB"/>
    <w:rsid w:val="3765175F"/>
    <w:rsid w:val="377D0B0B"/>
    <w:rsid w:val="37AB5678"/>
    <w:rsid w:val="37DF17C6"/>
    <w:rsid w:val="37E666B0"/>
    <w:rsid w:val="38A54D1B"/>
    <w:rsid w:val="39777F08"/>
    <w:rsid w:val="39B5543D"/>
    <w:rsid w:val="39E82BB3"/>
    <w:rsid w:val="39EB4452"/>
    <w:rsid w:val="3A5B15D7"/>
    <w:rsid w:val="3A751F6D"/>
    <w:rsid w:val="3A7B3A28"/>
    <w:rsid w:val="3A824DB6"/>
    <w:rsid w:val="3A8B353F"/>
    <w:rsid w:val="3A9C74FA"/>
    <w:rsid w:val="3AD13648"/>
    <w:rsid w:val="3AE570F3"/>
    <w:rsid w:val="3B201ED9"/>
    <w:rsid w:val="3B2440DA"/>
    <w:rsid w:val="3BAC5E63"/>
    <w:rsid w:val="3BBD597A"/>
    <w:rsid w:val="3C0B2B89"/>
    <w:rsid w:val="3C157564"/>
    <w:rsid w:val="3C1C6B44"/>
    <w:rsid w:val="3C291261"/>
    <w:rsid w:val="3C2B4FD9"/>
    <w:rsid w:val="3C577B7C"/>
    <w:rsid w:val="3C8B3CCA"/>
    <w:rsid w:val="3DA07301"/>
    <w:rsid w:val="3DCC00F6"/>
    <w:rsid w:val="3DE47B36"/>
    <w:rsid w:val="3E0C2BE9"/>
    <w:rsid w:val="3E502AD5"/>
    <w:rsid w:val="3E595E2E"/>
    <w:rsid w:val="3E891477"/>
    <w:rsid w:val="3EB05C6A"/>
    <w:rsid w:val="3EB219E2"/>
    <w:rsid w:val="3EB968CD"/>
    <w:rsid w:val="3EE33949"/>
    <w:rsid w:val="3EE8744A"/>
    <w:rsid w:val="3F5465F5"/>
    <w:rsid w:val="3F84512C"/>
    <w:rsid w:val="3F852C53"/>
    <w:rsid w:val="3FA330D9"/>
    <w:rsid w:val="3FCB2D5B"/>
    <w:rsid w:val="40416B7A"/>
    <w:rsid w:val="405A7C3B"/>
    <w:rsid w:val="407056B1"/>
    <w:rsid w:val="407F76A2"/>
    <w:rsid w:val="40FE0F0E"/>
    <w:rsid w:val="4114603C"/>
    <w:rsid w:val="412070D7"/>
    <w:rsid w:val="41230975"/>
    <w:rsid w:val="418807D8"/>
    <w:rsid w:val="41886A2A"/>
    <w:rsid w:val="41DE664A"/>
    <w:rsid w:val="420E5181"/>
    <w:rsid w:val="425A2175"/>
    <w:rsid w:val="42AB29D0"/>
    <w:rsid w:val="42D44F28"/>
    <w:rsid w:val="432F53AF"/>
    <w:rsid w:val="4343011D"/>
    <w:rsid w:val="43713C1A"/>
    <w:rsid w:val="44450C02"/>
    <w:rsid w:val="44507CD3"/>
    <w:rsid w:val="44522B21"/>
    <w:rsid w:val="446612A5"/>
    <w:rsid w:val="449C4CC6"/>
    <w:rsid w:val="450B59A8"/>
    <w:rsid w:val="451A4F24"/>
    <w:rsid w:val="45D43FEC"/>
    <w:rsid w:val="461C7DA1"/>
    <w:rsid w:val="462A00B0"/>
    <w:rsid w:val="46405B25"/>
    <w:rsid w:val="464C6278"/>
    <w:rsid w:val="46933EA7"/>
    <w:rsid w:val="46AE0CE1"/>
    <w:rsid w:val="46C262E3"/>
    <w:rsid w:val="46D1677D"/>
    <w:rsid w:val="470923BB"/>
    <w:rsid w:val="471C20EE"/>
    <w:rsid w:val="473E2065"/>
    <w:rsid w:val="478A52AA"/>
    <w:rsid w:val="485D476D"/>
    <w:rsid w:val="487815A6"/>
    <w:rsid w:val="48F00ECF"/>
    <w:rsid w:val="48F13107"/>
    <w:rsid w:val="491856F9"/>
    <w:rsid w:val="49575660"/>
    <w:rsid w:val="499A72FA"/>
    <w:rsid w:val="4A064990"/>
    <w:rsid w:val="4A176B9D"/>
    <w:rsid w:val="4A745D9D"/>
    <w:rsid w:val="4AD4683C"/>
    <w:rsid w:val="4AE90539"/>
    <w:rsid w:val="4AF173EE"/>
    <w:rsid w:val="4AFF7D5D"/>
    <w:rsid w:val="4B166E55"/>
    <w:rsid w:val="4B3D0570"/>
    <w:rsid w:val="4B8B7843"/>
    <w:rsid w:val="4B983D0E"/>
    <w:rsid w:val="4C207F8B"/>
    <w:rsid w:val="4CC95E8A"/>
    <w:rsid w:val="4CF80F08"/>
    <w:rsid w:val="4D2C295F"/>
    <w:rsid w:val="4DBE5CAD"/>
    <w:rsid w:val="4DC112FA"/>
    <w:rsid w:val="4E0062C6"/>
    <w:rsid w:val="4E1B3100"/>
    <w:rsid w:val="4E3E294A"/>
    <w:rsid w:val="4E50267E"/>
    <w:rsid w:val="4E962786"/>
    <w:rsid w:val="4EB26E94"/>
    <w:rsid w:val="4EB62E28"/>
    <w:rsid w:val="4ECA2430"/>
    <w:rsid w:val="4F0E4A13"/>
    <w:rsid w:val="4F7A5C04"/>
    <w:rsid w:val="50081462"/>
    <w:rsid w:val="501222E0"/>
    <w:rsid w:val="5060304C"/>
    <w:rsid w:val="50615016"/>
    <w:rsid w:val="50666188"/>
    <w:rsid w:val="506A3ECB"/>
    <w:rsid w:val="50C3182D"/>
    <w:rsid w:val="50DB0924"/>
    <w:rsid w:val="51312C3A"/>
    <w:rsid w:val="51BA678C"/>
    <w:rsid w:val="51D05FAF"/>
    <w:rsid w:val="523F4EE3"/>
    <w:rsid w:val="52A15B9E"/>
    <w:rsid w:val="52AF3E17"/>
    <w:rsid w:val="531620E8"/>
    <w:rsid w:val="53254E69"/>
    <w:rsid w:val="53A72D40"/>
    <w:rsid w:val="53AC47FA"/>
    <w:rsid w:val="53D855EF"/>
    <w:rsid w:val="53FB308C"/>
    <w:rsid w:val="54D9161F"/>
    <w:rsid w:val="54E02158"/>
    <w:rsid w:val="54F62E89"/>
    <w:rsid w:val="551B39E5"/>
    <w:rsid w:val="5523289A"/>
    <w:rsid w:val="55913CA7"/>
    <w:rsid w:val="55915A56"/>
    <w:rsid w:val="55EE10FA"/>
    <w:rsid w:val="560743DC"/>
    <w:rsid w:val="561623FF"/>
    <w:rsid w:val="56187F25"/>
    <w:rsid w:val="562E77E1"/>
    <w:rsid w:val="568B0626"/>
    <w:rsid w:val="56A30136"/>
    <w:rsid w:val="56A85598"/>
    <w:rsid w:val="56D71B8E"/>
    <w:rsid w:val="57284198"/>
    <w:rsid w:val="575E5E0B"/>
    <w:rsid w:val="57684EDC"/>
    <w:rsid w:val="57A71560"/>
    <w:rsid w:val="57B36157"/>
    <w:rsid w:val="57C7431A"/>
    <w:rsid w:val="57DE0CFA"/>
    <w:rsid w:val="58112E7E"/>
    <w:rsid w:val="58445001"/>
    <w:rsid w:val="58726012"/>
    <w:rsid w:val="588B70D4"/>
    <w:rsid w:val="588E0972"/>
    <w:rsid w:val="58E16CF4"/>
    <w:rsid w:val="58EA0573"/>
    <w:rsid w:val="590B5B1F"/>
    <w:rsid w:val="59374B66"/>
    <w:rsid w:val="5955323E"/>
    <w:rsid w:val="596A0A97"/>
    <w:rsid w:val="597B2CA5"/>
    <w:rsid w:val="59AC10B0"/>
    <w:rsid w:val="59B5546F"/>
    <w:rsid w:val="59D2488F"/>
    <w:rsid w:val="59D93E6F"/>
    <w:rsid w:val="59F6057D"/>
    <w:rsid w:val="5A4532B2"/>
    <w:rsid w:val="5A846BF5"/>
    <w:rsid w:val="5AFC6067"/>
    <w:rsid w:val="5B461090"/>
    <w:rsid w:val="5B49644A"/>
    <w:rsid w:val="5B8816A9"/>
    <w:rsid w:val="5B8B2F47"/>
    <w:rsid w:val="5BCF1086"/>
    <w:rsid w:val="5BED775E"/>
    <w:rsid w:val="5BF22FC6"/>
    <w:rsid w:val="5C05719D"/>
    <w:rsid w:val="5C734107"/>
    <w:rsid w:val="5D07484F"/>
    <w:rsid w:val="5D6D4FFA"/>
    <w:rsid w:val="5D7C6FEB"/>
    <w:rsid w:val="5DAB167E"/>
    <w:rsid w:val="5DD46E27"/>
    <w:rsid w:val="5DF63241"/>
    <w:rsid w:val="5DFE3EA4"/>
    <w:rsid w:val="5E0019CA"/>
    <w:rsid w:val="5E321B7B"/>
    <w:rsid w:val="5E4A70E9"/>
    <w:rsid w:val="5EAF519E"/>
    <w:rsid w:val="5EC73BE1"/>
    <w:rsid w:val="5F0279C4"/>
    <w:rsid w:val="5F076D88"/>
    <w:rsid w:val="5F153480"/>
    <w:rsid w:val="5F1F2324"/>
    <w:rsid w:val="5F28567D"/>
    <w:rsid w:val="5F2F74DC"/>
    <w:rsid w:val="5F3A715E"/>
    <w:rsid w:val="5F48187B"/>
    <w:rsid w:val="5F526256"/>
    <w:rsid w:val="5F7D6C03"/>
    <w:rsid w:val="60765F74"/>
    <w:rsid w:val="60912DAE"/>
    <w:rsid w:val="60E6759D"/>
    <w:rsid w:val="60EE6452"/>
    <w:rsid w:val="612B1454"/>
    <w:rsid w:val="614B5652"/>
    <w:rsid w:val="61812E22"/>
    <w:rsid w:val="61AD00BB"/>
    <w:rsid w:val="61B03707"/>
    <w:rsid w:val="61B575A1"/>
    <w:rsid w:val="61C344A1"/>
    <w:rsid w:val="61E11B13"/>
    <w:rsid w:val="62051CA5"/>
    <w:rsid w:val="622B7232"/>
    <w:rsid w:val="628D3A49"/>
    <w:rsid w:val="62A82630"/>
    <w:rsid w:val="62E33669"/>
    <w:rsid w:val="62F13FD7"/>
    <w:rsid w:val="63273E9D"/>
    <w:rsid w:val="63894210"/>
    <w:rsid w:val="63C67212"/>
    <w:rsid w:val="641A3704"/>
    <w:rsid w:val="64607667"/>
    <w:rsid w:val="647D18CE"/>
    <w:rsid w:val="64DF4A2F"/>
    <w:rsid w:val="64ED07CF"/>
    <w:rsid w:val="65063729"/>
    <w:rsid w:val="65566374"/>
    <w:rsid w:val="65D774B5"/>
    <w:rsid w:val="65FE0EE5"/>
    <w:rsid w:val="663E7534"/>
    <w:rsid w:val="66630D48"/>
    <w:rsid w:val="667B0788"/>
    <w:rsid w:val="66A46DA8"/>
    <w:rsid w:val="66A51361"/>
    <w:rsid w:val="66B40B0F"/>
    <w:rsid w:val="66EA022B"/>
    <w:rsid w:val="66FC0F03"/>
    <w:rsid w:val="672A7AB8"/>
    <w:rsid w:val="67430B7A"/>
    <w:rsid w:val="674A015A"/>
    <w:rsid w:val="67A43170"/>
    <w:rsid w:val="67AA29A7"/>
    <w:rsid w:val="67F500C6"/>
    <w:rsid w:val="68352BB8"/>
    <w:rsid w:val="68442DFB"/>
    <w:rsid w:val="68664B20"/>
    <w:rsid w:val="687F015B"/>
    <w:rsid w:val="68A02082"/>
    <w:rsid w:val="68B57855"/>
    <w:rsid w:val="68BA4E6C"/>
    <w:rsid w:val="68F16ADF"/>
    <w:rsid w:val="69083E29"/>
    <w:rsid w:val="69763488"/>
    <w:rsid w:val="69C13687"/>
    <w:rsid w:val="69CC12FA"/>
    <w:rsid w:val="69F04FE9"/>
    <w:rsid w:val="6A366774"/>
    <w:rsid w:val="6A403609"/>
    <w:rsid w:val="6A885221"/>
    <w:rsid w:val="6AD55F8D"/>
    <w:rsid w:val="6AE52674"/>
    <w:rsid w:val="6B523D06"/>
    <w:rsid w:val="6BB12556"/>
    <w:rsid w:val="6BCC7390"/>
    <w:rsid w:val="6BCF6E80"/>
    <w:rsid w:val="6C270A6A"/>
    <w:rsid w:val="6C417D7E"/>
    <w:rsid w:val="6C5C0714"/>
    <w:rsid w:val="6C846764"/>
    <w:rsid w:val="6CA4030D"/>
    <w:rsid w:val="6CFE17CB"/>
    <w:rsid w:val="6D013069"/>
    <w:rsid w:val="6D0843F7"/>
    <w:rsid w:val="6D140FEE"/>
    <w:rsid w:val="6D1B05CF"/>
    <w:rsid w:val="6D39664F"/>
    <w:rsid w:val="6DA5433C"/>
    <w:rsid w:val="6DA93E2C"/>
    <w:rsid w:val="6DD30EA9"/>
    <w:rsid w:val="6DD95D94"/>
    <w:rsid w:val="6DEE248F"/>
    <w:rsid w:val="6E1119D2"/>
    <w:rsid w:val="6E1F5E9D"/>
    <w:rsid w:val="6E272FA3"/>
    <w:rsid w:val="6E2E4332"/>
    <w:rsid w:val="6E6A23B4"/>
    <w:rsid w:val="6E6B00C7"/>
    <w:rsid w:val="6E775CD9"/>
    <w:rsid w:val="6EF94940"/>
    <w:rsid w:val="6F1B2B08"/>
    <w:rsid w:val="6F1F3C7A"/>
    <w:rsid w:val="6F343288"/>
    <w:rsid w:val="6F3911E0"/>
    <w:rsid w:val="6F71329B"/>
    <w:rsid w:val="6F991C7F"/>
    <w:rsid w:val="6FFD3FBC"/>
    <w:rsid w:val="70891CF3"/>
    <w:rsid w:val="70D867D7"/>
    <w:rsid w:val="711315BD"/>
    <w:rsid w:val="719B1CDE"/>
    <w:rsid w:val="71C31235"/>
    <w:rsid w:val="71DE1BCB"/>
    <w:rsid w:val="721E62BD"/>
    <w:rsid w:val="726C5429"/>
    <w:rsid w:val="727918F3"/>
    <w:rsid w:val="728E35F1"/>
    <w:rsid w:val="729D1A86"/>
    <w:rsid w:val="729D3834"/>
    <w:rsid w:val="72B55021"/>
    <w:rsid w:val="72F62F44"/>
    <w:rsid w:val="73104006"/>
    <w:rsid w:val="734168B5"/>
    <w:rsid w:val="73532E36"/>
    <w:rsid w:val="736D76AA"/>
    <w:rsid w:val="7379604F"/>
    <w:rsid w:val="73C44DF0"/>
    <w:rsid w:val="741713C4"/>
    <w:rsid w:val="74382ACD"/>
    <w:rsid w:val="74AE1A97"/>
    <w:rsid w:val="74AF5AA0"/>
    <w:rsid w:val="74C57072"/>
    <w:rsid w:val="74E219D2"/>
    <w:rsid w:val="74F10DEF"/>
    <w:rsid w:val="752B15CB"/>
    <w:rsid w:val="753C37D8"/>
    <w:rsid w:val="75556648"/>
    <w:rsid w:val="755F1275"/>
    <w:rsid w:val="757F1917"/>
    <w:rsid w:val="75B94E29"/>
    <w:rsid w:val="75C612F4"/>
    <w:rsid w:val="75F419BD"/>
    <w:rsid w:val="76004806"/>
    <w:rsid w:val="76045978"/>
    <w:rsid w:val="76116A13"/>
    <w:rsid w:val="761756AB"/>
    <w:rsid w:val="76623E41"/>
    <w:rsid w:val="767174B1"/>
    <w:rsid w:val="76B96B5F"/>
    <w:rsid w:val="774A385E"/>
    <w:rsid w:val="77642B72"/>
    <w:rsid w:val="776E39F1"/>
    <w:rsid w:val="77862AE9"/>
    <w:rsid w:val="779C40BA"/>
    <w:rsid w:val="77A47413"/>
    <w:rsid w:val="77B92EBE"/>
    <w:rsid w:val="77DB72D8"/>
    <w:rsid w:val="77DF044B"/>
    <w:rsid w:val="780103C1"/>
    <w:rsid w:val="780E2ADE"/>
    <w:rsid w:val="78970D25"/>
    <w:rsid w:val="789E0306"/>
    <w:rsid w:val="78BD69DE"/>
    <w:rsid w:val="78F341AE"/>
    <w:rsid w:val="78FC3213"/>
    <w:rsid w:val="79022643"/>
    <w:rsid w:val="790C34C1"/>
    <w:rsid w:val="792E168A"/>
    <w:rsid w:val="7940316B"/>
    <w:rsid w:val="79751067"/>
    <w:rsid w:val="79802243"/>
    <w:rsid w:val="7A016D9E"/>
    <w:rsid w:val="7A293BFF"/>
    <w:rsid w:val="7A925C48"/>
    <w:rsid w:val="7AB506C9"/>
    <w:rsid w:val="7AB7745D"/>
    <w:rsid w:val="7AD85D51"/>
    <w:rsid w:val="7AE244DA"/>
    <w:rsid w:val="7AEA5A84"/>
    <w:rsid w:val="7AF67F85"/>
    <w:rsid w:val="7B2368A0"/>
    <w:rsid w:val="7B8F4C1D"/>
    <w:rsid w:val="7BDC53CD"/>
    <w:rsid w:val="7BE91898"/>
    <w:rsid w:val="7C044924"/>
    <w:rsid w:val="7C305719"/>
    <w:rsid w:val="7C5533D1"/>
    <w:rsid w:val="7D1110A6"/>
    <w:rsid w:val="7DA0067C"/>
    <w:rsid w:val="7DC720AD"/>
    <w:rsid w:val="7E543940"/>
    <w:rsid w:val="7EAA3560"/>
    <w:rsid w:val="7EEA6053"/>
    <w:rsid w:val="7F121106"/>
    <w:rsid w:val="7F161C5D"/>
    <w:rsid w:val="7F7B6CAB"/>
    <w:rsid w:val="7F8A5140"/>
    <w:rsid w:val="7F9164CE"/>
    <w:rsid w:val="7FD64829"/>
    <w:rsid w:val="7FEE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3"/>
    <w:qFormat/>
    <w:uiPriority w:val="0"/>
    <w:rPr>
      <w:rFonts w:ascii="Arial" w:hAnsi="Arial" w:cs="Arial"/>
      <w:color w:val="000000"/>
      <w:sz w:val="22"/>
      <w:szCs w:val="22"/>
      <w:u w:val="none"/>
    </w:rPr>
  </w:style>
  <w:style w:type="character" w:customStyle="1" w:styleId="6">
    <w:name w:val="font11"/>
    <w:basedOn w:val="3"/>
    <w:qFormat/>
    <w:uiPriority w:val="0"/>
    <w:rPr>
      <w:rFonts w:hint="eastAsia" w:ascii="等线" w:hAnsi="等线" w:eastAsia="等线" w:cs="等线"/>
      <w:color w:val="000000"/>
      <w:sz w:val="22"/>
      <w:szCs w:val="22"/>
      <w:u w:val="none"/>
    </w:rPr>
  </w:style>
  <w:style w:type="character" w:customStyle="1" w:styleId="7">
    <w:name w:val="font21"/>
    <w:basedOn w:val="3"/>
    <w:qFormat/>
    <w:uiPriority w:val="0"/>
    <w:rPr>
      <w:rFonts w:ascii="Arial" w:hAnsi="Arial" w:cs="Arial"/>
      <w:color w:val="000000"/>
      <w:sz w:val="22"/>
      <w:szCs w:val="22"/>
      <w:u w:val="none"/>
    </w:rPr>
  </w:style>
  <w:style w:type="character" w:customStyle="1" w:styleId="8">
    <w:name w:val="font41"/>
    <w:basedOn w:val="3"/>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051a1bc1-c33b-419f-a5e1-2713adf0bc02</errorID>
      <errorWord>。</errorWord>
      <group>L1_Punc</group>
      <groupName>标点问题</groupName>
      <ability>L2_Punc</ability>
      <abilityName>标点符号检查</abilityName>
      <candidateList>
        <item/>
      </candidateList>
      <explain>标题文本后不使用标点符号。</explain>
      <paraID>24F23024</paraID>
      <start>13</start>
      <end>14</end>
      <status>unmodified</status>
      <modifiedWord/>
      <trackRevisions>false</trackRevisions>
    </reviewItem>
    <reviewItem>
      <errorID>7e589f50-8917-4f3a-9949-dc96adb0761e</errorID>
      <errorWord>。</errorWord>
      <group>L1_Punc</group>
      <groupName>标点问题</groupName>
      <ability>L2_Punc</ability>
      <abilityName>标点符号检查</abilityName>
      <candidateList>
        <item/>
      </candidateList>
      <explain>标题文本后不使用标点符号。</explain>
      <paraID>1A081175</paraID>
      <start>13</start>
      <end>14</end>
      <status>unmodified</status>
      <modifiedWord/>
      <trackRevisions>false</trackRevisions>
    </reviewItem>
    <reviewItem>
      <errorID>f8d490ec-4ecb-40ff-97ee-08ac3a7d6913</errorID>
      <errorWord>基本医疗服务均等化</errorWord>
      <group>L1_Political</group>
      <groupName>政治性问题</groupName>
      <ability>L2_Keyword</ability>
      <abilityName>固定表述</abilityName>
      <candidateList>
        <item>基本公共服务均等化</item>
      </candidateList>
      <explain>词汇“基本公共服务均等化”在特定场景下为固定表述形式，请确认此处的“基本医疗服务均等化”是否存在不当。</explain>
      <paraID>1A081175</paraID>
      <start>81</start>
      <end>90</end>
      <status>unmodified</status>
      <modifiedWord/>
      <trackRevisions>false</trackRevisions>
    </reviewItem>
    <reviewItem>
      <errorID>126e60c1-129f-482b-bdd0-792d40a85923</errorID>
      <errorWord>。</errorWord>
      <group>L1_Punc</group>
      <groupName>标点问题</groupName>
      <ability>L2_Punc</ability>
      <abilityName>标点符号检查</abilityName>
      <candidateList>
        <item/>
      </candidateList>
      <explain>标题文本后不使用标点符号。</explain>
      <paraID>4EABA335</paraID>
      <start>13</start>
      <end>14</end>
      <status>unmodified</status>
      <modifiedWord/>
      <trackRevisions>false</trackRevisions>
    </reviewItem>
    <reviewItem>
      <errorID>d9e8b832-74cf-42c0-905c-2baccb5435ab</errorID>
      <errorWord>。</errorWord>
      <group>L1_Punc</group>
      <groupName>标点问题</groupName>
      <ability>L2_Punc</ability>
      <abilityName>标点符号检查</abilityName>
      <candidateList>
        <item/>
      </candidateList>
      <explain>标题文本后不使用标点符号。</explain>
      <paraID>65FDAD31</paraID>
      <start>13</start>
      <end>14</end>
      <status>unmodified</status>
      <modifiedWord/>
      <trackRevisions>false</trackRevisions>
    </reviewItem>
    <reviewItem>
      <errorID>f33456a2-f76c-486b-82b3-aa57a0a4b832</errorID>
      <errorWord>。</errorWord>
      <group>L1_Punc</group>
      <groupName>标点问题</groupName>
      <ability>L2_Punc</ability>
      <abilityName>标点符号检查</abilityName>
      <candidateList>
        <item/>
      </candidateList>
      <explain>标题文本后不使用标点符号。</explain>
      <paraID>3ABDEE84</paraID>
      <start>9</start>
      <end>10</end>
      <status>unmodified</status>
      <modifiedWord/>
      <trackRevisions>false</trackRevisions>
    </reviewItem>
    <reviewItem>
      <errorID>e6a980f3-e5f9-44fc-968c-427f801986c6</errorID>
      <errorWord>。</errorWord>
      <group>L1_Punc</group>
      <groupName>标点问题</groupName>
      <ability>L2_Punc</ability>
      <abilityName>标点符号检查</abilityName>
      <candidateList>
        <item/>
      </candidateList>
      <explain>标题文本后不使用标点符号。</explain>
      <paraID>3042D4CF</paraID>
      <start>8</start>
      <end>9</end>
      <status>unmodified</status>
      <modifiedWord/>
      <trackRevisions>false</trackRevisions>
    </reviewItem>
    <reviewItem>
      <errorID>6c9d14d8-72ff-4626-a104-d2298770f1a0</errorID>
      <errorWord>。</errorWord>
      <group>L1_Punc</group>
      <groupName>标点问题</groupName>
      <ability>L2_Punc</ability>
      <abilityName>标点符号检查</abilityName>
      <candidateList>
        <item/>
      </candidateList>
      <explain>标题文本后不使用标点符号。</explain>
      <paraID>7F486F9E</paraID>
      <start>10</start>
      <end>11</end>
      <status>unmodified</status>
      <modifiedWord/>
      <trackRevisions>false</trackRevisions>
    </reviewItem>
    <reviewItem>
      <errorID>a1c8bf13-0f0e-45b9-a150-c54ecc0c6696</errorID>
      <errorWord>。</errorWord>
      <group>L1_Punc</group>
      <groupName>标点问题</groupName>
      <ability>L2_Punc</ability>
      <abilityName>标点符号检查</abilityName>
      <candidateList>
        <item/>
      </candidateList>
      <explain>标题文本后不使用标点符号。</explain>
      <paraID>36BECB8D</paraID>
      <start>12</start>
      <end>13</end>
      <status>unmodified</status>
      <modifiedWord/>
      <trackRevisions>false</trackRevisions>
    </reviewItem>
    <reviewItem>
      <errorID>fbf41623-03ff-4678-9f66-ce008345b1e5</errorID>
      <errorWord>。</errorWord>
      <group>L1_Punc</group>
      <groupName>标点问题</groupName>
      <ability>L2_Punc</ability>
      <abilityName>标点符号检查</abilityName>
      <candidateList>
        <item/>
      </candidateList>
      <explain>标题文本后不使用标点符号。</explain>
      <paraID>3EE971AB</paraID>
      <start>10</start>
      <end>11</end>
      <status>unmodified</status>
      <modifiedWord/>
      <trackRevisions>false</trackRevisions>
    </reviewItem>
    <reviewItem>
      <errorID>40cb8fb9-9067-430d-8809-f6e24d621996</errorID>
      <errorWord>。</errorWord>
      <group>L1_Punc</group>
      <groupName>标点问题</groupName>
      <ability>L2_Punc</ability>
      <abilityName>标点符号检查</abilityName>
      <candidateList>
        <item/>
      </candidateList>
      <explain>标题文本后不使用标点符号。</explain>
      <paraID>1A73643D</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fe5763-a5d8-4a0e-a045-3af6be0d8382}">
  <ds:schemaRefs/>
</ds:datastoreItem>
</file>

<file path=docProps/app.xml><?xml version="1.0" encoding="utf-8"?>
<Properties xmlns="http://schemas.openxmlformats.org/officeDocument/2006/extended-properties" xmlns:vt="http://schemas.openxmlformats.org/officeDocument/2006/docPropsVTypes">
  <Pages>16</Pages>
  <Words>6570</Words>
  <Characters>7029</Characters>
  <TotalTime>20</TotalTime>
  <ScaleCrop>false</ScaleCrop>
  <LinksUpToDate>false</LinksUpToDate>
  <CharactersWithSpaces>7035</CharactersWithSpaces>
  <Application>WPS Office_10.8.2.6948_F1E327BC-269C-435d-A152-05C5408002CA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2025-12-01T09:30:00Z</dcterms:created>
  <dc:creator>Apache POI</dc:creator>
  <cp:lastModifiedBy>Administrator</cp:lastModifiedBy>
  <cp:lastPrinted>2025-12-03T00:28:00Z</cp:lastPrinted>
  <dcterms:modified xsi:type="dcterms:W3CDTF">2025-12-04T02:53:53Z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eyJoZGlkIjoiMDQ2YzY1NmYwZDQwMTgxNmM0OTU4MzgyYzk5NmNmOWIiLCJ1c2VySWQiOiIyNzA5NjkxOTAifQ==</vt:lpwstr>
  </property>
  <property fmtid="{D5CDD505-2E9C-101B-9397-08002B2CF9AE}" pid="3" name="KSOProductBuildVer">
    <vt:lpwstr>2052-10.8.2.6948</vt:lpwstr>
  </property>
  <property fmtid="{D5CDD505-2E9C-101B-9397-08002B2CF9AE}" pid="4" name="ICV">
    <vt:lpwstr>202C0FEC7CEA4C2BB3FF7777E602FF90_13</vt:lpwstr>
  </property>
</Properties>
</file>