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4A4AD">
      <w:pPr>
        <w:pStyle w:val="2"/>
        <w:spacing w:before="0" w:after="0" w:line="540" w:lineRule="exact"/>
        <w:jc w:val="both"/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附件7</w:t>
      </w:r>
    </w:p>
    <w:p w14:paraId="566C03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25A244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pacing w:val="4"/>
          <w:sz w:val="44"/>
          <w:szCs w:val="44"/>
          <w14:textFill>
            <w14:solidFill>
              <w14:schemeClr w14:val="tx1"/>
            </w14:solidFill>
          </w14:textFill>
        </w:rPr>
        <w:t>柳州市长期护理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color w:val="000000" w:themeColor="text1"/>
          <w:spacing w:val="4"/>
          <w:sz w:val="44"/>
          <w:szCs w:val="44"/>
          <w14:textFill>
            <w14:solidFill>
              <w14:schemeClr w14:val="tx1"/>
            </w14:solidFill>
          </w14:textFill>
        </w:rPr>
        <w:t>保险辅助器具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租用</w:t>
      </w:r>
      <w:r>
        <w:rPr>
          <w:rFonts w:ascii="Times New Roman" w:hAnsi="Times New Roman" w:eastAsia="方正小标宋简体" w:cs="Times New Roman"/>
          <w:bCs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服务目录</w:t>
      </w:r>
    </w:p>
    <w:p w14:paraId="569D6EB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4989" w:type="pct"/>
        <w:tblInd w:w="-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747"/>
        <w:gridCol w:w="4724"/>
        <w:gridCol w:w="1436"/>
        <w:gridCol w:w="3307"/>
        <w:gridCol w:w="2157"/>
        <w:gridCol w:w="2040"/>
      </w:tblGrid>
      <w:tr w14:paraId="79AF0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tblHeader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811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E559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  <w:p w14:paraId="41714B02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0F38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cs="黑体"/>
                <w:color w:val="000000" w:themeColor="text1"/>
                <w:spacing w:val="-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326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w w:val="8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w w:val="8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支付标准</w:t>
            </w:r>
          </w:p>
          <w:p w14:paraId="71991931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w w:val="7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w w:val="8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（元/日）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D4CC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限制范围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E930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规格要求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251E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63D0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4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AA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电动护理床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B6F7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电动调节的多功能护理床使用、维护及指导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F207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0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EF767E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同产品类别、同时段，限租一个产品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4BFA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BD3B23">
            <w:pPr>
              <w:spacing w:line="4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一个自然月内，辅具租用服务费长护险基金支付限额为115元，超过限额的费用由失能人员个人支付。</w:t>
            </w:r>
          </w:p>
        </w:tc>
      </w:tr>
      <w:tr w14:paraId="27E2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F6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0DF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手动护理床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D4F6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手工调节的床和可拆分的床板或床垫支撑台使用、维护及指导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F4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10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4F43E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F9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</w:p>
        </w:tc>
        <w:tc>
          <w:tcPr>
            <w:tcW w:w="6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8431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88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4A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32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多功能手动轮椅车</w:t>
            </w:r>
          </w:p>
        </w:tc>
        <w:tc>
          <w:tcPr>
            <w:tcW w:w="1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09E8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双手驱动轮椅车安装使用、维护及指导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2C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.75</w:t>
            </w:r>
          </w:p>
        </w:tc>
        <w:tc>
          <w:tcPr>
            <w:tcW w:w="10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C12900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同产品类别、同时段，限租一个产品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214B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</w:p>
        </w:tc>
        <w:tc>
          <w:tcPr>
            <w:tcW w:w="6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6184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4E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00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B8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多功能浴厕轮椅车</w:t>
            </w:r>
          </w:p>
        </w:tc>
        <w:tc>
          <w:tcPr>
            <w:tcW w:w="1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A6EE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DE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0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94F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10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</w:p>
        </w:tc>
        <w:tc>
          <w:tcPr>
            <w:tcW w:w="6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E54E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29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4E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ADE8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充气式防褥疮床垫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B56A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充气式防压疮床垫安装使用、维护及指导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B5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2.75</w:t>
            </w:r>
          </w:p>
        </w:tc>
        <w:tc>
          <w:tcPr>
            <w:tcW w:w="10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CAE859">
            <w:pPr>
              <w:spacing w:line="40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同产品类别、同时段，限租一个产品，且与气床垫不重复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111B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</w:p>
        </w:tc>
        <w:tc>
          <w:tcPr>
            <w:tcW w:w="6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7203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A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7E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A3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静态防褥疮床垫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C8CE">
            <w:pPr>
              <w:pStyle w:val="6"/>
              <w:widowControl/>
              <w:kinsoku w:val="0"/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基本型防压疮床垫安装使用、维护及指导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394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F9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1B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符合国家标准</w:t>
            </w:r>
          </w:p>
        </w:tc>
        <w:tc>
          <w:tcPr>
            <w:tcW w:w="6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FD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C0771A"/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943F8"/>
    <w:rsid w:val="5219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5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2026-03-04T07:04:00Z</dcterms:created>
  <dc:creator>橘生淮南</dc:creator>
  <cp:lastModifiedBy>橘生淮南</cp:lastModifiedBy>
  <dcterms:modified xsi:type="dcterms:W3CDTF">2026-03-04T07:05:20Z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B559D5E2ABC9473B942C32D9AABABF8B_11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