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70" w:lineRule="exact"/>
        <w:jc w:val="both"/>
        <w:textAlignment w:val="auto"/>
        <w:rPr>
          <w:rFonts w:hint="eastAsia" w:ascii="黑体" w:hAnsi="黑体" w:eastAsia="黑体" w:cs="励字小标宋简"/>
          <w:kern w:val="2"/>
          <w:sz w:val="32"/>
          <w:szCs w:val="32"/>
          <w:lang w:val="en-US" w:eastAsia="zh-CN" w:bidi="ar-SA"/>
        </w:rPr>
      </w:pPr>
      <w:r>
        <w:rPr>
          <w:rFonts w:hint="eastAsia" w:ascii="黑体" w:hAnsi="黑体" w:eastAsia="黑体" w:cs="励字小标宋简"/>
          <w:kern w:val="2"/>
          <w:sz w:val="32"/>
          <w:szCs w:val="32"/>
          <w:lang w:val="en-US" w:eastAsia="zh-CN" w:bidi="ar-SA"/>
        </w:rPr>
        <w:t>附件</w:t>
      </w:r>
    </w:p>
    <w:p>
      <w:pPr>
        <w:keepNext w:val="0"/>
        <w:keepLines w:val="0"/>
        <w:pageBreakBefore w:val="0"/>
        <w:kinsoku/>
        <w:wordWrap/>
        <w:overflowPunct/>
        <w:topLinePunct w:val="0"/>
        <w:autoSpaceDE/>
        <w:autoSpaceDN/>
        <w:bidi w:val="0"/>
        <w:adjustRightInd/>
        <w:snapToGrid/>
        <w:spacing w:line="570" w:lineRule="exact"/>
        <w:jc w:val="both"/>
        <w:textAlignment w:val="auto"/>
        <w:rPr>
          <w:rFonts w:hint="eastAsia" w:ascii="黑体" w:hAnsi="黑体" w:eastAsia="黑体" w:cs="励字小标宋简"/>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励字小标宋简" w:hAnsi="励字小标宋简" w:eastAsia="励字小标宋简" w:cs="励字小标宋简"/>
          <w:kern w:val="2"/>
          <w:sz w:val="44"/>
          <w:szCs w:val="44"/>
          <w:lang w:val="en-US" w:eastAsia="zh-CN" w:bidi="ar-SA"/>
        </w:rPr>
      </w:pPr>
      <w:r>
        <w:rPr>
          <w:rFonts w:hint="eastAsia" w:ascii="励字小标宋简" w:hAnsi="励字小标宋简" w:eastAsia="励字小标宋简" w:cs="励字小标宋简"/>
          <w:kern w:val="2"/>
          <w:sz w:val="44"/>
          <w:szCs w:val="44"/>
          <w:lang w:val="en-US" w:eastAsia="zh-CN" w:bidi="ar-SA"/>
        </w:rPr>
        <w:t>柳州市医疗救助基金住院总额</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励字小标宋简" w:hAnsi="励字小标宋简" w:eastAsia="励字小标宋简" w:cs="励字小标宋简"/>
          <w:kern w:val="2"/>
          <w:sz w:val="44"/>
          <w:szCs w:val="44"/>
          <w:lang w:val="en-US" w:eastAsia="zh-CN" w:bidi="ar-SA"/>
        </w:rPr>
      </w:pPr>
      <w:r>
        <w:rPr>
          <w:rFonts w:hint="eastAsia" w:ascii="励字小标宋简" w:hAnsi="励字小标宋简" w:eastAsia="励字小标宋简" w:cs="励字小标宋简"/>
          <w:kern w:val="2"/>
          <w:sz w:val="44"/>
          <w:szCs w:val="44"/>
          <w:lang w:val="en-US" w:eastAsia="zh-CN" w:bidi="ar-SA"/>
        </w:rPr>
        <w:t>付费管理指导意见</w:t>
      </w:r>
    </w:p>
    <w:p>
      <w:pPr>
        <w:keepNext w:val="0"/>
        <w:keepLines w:val="0"/>
        <w:pageBreakBefore w:val="0"/>
        <w:kinsoku/>
        <w:wordWrap/>
        <w:overflowPunct/>
        <w:topLinePunct w:val="0"/>
        <w:autoSpaceDE/>
        <w:autoSpaceDN/>
        <w:bidi w:val="0"/>
        <w:adjustRightInd/>
        <w:snapToGrid/>
        <w:spacing w:line="570" w:lineRule="exact"/>
        <w:jc w:val="both"/>
        <w:textAlignment w:val="auto"/>
        <w:rPr>
          <w:rFonts w:hint="eastAsia" w:ascii="励字小标宋简" w:hAnsi="励字小标宋简" w:eastAsia="励字小标宋简" w:cs="励字小标宋简"/>
          <w:kern w:val="2"/>
          <w:sz w:val="44"/>
          <w:szCs w:val="44"/>
          <w:lang w:val="en-US" w:eastAsia="zh-CN" w:bidi="ar-SA"/>
        </w:rPr>
      </w:pP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为规范医疗救助基金管理，筑牢基金安全底线，提升医疗救助基金使用效能，根据《自治区医保局关于进一步优化困难群众就医服务管理切实保障困难群众权益的通知》（桂医保函〔2026〕4 号）、《广西壮族自治区财政厅 广西壮族自治区医疗保障局关于修订〈广西城乡医疗救助基金管理办法〉的通知》（桂财规〔2026〕2号）等文件精神，结合</w:t>
      </w:r>
      <w:r>
        <w:rPr>
          <w:rFonts w:hint="eastAsia" w:ascii="Times New Roman" w:hAnsi="Times New Roman" w:eastAsia="仿宋_GB2312" w:cs="Times New Roman"/>
          <w:kern w:val="2"/>
          <w:sz w:val="32"/>
          <w:szCs w:val="32"/>
          <w:lang w:val="en-US" w:eastAsia="zh-CN" w:bidi="ar-SA"/>
        </w:rPr>
        <w:t>柳州</w:t>
      </w:r>
      <w:r>
        <w:rPr>
          <w:rFonts w:ascii="Times New Roman" w:hAnsi="Times New Roman" w:eastAsia="仿宋_GB2312" w:cs="Times New Roman"/>
          <w:kern w:val="2"/>
          <w:sz w:val="32"/>
          <w:szCs w:val="32"/>
          <w:lang w:val="en-US" w:eastAsia="zh-CN" w:bidi="ar-SA"/>
        </w:rPr>
        <w:t>市医疗救助基金收支预算、各救助定点医疗机构服务能力与运行实际，现就推行医疗救助基金住院总额付费管理，提出如下指导意见。</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黑体" w:hAnsi="黑体" w:eastAsia="黑体" w:cs="黑体"/>
          <w:kern w:val="2"/>
          <w:sz w:val="32"/>
          <w:szCs w:val="32"/>
          <w:lang w:val="en-US" w:eastAsia="zh-CN" w:bidi="ar-SA"/>
        </w:rPr>
      </w:pPr>
      <w:bookmarkStart w:id="0" w:name="heading_0"/>
      <w:r>
        <w:rPr>
          <w:rFonts w:hint="eastAsia" w:ascii="黑体" w:hAnsi="黑体" w:eastAsia="黑体" w:cs="黑体"/>
          <w:kern w:val="2"/>
          <w:sz w:val="32"/>
          <w:szCs w:val="32"/>
          <w:lang w:val="en-US" w:eastAsia="zh-CN" w:bidi="ar-SA"/>
        </w:rPr>
        <w:t>一、</w:t>
      </w:r>
      <w:bookmarkEnd w:id="0"/>
      <w:r>
        <w:rPr>
          <w:rFonts w:hint="eastAsia" w:ascii="黑体" w:hAnsi="黑体" w:eastAsia="黑体" w:cs="黑体"/>
          <w:kern w:val="2"/>
          <w:sz w:val="32"/>
          <w:szCs w:val="32"/>
          <w:lang w:val="en-US" w:eastAsia="zh-CN" w:bidi="ar-SA"/>
        </w:rPr>
        <w:t>指导思想</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sz w:val="32"/>
          <w:szCs w:val="32"/>
        </w:rPr>
        <w:t>深入贯彻落实国家医疗救助工作总体指导思想</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sz w:val="32"/>
          <w:szCs w:val="32"/>
        </w:rPr>
        <w:t>按照“严格预算、以收定支、总额付费、超支不补”的原则</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sz w:val="32"/>
          <w:szCs w:val="32"/>
        </w:rPr>
        <w:t>通过在县级统筹基础上开展全市范围的救助基金住院总额付费管理工作</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逐步建立</w:t>
      </w:r>
      <w:r>
        <w:rPr>
          <w:rFonts w:ascii="Times New Roman" w:hAnsi="Times New Roman" w:eastAsia="仿宋_GB2312" w:cs="Times New Roman"/>
          <w:kern w:val="2"/>
          <w:sz w:val="32"/>
          <w:szCs w:val="32"/>
          <w:lang w:val="en-US" w:eastAsia="zh-CN" w:bidi="ar-SA"/>
        </w:rPr>
        <w:t>以保障医疗服务质量、规范诊疗行为为核心的救助服务评价与监管体系，</w:t>
      </w:r>
      <w:r>
        <w:rPr>
          <w:rFonts w:hint="eastAsia" w:ascii="Times New Roman" w:hAnsi="Times New Roman" w:eastAsia="仿宋_GB2312" w:cs="Times New Roman"/>
          <w:sz w:val="32"/>
          <w:szCs w:val="32"/>
        </w:rPr>
        <w:t>控制救助费用过快增长</w:t>
      </w:r>
      <w:r>
        <w:rPr>
          <w:rFonts w:ascii="Times New Roman" w:hAnsi="Times New Roman" w:eastAsia="仿宋_GB2312" w:cs="Times New Roman"/>
          <w:kern w:val="2"/>
          <w:sz w:val="32"/>
          <w:szCs w:val="32"/>
          <w:lang w:val="en-US" w:eastAsia="zh-CN" w:bidi="ar-SA"/>
        </w:rPr>
        <w:t>，切实减轻救助对象医药负担。</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黑体" w:hAnsi="黑体" w:eastAsia="黑体" w:cs="黑体"/>
          <w:sz w:val="32"/>
          <w:szCs w:val="32"/>
        </w:rPr>
        <w:t>二、基本原则</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 w:eastAsia="楷体_GB2312" w:cs="楷体"/>
          <w:b w:val="0"/>
          <w:bCs w:val="0"/>
          <w:kern w:val="2"/>
          <w:sz w:val="32"/>
          <w:szCs w:val="32"/>
          <w:lang w:val="en-US" w:eastAsia="zh-CN" w:bidi="ar-SA"/>
        </w:rPr>
      </w:pPr>
      <w:bookmarkStart w:id="1" w:name="heading_1"/>
      <w:r>
        <w:rPr>
          <w:rFonts w:hint="eastAsia" w:ascii="楷体_GB2312" w:hAnsi="楷体" w:eastAsia="楷体_GB2312" w:cs="楷体"/>
          <w:b w:val="0"/>
          <w:bCs w:val="0"/>
          <w:kern w:val="2"/>
          <w:sz w:val="32"/>
          <w:szCs w:val="32"/>
          <w:lang w:val="en-US" w:eastAsia="zh-CN" w:bidi="ar-SA"/>
        </w:rPr>
        <w:t>（一）保障基本，可持续运行</w:t>
      </w:r>
      <w:bookmarkEnd w:id="1"/>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坚守以收定支、收支平衡底线，维护医疗救助基金安全可持续。优先保障救助对象基本就医</w:t>
      </w:r>
      <w:r>
        <w:rPr>
          <w:rFonts w:hint="eastAsia" w:ascii="Times New Roman" w:hAnsi="Times New Roman" w:eastAsia="仿宋_GB2312" w:cs="Times New Roman"/>
          <w:kern w:val="2"/>
          <w:sz w:val="32"/>
          <w:szCs w:val="32"/>
          <w:lang w:val="en-US" w:eastAsia="zh-CN" w:bidi="ar-SA"/>
        </w:rPr>
        <w:t>需求</w:t>
      </w:r>
      <w:r>
        <w:rPr>
          <w:rFonts w:ascii="Times New Roman" w:hAnsi="Times New Roman" w:eastAsia="仿宋_GB2312" w:cs="Times New Roman"/>
          <w:kern w:val="2"/>
          <w:sz w:val="32"/>
          <w:szCs w:val="32"/>
          <w:lang w:val="en-US" w:eastAsia="zh-CN" w:bidi="ar-SA"/>
        </w:rPr>
        <w:t>，压实救助定点医疗机构内部管控责任，促进医疗卫生资源科学配置、高效利用。</w:t>
      </w:r>
    </w:p>
    <w:p>
      <w:pPr>
        <w:pStyle w:val="2"/>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ascii="楷体_GB2312" w:hAnsi="楷体" w:eastAsia="楷体_GB2312" w:cs="楷体"/>
          <w:b w:val="0"/>
          <w:bCs w:val="0"/>
          <w:kern w:val="2"/>
          <w:sz w:val="32"/>
          <w:szCs w:val="32"/>
          <w:lang w:val="en-US" w:eastAsia="zh-CN" w:bidi="ar-SA"/>
        </w:rPr>
      </w:pPr>
      <w:bookmarkStart w:id="2" w:name="heading_2"/>
      <w:r>
        <w:rPr>
          <w:rFonts w:ascii="楷体_GB2312" w:hAnsi="楷体" w:eastAsia="楷体_GB2312" w:cs="楷体"/>
          <w:b w:val="0"/>
          <w:bCs w:val="0"/>
          <w:kern w:val="2"/>
          <w:sz w:val="32"/>
          <w:szCs w:val="32"/>
          <w:lang w:val="en-US" w:eastAsia="zh-CN" w:bidi="ar-SA"/>
        </w:rPr>
        <w:t>（二）科学测算，合理核定额度</w:t>
      </w:r>
      <w:bookmarkEnd w:id="2"/>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立足救助定点医疗机构历史运行数据、医疗救助基金历年支出规模、年度基金预算目标，充分兼顾药品耗材集中采购、医疗服务价格调整等政策变化因素，开展总额指标测算，科学确定付费额度。</w:t>
      </w:r>
    </w:p>
    <w:p>
      <w:pPr>
        <w:pStyle w:val="2"/>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ascii="楷体_GB2312" w:hAnsi="楷体" w:eastAsia="楷体_GB2312" w:cs="楷体"/>
          <w:b w:val="0"/>
          <w:bCs w:val="0"/>
          <w:kern w:val="2"/>
          <w:sz w:val="32"/>
          <w:szCs w:val="32"/>
          <w:lang w:val="en-US" w:eastAsia="zh-CN" w:bidi="ar-SA"/>
        </w:rPr>
      </w:pPr>
      <w:bookmarkStart w:id="3" w:name="heading_3"/>
      <w:r>
        <w:rPr>
          <w:rFonts w:ascii="楷体_GB2312" w:hAnsi="楷体" w:eastAsia="楷体_GB2312" w:cs="楷体"/>
          <w:b w:val="0"/>
          <w:bCs w:val="0"/>
          <w:kern w:val="2"/>
          <w:sz w:val="32"/>
          <w:szCs w:val="32"/>
          <w:lang w:val="en-US" w:eastAsia="zh-CN" w:bidi="ar-SA"/>
        </w:rPr>
        <w:t>（三）公开透明，强化社会监督</w:t>
      </w:r>
      <w:bookmarkEnd w:id="3"/>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总额付费管理程序公开</w:t>
      </w:r>
      <w:r>
        <w:rPr>
          <w:rFonts w:hint="eastAsia" w:ascii="Times New Roman" w:hAnsi="Times New Roman" w:eastAsia="仿宋_GB2312" w:cs="Times New Roman"/>
          <w:kern w:val="2"/>
          <w:sz w:val="32"/>
          <w:szCs w:val="32"/>
          <w:lang w:val="en-US" w:eastAsia="zh-CN" w:bidi="ar-SA"/>
        </w:rPr>
        <w:t>透明</w:t>
      </w:r>
      <w:r>
        <w:rPr>
          <w:rFonts w:ascii="Times New Roman" w:hAnsi="Times New Roman" w:eastAsia="仿宋_GB2312" w:cs="Times New Roman"/>
          <w:kern w:val="2"/>
          <w:sz w:val="32"/>
          <w:szCs w:val="32"/>
          <w:lang w:val="en-US" w:eastAsia="zh-CN" w:bidi="ar-SA"/>
        </w:rPr>
        <w:t>，定期通报总额付费执行情况和全市运行数据，主动接受各方监督。</w:t>
      </w:r>
      <w:bookmarkStart w:id="4" w:name="heading_4"/>
    </w:p>
    <w:p>
      <w:pPr>
        <w:pStyle w:val="2"/>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hint="eastAsia" w:ascii="楷体_GB2312" w:hAnsi="楷体" w:eastAsia="楷体_GB2312" w:cs="楷体"/>
          <w:b w:val="0"/>
          <w:bCs w:val="0"/>
          <w:kern w:val="2"/>
          <w:sz w:val="32"/>
          <w:szCs w:val="32"/>
          <w:lang w:val="en-US" w:eastAsia="zh-CN" w:bidi="ar-SA"/>
        </w:rPr>
      </w:pPr>
      <w:r>
        <w:rPr>
          <w:rFonts w:hint="eastAsia" w:ascii="楷体_GB2312" w:hAnsi="楷体" w:eastAsia="楷体_GB2312" w:cs="楷体"/>
          <w:b w:val="0"/>
          <w:bCs w:val="0"/>
          <w:kern w:val="2"/>
          <w:sz w:val="32"/>
          <w:szCs w:val="32"/>
          <w:lang w:val="en-US" w:eastAsia="zh-CN" w:bidi="ar-SA"/>
        </w:rPr>
        <w:t>（四）</w:t>
      </w:r>
      <w:r>
        <w:rPr>
          <w:rFonts w:ascii="楷体_GB2312" w:hAnsi="楷体" w:eastAsia="楷体_GB2312" w:cs="楷体"/>
          <w:b w:val="0"/>
          <w:bCs w:val="0"/>
          <w:kern w:val="2"/>
          <w:sz w:val="32"/>
          <w:szCs w:val="32"/>
          <w:lang w:val="en-US" w:eastAsia="zh-CN" w:bidi="ar-SA"/>
        </w:rPr>
        <w:t>协同联动，</w:t>
      </w:r>
      <w:bookmarkEnd w:id="4"/>
      <w:r>
        <w:rPr>
          <w:rFonts w:hint="eastAsia" w:ascii="楷体_GB2312" w:hAnsi="楷体" w:eastAsia="楷体_GB2312" w:cs="楷体"/>
          <w:b w:val="0"/>
          <w:bCs w:val="0"/>
          <w:kern w:val="2"/>
          <w:sz w:val="32"/>
          <w:szCs w:val="32"/>
          <w:lang w:val="en-US" w:eastAsia="zh-CN" w:bidi="ar-SA"/>
        </w:rPr>
        <w:t>强化机构管理</w:t>
      </w:r>
    </w:p>
    <w:p>
      <w:pPr>
        <w:keepNext w:val="0"/>
        <w:keepLines w:val="0"/>
        <w:pageBreakBefore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强化市、县（区）协同联动，做</w:t>
      </w:r>
      <w:r>
        <w:rPr>
          <w:rFonts w:hint="eastAsia" w:ascii="Times New Roman" w:hAnsi="Times New Roman" w:eastAsia="仿宋_GB2312" w:cs="Times New Roman"/>
          <w:kern w:val="2"/>
          <w:sz w:val="32"/>
          <w:szCs w:val="32"/>
          <w:lang w:val="en-US" w:eastAsia="zh-CN" w:bidi="ar-SA"/>
        </w:rPr>
        <w:t>好</w:t>
      </w:r>
      <w:r>
        <w:rPr>
          <w:rFonts w:ascii="Times New Roman" w:hAnsi="Times New Roman" w:eastAsia="仿宋_GB2312" w:cs="Times New Roman"/>
          <w:kern w:val="2"/>
          <w:sz w:val="32"/>
          <w:szCs w:val="32"/>
          <w:lang w:val="en-US" w:eastAsia="zh-CN" w:bidi="ar-SA"/>
        </w:rPr>
        <w:t>全市统筹工作。综合</w:t>
      </w:r>
      <w:bookmarkStart w:id="24" w:name="_GoBack"/>
      <w:bookmarkEnd w:id="24"/>
      <w:r>
        <w:rPr>
          <w:rFonts w:ascii="Times New Roman" w:hAnsi="Times New Roman" w:eastAsia="仿宋_GB2312" w:cs="Times New Roman"/>
          <w:kern w:val="2"/>
          <w:sz w:val="32"/>
          <w:szCs w:val="32"/>
          <w:lang w:val="en-US" w:eastAsia="zh-CN" w:bidi="ar-SA"/>
        </w:rPr>
        <w:t>运用数据监测、稽核稽查等手段，压实基金监管责任，确保实施</w:t>
      </w:r>
      <w:r>
        <w:rPr>
          <w:rFonts w:ascii="Times New Roman" w:hAnsi="Times New Roman" w:eastAsia="仿宋_GB2312" w:cs="Times New Roman"/>
          <w:spacing w:val="-6"/>
          <w:kern w:val="2"/>
          <w:sz w:val="32"/>
          <w:szCs w:val="32"/>
          <w:lang w:val="en-US" w:eastAsia="zh-CN" w:bidi="ar-SA"/>
        </w:rPr>
        <w:t>总额付费</w:t>
      </w:r>
      <w:r>
        <w:rPr>
          <w:rFonts w:hint="eastAsia" w:ascii="Times New Roman" w:hAnsi="Times New Roman" w:eastAsia="仿宋_GB2312" w:cs="Times New Roman"/>
          <w:spacing w:val="-6"/>
          <w:kern w:val="2"/>
          <w:sz w:val="32"/>
          <w:szCs w:val="32"/>
          <w:lang w:val="en-US" w:eastAsia="zh-CN" w:bidi="ar-SA"/>
        </w:rPr>
        <w:t>管理</w:t>
      </w:r>
      <w:r>
        <w:rPr>
          <w:rFonts w:ascii="Times New Roman" w:hAnsi="Times New Roman" w:eastAsia="仿宋_GB2312" w:cs="Times New Roman"/>
          <w:spacing w:val="-6"/>
          <w:kern w:val="2"/>
          <w:sz w:val="32"/>
          <w:szCs w:val="32"/>
          <w:lang w:val="en-US" w:eastAsia="zh-CN" w:bidi="ar-SA"/>
        </w:rPr>
        <w:t>后</w:t>
      </w:r>
      <w:r>
        <w:rPr>
          <w:rFonts w:hint="eastAsia" w:ascii="Times New Roman" w:hAnsi="Times New Roman" w:eastAsia="仿宋_GB2312" w:cs="Times New Roman"/>
          <w:spacing w:val="-6"/>
          <w:kern w:val="2"/>
          <w:sz w:val="32"/>
          <w:szCs w:val="32"/>
          <w:lang w:val="en-US" w:eastAsia="zh-CN" w:bidi="ar-SA"/>
        </w:rPr>
        <w:t>总体</w:t>
      </w:r>
      <w:r>
        <w:rPr>
          <w:rFonts w:ascii="Times New Roman" w:hAnsi="Times New Roman" w:eastAsia="仿宋_GB2312" w:cs="Times New Roman"/>
          <w:spacing w:val="-6"/>
          <w:kern w:val="2"/>
          <w:sz w:val="32"/>
          <w:szCs w:val="32"/>
          <w:lang w:val="en-US" w:eastAsia="zh-CN" w:bidi="ar-SA"/>
        </w:rPr>
        <w:t>医疗服务</w:t>
      </w:r>
      <w:r>
        <w:rPr>
          <w:rFonts w:hint="eastAsia" w:ascii="Times New Roman" w:hAnsi="Times New Roman" w:eastAsia="仿宋_GB2312" w:cs="Times New Roman"/>
          <w:spacing w:val="-6"/>
          <w:kern w:val="2"/>
          <w:sz w:val="32"/>
          <w:szCs w:val="32"/>
          <w:lang w:val="en-US" w:eastAsia="zh-CN" w:bidi="ar-SA"/>
        </w:rPr>
        <w:t>水平</w:t>
      </w:r>
      <w:r>
        <w:rPr>
          <w:rFonts w:ascii="Times New Roman" w:hAnsi="Times New Roman" w:eastAsia="仿宋_GB2312" w:cs="Times New Roman"/>
          <w:spacing w:val="-6"/>
          <w:kern w:val="2"/>
          <w:sz w:val="32"/>
          <w:szCs w:val="32"/>
          <w:lang w:val="en-US" w:eastAsia="zh-CN" w:bidi="ar-SA"/>
        </w:rPr>
        <w:t>不</w:t>
      </w:r>
      <w:r>
        <w:rPr>
          <w:rFonts w:hint="eastAsia" w:ascii="Times New Roman" w:hAnsi="Times New Roman" w:eastAsia="仿宋_GB2312" w:cs="Times New Roman"/>
          <w:spacing w:val="-6"/>
          <w:kern w:val="2"/>
          <w:sz w:val="32"/>
          <w:szCs w:val="32"/>
          <w:lang w:val="en-US" w:eastAsia="zh-CN" w:bidi="ar-SA"/>
        </w:rPr>
        <w:t>降低</w:t>
      </w:r>
      <w:r>
        <w:rPr>
          <w:rFonts w:ascii="Times New Roman" w:hAnsi="Times New Roman" w:eastAsia="仿宋_GB2312" w:cs="Times New Roman"/>
          <w:spacing w:val="-6"/>
          <w:kern w:val="2"/>
          <w:sz w:val="32"/>
          <w:szCs w:val="32"/>
          <w:lang w:val="en-US" w:eastAsia="zh-CN" w:bidi="ar-SA"/>
        </w:rPr>
        <w:t>、</w:t>
      </w:r>
      <w:r>
        <w:rPr>
          <w:rFonts w:ascii="Times New Roman" w:hAnsi="Times New Roman" w:eastAsia="仿宋_GB2312" w:cs="Times New Roman"/>
          <w:spacing w:val="-6"/>
          <w:sz w:val="32"/>
          <w:szCs w:val="32"/>
        </w:rPr>
        <w:t>群众享受待遇有保障</w:t>
      </w:r>
      <w:r>
        <w:rPr>
          <w:rFonts w:ascii="Times New Roman" w:hAnsi="Times New Roman" w:eastAsia="仿宋_GB2312" w:cs="Times New Roman"/>
          <w:spacing w:val="-6"/>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黑体" w:hAnsi="黑体" w:eastAsia="黑体" w:cs="黑体"/>
          <w:kern w:val="2"/>
          <w:sz w:val="32"/>
          <w:szCs w:val="32"/>
          <w:lang w:val="en-US" w:eastAsia="zh-CN" w:bidi="ar-SA"/>
        </w:rPr>
      </w:pPr>
      <w:bookmarkStart w:id="5" w:name="heading_5"/>
      <w:r>
        <w:rPr>
          <w:rFonts w:hint="eastAsia" w:ascii="黑体" w:hAnsi="黑体" w:eastAsia="黑体" w:cs="黑体"/>
          <w:kern w:val="2"/>
          <w:sz w:val="32"/>
          <w:szCs w:val="32"/>
          <w:lang w:val="en-US" w:eastAsia="zh-CN" w:bidi="ar-SA"/>
        </w:rPr>
        <w:t>三、实施范围</w:t>
      </w:r>
      <w:bookmarkEnd w:id="5"/>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楷体_GB2312" w:hAnsi="楷体" w:eastAsia="楷体_GB2312" w:cs="楷体"/>
          <w:b w:val="0"/>
          <w:bCs w:val="0"/>
          <w:kern w:val="2"/>
          <w:sz w:val="32"/>
          <w:szCs w:val="32"/>
        </w:rPr>
      </w:pPr>
      <w:bookmarkStart w:id="6" w:name="heading_6"/>
      <w:r>
        <w:rPr>
          <w:rFonts w:ascii="楷体_GB2312" w:hAnsi="楷体" w:eastAsia="楷体_GB2312" w:cs="楷体"/>
          <w:b w:val="0"/>
          <w:bCs w:val="0"/>
          <w:kern w:val="2"/>
          <w:sz w:val="32"/>
          <w:szCs w:val="32"/>
          <w:lang w:val="en-US" w:eastAsia="zh-CN"/>
        </w:rPr>
        <w:t>（一）</w:t>
      </w:r>
      <w:bookmarkEnd w:id="6"/>
      <w:r>
        <w:rPr>
          <w:rFonts w:ascii="楷体_GB2312" w:hAnsi="楷体" w:eastAsia="楷体_GB2312" w:cs="楷体"/>
          <w:b w:val="0"/>
          <w:bCs w:val="0"/>
          <w:kern w:val="2"/>
          <w:sz w:val="32"/>
          <w:szCs w:val="32"/>
        </w:rPr>
        <w:t>覆盖的人员类型</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楷体_GB2312" w:hAnsi="楷体" w:eastAsia="楷体_GB2312" w:cs="楷体"/>
          <w:b w:val="0"/>
          <w:bCs w:val="0"/>
          <w:kern w:val="2"/>
          <w:sz w:val="32"/>
          <w:szCs w:val="32"/>
          <w:lang w:val="en-US" w:eastAsia="zh-CN"/>
        </w:rPr>
      </w:pPr>
      <w:r>
        <w:rPr>
          <w:rFonts w:ascii="Times New Roman" w:hAnsi="Times New Roman" w:eastAsia="仿宋_GB2312" w:cs="Times New Roman"/>
          <w:kern w:val="2"/>
          <w:sz w:val="32"/>
          <w:szCs w:val="32"/>
          <w:lang w:val="en-US" w:eastAsia="zh-CN" w:bidi="ar-SA"/>
        </w:rPr>
        <w:t>除稳定脱贫人口以外的</w:t>
      </w:r>
      <w:r>
        <w:rPr>
          <w:rFonts w:hint="eastAsia" w:ascii="Times New Roman" w:hAnsi="Times New Roman" w:eastAsia="仿宋_GB2312" w:cs="Times New Roman"/>
          <w:kern w:val="2"/>
          <w:sz w:val="32"/>
          <w:szCs w:val="32"/>
          <w:lang w:val="en-US" w:eastAsia="zh-CN" w:bidi="ar-SA"/>
        </w:rPr>
        <w:t>其余</w:t>
      </w:r>
      <w:r>
        <w:rPr>
          <w:rFonts w:ascii="Times New Roman" w:hAnsi="Times New Roman" w:eastAsia="仿宋_GB2312" w:cs="Times New Roman"/>
          <w:kern w:val="2"/>
          <w:sz w:val="32"/>
          <w:szCs w:val="32"/>
          <w:lang w:val="en-US" w:eastAsia="zh-CN" w:bidi="ar-SA"/>
        </w:rPr>
        <w:t>救助对象。</w:t>
      </w:r>
      <w:bookmarkStart w:id="7" w:name="heading_7"/>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楷体_GB2312" w:hAnsi="楷体" w:eastAsia="楷体_GB2312" w:cs="楷体"/>
          <w:b w:val="0"/>
          <w:bCs w:val="0"/>
          <w:kern w:val="2"/>
          <w:sz w:val="32"/>
          <w:szCs w:val="32"/>
          <w:lang w:val="en-US" w:eastAsia="zh-CN"/>
        </w:rPr>
      </w:pPr>
      <w:r>
        <w:rPr>
          <w:rFonts w:ascii="楷体_GB2312" w:hAnsi="楷体" w:eastAsia="楷体_GB2312" w:cs="楷体"/>
          <w:b w:val="0"/>
          <w:bCs w:val="0"/>
          <w:kern w:val="2"/>
          <w:sz w:val="32"/>
          <w:szCs w:val="32"/>
          <w:lang w:val="en-US" w:eastAsia="zh-CN"/>
        </w:rPr>
        <w:t>（二）</w:t>
      </w:r>
      <w:bookmarkEnd w:id="7"/>
      <w:r>
        <w:rPr>
          <w:rFonts w:ascii="楷体_GB2312" w:hAnsi="楷体" w:eastAsia="楷体_GB2312" w:cs="楷体"/>
          <w:b w:val="0"/>
          <w:bCs w:val="0"/>
          <w:kern w:val="2"/>
          <w:sz w:val="32"/>
          <w:szCs w:val="32"/>
          <w:lang w:val="en-US" w:eastAsia="zh-CN"/>
        </w:rPr>
        <w:t>覆盖结算类型</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将</w:t>
      </w:r>
      <w:r>
        <w:rPr>
          <w:rFonts w:ascii="Times New Roman" w:hAnsi="Times New Roman" w:eastAsia="仿宋_GB2312" w:cs="Times New Roman"/>
          <w:kern w:val="2"/>
          <w:sz w:val="32"/>
          <w:szCs w:val="32"/>
          <w:lang w:val="en-US" w:eastAsia="zh-CN" w:bidi="ar-SA"/>
        </w:rPr>
        <w:t>柳州市</w:t>
      </w:r>
      <w:r>
        <w:rPr>
          <w:rFonts w:hint="eastAsia" w:ascii="Times New Roman" w:hAnsi="Times New Roman" w:eastAsia="仿宋_GB2312" w:cs="Times New Roman"/>
          <w:kern w:val="2"/>
          <w:sz w:val="32"/>
          <w:szCs w:val="32"/>
          <w:lang w:val="en-US" w:eastAsia="zh-CN" w:bidi="ar-SA"/>
        </w:rPr>
        <w:t>范</w:t>
      </w:r>
      <w:r>
        <w:rPr>
          <w:rFonts w:hint="eastAsia" w:ascii="仿宋_GB2312" w:hAnsi="仿宋_GB2312" w:eastAsia="仿宋_GB2312" w:cs="仿宋_GB2312"/>
          <w:kern w:val="2"/>
          <w:sz w:val="32"/>
          <w:szCs w:val="32"/>
          <w:lang w:val="en-US" w:eastAsia="zh-CN" w:bidi="ar-SA"/>
        </w:rPr>
        <w:t>围内实行“一站式”结</w:t>
      </w:r>
      <w:r>
        <w:rPr>
          <w:rFonts w:ascii="Times New Roman" w:hAnsi="Times New Roman" w:eastAsia="仿宋_GB2312" w:cs="Times New Roman"/>
          <w:kern w:val="2"/>
          <w:sz w:val="32"/>
          <w:szCs w:val="32"/>
          <w:lang w:val="en-US" w:eastAsia="zh-CN" w:bidi="ar-SA"/>
        </w:rPr>
        <w:t>算的全部住院</w:t>
      </w:r>
      <w:r>
        <w:rPr>
          <w:rFonts w:hint="eastAsia" w:ascii="Times New Roman" w:hAnsi="Times New Roman" w:eastAsia="仿宋_GB2312" w:cs="Times New Roman"/>
          <w:kern w:val="2"/>
          <w:sz w:val="32"/>
          <w:szCs w:val="32"/>
          <w:lang w:val="en-US" w:eastAsia="zh-CN" w:bidi="ar-SA"/>
        </w:rPr>
        <w:t>类型</w:t>
      </w:r>
      <w:r>
        <w:rPr>
          <w:rFonts w:ascii="Times New Roman" w:hAnsi="Times New Roman" w:eastAsia="仿宋_GB2312" w:cs="Times New Roman"/>
          <w:kern w:val="2"/>
          <w:sz w:val="32"/>
          <w:szCs w:val="32"/>
          <w:lang w:val="en-US" w:eastAsia="zh-CN" w:bidi="ar-SA"/>
        </w:rPr>
        <w:t>纳入</w:t>
      </w:r>
      <w:r>
        <w:rPr>
          <w:rFonts w:hint="eastAsia" w:ascii="Times New Roman" w:hAnsi="Times New Roman" w:eastAsia="仿宋_GB2312" w:cs="Times New Roman"/>
          <w:kern w:val="2"/>
          <w:sz w:val="32"/>
          <w:szCs w:val="32"/>
          <w:lang w:val="en-US" w:eastAsia="zh-CN" w:bidi="ar-SA"/>
        </w:rPr>
        <w:t>医疗救助基金</w:t>
      </w:r>
      <w:r>
        <w:rPr>
          <w:rFonts w:ascii="Times New Roman" w:hAnsi="Times New Roman" w:eastAsia="仿宋_GB2312" w:cs="Times New Roman"/>
          <w:kern w:val="2"/>
          <w:sz w:val="32"/>
          <w:szCs w:val="32"/>
          <w:lang w:val="en-US" w:eastAsia="zh-CN" w:bidi="ar-SA"/>
        </w:rPr>
        <w:t>住院总额付费管理范畴。</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楷体_GB2312" w:hAnsi="楷体" w:eastAsia="楷体_GB2312" w:cs="楷体"/>
          <w:b w:val="0"/>
          <w:bCs w:val="0"/>
          <w:kern w:val="2"/>
          <w:sz w:val="32"/>
          <w:szCs w:val="32"/>
          <w:lang w:val="en-US" w:eastAsia="zh-CN"/>
        </w:rPr>
      </w:pPr>
      <w:bookmarkStart w:id="8" w:name="heading_8"/>
      <w:r>
        <w:rPr>
          <w:rFonts w:ascii="楷体_GB2312" w:hAnsi="楷体" w:eastAsia="楷体_GB2312" w:cs="楷体"/>
          <w:b w:val="0"/>
          <w:bCs w:val="0"/>
          <w:kern w:val="2"/>
          <w:sz w:val="32"/>
          <w:szCs w:val="32"/>
          <w:lang w:val="en-US" w:eastAsia="zh-CN"/>
        </w:rPr>
        <w:t>（三）</w:t>
      </w:r>
      <w:bookmarkEnd w:id="8"/>
      <w:r>
        <w:rPr>
          <w:rFonts w:ascii="楷体_GB2312" w:hAnsi="楷体" w:eastAsia="楷体_GB2312" w:cs="楷体"/>
          <w:b w:val="0"/>
          <w:bCs w:val="0"/>
          <w:kern w:val="2"/>
          <w:sz w:val="32"/>
          <w:szCs w:val="32"/>
          <w:lang w:val="en-US" w:eastAsia="zh-CN"/>
        </w:rPr>
        <w:t>覆盖的医疗机构</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除乡镇卫生院（含村卫生室）、社区卫生服务中心、社区卫生服务站、年度5000元以下救助支出医疗机构外，其余柳州市内救助定点医疗机构均纳入实施范畴。</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楷体_GB2312" w:cs="Times New Roman"/>
          <w:sz w:val="32"/>
          <w:szCs w:val="32"/>
          <w:lang w:val="en-US" w:eastAsia="zh-CN"/>
        </w:rPr>
      </w:pPr>
      <w:r>
        <w:rPr>
          <w:rFonts w:ascii="楷体_GB2312" w:hAnsi="楷体" w:eastAsia="楷体_GB2312" w:cs="楷体"/>
          <w:b w:val="0"/>
          <w:bCs w:val="0"/>
          <w:kern w:val="2"/>
          <w:sz w:val="32"/>
          <w:szCs w:val="32"/>
        </w:rPr>
        <w:t>（四）突发疫情及自然灾害导致的住院治疗不纳入总额付费管理</w:t>
      </w:r>
      <w:r>
        <w:rPr>
          <w:rFonts w:hint="eastAsia" w:ascii="楷体_GB2312" w:hAnsi="楷体" w:eastAsia="楷体_GB2312" w:cs="楷体"/>
          <w:b w:val="0"/>
          <w:bCs w:val="0"/>
          <w:kern w:val="2"/>
          <w:sz w:val="32"/>
          <w:szCs w:val="32"/>
          <w:lang w:eastAsia="zh-CN"/>
        </w:rPr>
        <w:t>。</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黑体" w:hAnsi="黑体" w:eastAsia="黑体" w:cs="黑体"/>
          <w:kern w:val="2"/>
          <w:sz w:val="32"/>
          <w:szCs w:val="32"/>
          <w:lang w:val="en-US" w:eastAsia="zh-CN" w:bidi="ar-SA"/>
        </w:rPr>
      </w:pPr>
      <w:bookmarkStart w:id="9" w:name="heading_9"/>
      <w:r>
        <w:rPr>
          <w:rFonts w:hint="eastAsia" w:ascii="黑体" w:hAnsi="黑体" w:eastAsia="黑体" w:cs="黑体"/>
          <w:kern w:val="2"/>
          <w:sz w:val="32"/>
          <w:szCs w:val="32"/>
          <w:lang w:val="en-US" w:eastAsia="zh-CN" w:bidi="ar-SA"/>
        </w:rPr>
        <w:t>四、总额付费测算指引</w:t>
      </w:r>
      <w:bookmarkEnd w:id="9"/>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color w:val="auto"/>
          <w:sz w:val="32"/>
          <w:szCs w:val="32"/>
        </w:rPr>
        <w:t>为确保区域公平、缩小县区差异，</w:t>
      </w:r>
      <w:r>
        <w:rPr>
          <w:rFonts w:ascii="Times New Roman" w:hAnsi="Times New Roman" w:eastAsia="仿宋_GB2312" w:cs="Times New Roman"/>
          <w:kern w:val="2"/>
          <w:sz w:val="32"/>
          <w:szCs w:val="32"/>
          <w:lang w:val="en-US" w:eastAsia="zh-CN" w:bidi="ar-SA"/>
        </w:rPr>
        <w:t>全市</w:t>
      </w:r>
      <w:r>
        <w:rPr>
          <w:rFonts w:hint="eastAsia" w:ascii="Times New Roman" w:hAnsi="Times New Roman" w:eastAsia="仿宋_GB2312" w:cs="Times New Roman"/>
          <w:kern w:val="2"/>
          <w:sz w:val="32"/>
          <w:szCs w:val="32"/>
          <w:lang w:val="en-US" w:eastAsia="zh-CN" w:bidi="ar-SA"/>
        </w:rPr>
        <w:t>采用</w:t>
      </w:r>
      <w:r>
        <w:rPr>
          <w:rFonts w:ascii="Times New Roman" w:hAnsi="Times New Roman" w:eastAsia="仿宋_GB2312" w:cs="Times New Roman"/>
          <w:kern w:val="2"/>
          <w:sz w:val="32"/>
          <w:szCs w:val="32"/>
          <w:lang w:val="en-US" w:eastAsia="zh-CN" w:bidi="ar-SA"/>
        </w:rPr>
        <w:t>统一测算逻辑，按照</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基金区域总额定量、机构等级总体划分、各统筹区定额累加</w:t>
      </w:r>
      <w:r>
        <w:rPr>
          <w:rFonts w:hint="eastAsia" w:ascii="Times New Roman" w:hAnsi="Times New Roman" w:eastAsia="仿宋_GB2312" w:cs="Times New Roman"/>
          <w:kern w:val="2"/>
          <w:sz w:val="32"/>
          <w:szCs w:val="32"/>
          <w:lang w:val="en-US" w:eastAsia="zh-CN" w:bidi="ar-SA"/>
        </w:rPr>
        <w:t>”的</w:t>
      </w:r>
      <w:r>
        <w:rPr>
          <w:rFonts w:ascii="Times New Roman" w:hAnsi="Times New Roman" w:eastAsia="仿宋_GB2312" w:cs="Times New Roman"/>
          <w:kern w:val="2"/>
          <w:sz w:val="32"/>
          <w:szCs w:val="32"/>
          <w:lang w:val="en-US" w:eastAsia="zh-CN" w:bidi="ar-SA"/>
        </w:rPr>
        <w:t>思路，</w:t>
      </w:r>
      <w:r>
        <w:rPr>
          <w:rFonts w:hint="eastAsia" w:ascii="Times New Roman" w:hAnsi="Times New Roman" w:eastAsia="仿宋_GB2312" w:cs="Times New Roman"/>
          <w:kern w:val="2"/>
          <w:sz w:val="32"/>
          <w:szCs w:val="32"/>
          <w:lang w:val="en-US" w:eastAsia="zh-CN" w:bidi="ar-SA"/>
        </w:rPr>
        <w:t>依据</w:t>
      </w:r>
      <w:r>
        <w:rPr>
          <w:rFonts w:ascii="Times New Roman" w:hAnsi="Times New Roman" w:eastAsia="仿宋_GB2312" w:cs="Times New Roman"/>
          <w:kern w:val="2"/>
          <w:sz w:val="32"/>
          <w:szCs w:val="32"/>
          <w:lang w:val="en-US" w:eastAsia="zh-CN" w:bidi="ar-SA"/>
        </w:rPr>
        <w:t>前三年救助结算历史数据</w:t>
      </w:r>
      <w:r>
        <w:rPr>
          <w:rFonts w:hint="eastAsia" w:ascii="Times New Roman" w:hAnsi="Times New Roman" w:eastAsia="仿宋_GB2312" w:cs="Times New Roman"/>
          <w:kern w:val="2"/>
          <w:sz w:val="32"/>
          <w:szCs w:val="32"/>
          <w:lang w:val="en-US" w:eastAsia="zh-CN" w:bidi="ar-SA"/>
        </w:rPr>
        <w:t>进行</w:t>
      </w:r>
      <w:r>
        <w:rPr>
          <w:rFonts w:ascii="Times New Roman" w:hAnsi="Times New Roman" w:eastAsia="仿宋_GB2312" w:cs="Times New Roman"/>
          <w:kern w:val="2"/>
          <w:sz w:val="32"/>
          <w:szCs w:val="32"/>
          <w:lang w:val="en-US" w:eastAsia="zh-CN" w:bidi="ar-SA"/>
        </w:rPr>
        <w:t>测算。各统筹区可</w:t>
      </w:r>
      <w:r>
        <w:rPr>
          <w:rFonts w:hint="eastAsia" w:ascii="Times New Roman" w:hAnsi="Times New Roman" w:eastAsia="仿宋_GB2312" w:cs="Times New Roman"/>
          <w:kern w:val="2"/>
          <w:sz w:val="32"/>
          <w:szCs w:val="32"/>
          <w:lang w:val="en-US" w:eastAsia="zh-CN" w:bidi="ar-SA"/>
        </w:rPr>
        <w:t>根据</w:t>
      </w:r>
      <w:r>
        <w:rPr>
          <w:rFonts w:hint="eastAsia" w:ascii="Times New Roman" w:hAnsi="Times New Roman" w:eastAsia="仿宋_GB2312" w:cs="Times New Roman"/>
          <w:color w:val="auto"/>
          <w:sz w:val="32"/>
          <w:szCs w:val="32"/>
        </w:rPr>
        <w:t>实际财力</w:t>
      </w:r>
      <w:r>
        <w:rPr>
          <w:rFonts w:ascii="Times New Roman" w:hAnsi="Times New Roman" w:eastAsia="仿宋_GB2312" w:cs="Times New Roman"/>
          <w:kern w:val="2"/>
          <w:sz w:val="32"/>
          <w:szCs w:val="32"/>
          <w:lang w:val="en-US" w:eastAsia="zh-CN" w:bidi="ar-SA"/>
        </w:rPr>
        <w:t>、救助对象就医需求</w:t>
      </w:r>
      <w:r>
        <w:rPr>
          <w:rFonts w:hint="eastAsia" w:ascii="Times New Roman" w:hAnsi="Times New Roman" w:eastAsia="仿宋_GB2312" w:cs="Times New Roman"/>
          <w:kern w:val="2"/>
          <w:sz w:val="32"/>
          <w:szCs w:val="32"/>
          <w:lang w:val="en-US" w:eastAsia="zh-CN" w:bidi="ar-SA"/>
        </w:rPr>
        <w:t>和</w:t>
      </w:r>
      <w:r>
        <w:rPr>
          <w:rFonts w:ascii="Times New Roman" w:hAnsi="Times New Roman" w:eastAsia="仿宋_GB2312" w:cs="Times New Roman"/>
          <w:kern w:val="2"/>
          <w:sz w:val="32"/>
          <w:szCs w:val="32"/>
          <w:lang w:val="en-US" w:eastAsia="zh-CN" w:bidi="ar-SA"/>
        </w:rPr>
        <w:t>辖区</w:t>
      </w:r>
      <w:r>
        <w:rPr>
          <w:rFonts w:hint="eastAsia" w:ascii="Times New Roman" w:hAnsi="Times New Roman" w:eastAsia="仿宋_GB2312" w:cs="Times New Roman"/>
          <w:kern w:val="2"/>
          <w:sz w:val="32"/>
          <w:szCs w:val="32"/>
          <w:lang w:val="en-US" w:eastAsia="zh-CN" w:bidi="ar-SA"/>
        </w:rPr>
        <w:t>内</w:t>
      </w:r>
      <w:r>
        <w:rPr>
          <w:rFonts w:ascii="Times New Roman" w:hAnsi="Times New Roman" w:eastAsia="仿宋_GB2312" w:cs="Times New Roman"/>
          <w:kern w:val="2"/>
          <w:sz w:val="32"/>
          <w:szCs w:val="32"/>
          <w:lang w:val="en-US" w:eastAsia="zh-CN" w:bidi="ar-SA"/>
        </w:rPr>
        <w:t>定点医疗机构布局，对部分指标</w:t>
      </w:r>
      <w:r>
        <w:rPr>
          <w:rFonts w:hint="eastAsia" w:ascii="Times New Roman" w:hAnsi="Times New Roman" w:eastAsia="仿宋_GB2312" w:cs="Times New Roman"/>
          <w:kern w:val="2"/>
          <w:sz w:val="32"/>
          <w:szCs w:val="32"/>
          <w:lang w:val="en-US" w:eastAsia="zh-CN" w:bidi="ar-SA"/>
        </w:rPr>
        <w:t>进行</w:t>
      </w:r>
      <w:r>
        <w:rPr>
          <w:rFonts w:ascii="Times New Roman" w:hAnsi="Times New Roman" w:eastAsia="仿宋_GB2312" w:cs="Times New Roman"/>
          <w:kern w:val="2"/>
          <w:sz w:val="32"/>
          <w:szCs w:val="32"/>
          <w:lang w:val="en-US" w:eastAsia="zh-CN" w:bidi="ar-SA"/>
        </w:rPr>
        <w:t>差异化调整。</w:t>
      </w:r>
    </w:p>
    <w:p>
      <w:pPr>
        <w:pStyle w:val="2"/>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ascii="楷体_GB2312" w:hAnsi="楷体" w:eastAsia="楷体_GB2312" w:cs="楷体"/>
          <w:b w:val="0"/>
          <w:bCs w:val="0"/>
          <w:kern w:val="2"/>
          <w:sz w:val="32"/>
          <w:szCs w:val="32"/>
          <w:lang w:val="en-US" w:eastAsia="zh-CN" w:bidi="ar-SA"/>
        </w:rPr>
      </w:pPr>
      <w:bookmarkStart w:id="10" w:name="heading_10"/>
      <w:r>
        <w:rPr>
          <w:rFonts w:ascii="楷体_GB2312" w:hAnsi="楷体" w:eastAsia="楷体_GB2312" w:cs="楷体"/>
          <w:b w:val="0"/>
          <w:bCs w:val="0"/>
          <w:kern w:val="2"/>
          <w:sz w:val="32"/>
          <w:szCs w:val="32"/>
          <w:lang w:val="en-US" w:eastAsia="zh-CN" w:bidi="ar-SA"/>
        </w:rPr>
        <w:t>（一）做好基金区域总额定量测算</w:t>
      </w:r>
      <w:bookmarkEnd w:id="10"/>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在确定年度住院救助区域总额时，应当按要求做好各类额度预留：</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预留当年度资助参保基金；</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结合当年度救助基金到位情况及各统筹区上年度救助对象就医数据，预留门诊特殊慢性病救助结算额度；</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参考前三年依申请救助支出，预留依申请救助支付额度；</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综合前三年异地就医和手工零星报销结算情况，结合医疗救助转诊工作要求，预留异地就医及手工零星报销结算额度；</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依据上年度 “双通道”药店结算数据，预留“双通道”药品救助结算额度；</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根据上年度全市乡镇卫生院、社区卫生服务中心、社区卫生服务站等基层医疗机构结算数据，预留相应结算额度；</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各统筹区结合上年度结算数据，整体预留5000 元以下救助支出额度；</w:t>
      </w:r>
    </w:p>
    <w:p>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各统筹区预留机动结算额度，</w:t>
      </w:r>
      <w:r>
        <w:rPr>
          <w:rFonts w:hint="eastAsia" w:ascii="Times New Roman" w:hAnsi="Times New Roman" w:eastAsia="仿宋_GB2312" w:cs="Times New Roman"/>
          <w:color w:val="auto"/>
          <w:sz w:val="32"/>
          <w:szCs w:val="32"/>
        </w:rPr>
        <w:t>该部分预留额度</w:t>
      </w:r>
      <w:r>
        <w:rPr>
          <w:rFonts w:hint="eastAsia" w:ascii="Times New Roman" w:hAnsi="Times New Roman" w:eastAsia="仿宋_GB2312" w:cs="Times New Roman"/>
          <w:color w:val="auto"/>
          <w:kern w:val="2"/>
          <w:sz w:val="32"/>
          <w:szCs w:val="32"/>
          <w:lang w:val="en-US" w:eastAsia="zh-CN" w:bidi="ar-SA"/>
        </w:rPr>
        <w:t>占当年救助基金总额比例控制在 2%—15% 之间。</w:t>
      </w:r>
    </w:p>
    <w:p>
      <w:pPr>
        <w:pStyle w:val="2"/>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ascii="楷体_GB2312" w:hAnsi="楷体" w:eastAsia="楷体_GB2312" w:cs="楷体"/>
          <w:b w:val="0"/>
          <w:bCs w:val="0"/>
          <w:kern w:val="2"/>
          <w:sz w:val="32"/>
          <w:szCs w:val="32"/>
          <w:lang w:val="en-US" w:eastAsia="zh-CN" w:bidi="ar-SA"/>
        </w:rPr>
      </w:pPr>
      <w:bookmarkStart w:id="11" w:name="heading_11"/>
      <w:r>
        <w:rPr>
          <w:rFonts w:ascii="楷体_GB2312" w:hAnsi="楷体" w:eastAsia="楷体_GB2312" w:cs="楷体"/>
          <w:b w:val="0"/>
          <w:bCs w:val="0"/>
          <w:kern w:val="2"/>
          <w:sz w:val="32"/>
          <w:szCs w:val="32"/>
          <w:lang w:val="en-US" w:eastAsia="zh-CN" w:bidi="ar-SA"/>
        </w:rPr>
        <w:t>（二）分级设置医疗机构基金分配导向目标</w:t>
      </w:r>
      <w:bookmarkEnd w:id="11"/>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为推</w:t>
      </w:r>
      <w:r>
        <w:rPr>
          <w:rFonts w:hint="eastAsia" w:ascii="Times New Roman" w:hAnsi="Times New Roman" w:eastAsia="仿宋_GB2312" w:cs="Times New Roman"/>
          <w:kern w:val="2"/>
          <w:sz w:val="32"/>
          <w:szCs w:val="32"/>
          <w:lang w:val="en-US" w:eastAsia="zh-CN" w:bidi="ar-SA"/>
        </w:rPr>
        <w:t>进</w:t>
      </w:r>
      <w:r>
        <w:rPr>
          <w:rFonts w:ascii="Times New Roman" w:hAnsi="Times New Roman" w:eastAsia="仿宋_GB2312" w:cs="Times New Roman"/>
          <w:kern w:val="2"/>
          <w:sz w:val="32"/>
          <w:szCs w:val="32"/>
          <w:lang w:val="en-US" w:eastAsia="zh-CN" w:bidi="ar-SA"/>
        </w:rPr>
        <w:t>基层首诊</w:t>
      </w:r>
      <w:r>
        <w:rPr>
          <w:rFonts w:hint="eastAsia" w:ascii="Times New Roman" w:hAnsi="Times New Roman" w:eastAsia="仿宋_GB2312" w:cs="Times New Roman"/>
          <w:kern w:val="2"/>
          <w:sz w:val="32"/>
          <w:szCs w:val="32"/>
          <w:lang w:val="en-US" w:eastAsia="zh-CN" w:bidi="ar-SA"/>
        </w:rPr>
        <w:t>和医疗救助</w:t>
      </w:r>
      <w:r>
        <w:rPr>
          <w:rFonts w:ascii="Times New Roman" w:hAnsi="Times New Roman" w:eastAsia="仿宋_GB2312" w:cs="Times New Roman"/>
          <w:kern w:val="2"/>
          <w:sz w:val="32"/>
          <w:szCs w:val="32"/>
          <w:lang w:val="en-US" w:eastAsia="zh-CN" w:bidi="ar-SA"/>
        </w:rPr>
        <w:t>规范转诊，</w:t>
      </w:r>
      <w:r>
        <w:rPr>
          <w:rFonts w:hint="eastAsia" w:ascii="Times New Roman" w:hAnsi="Times New Roman" w:eastAsia="仿宋_GB2312" w:cs="Times New Roman"/>
          <w:color w:val="auto"/>
          <w:sz w:val="32"/>
          <w:szCs w:val="32"/>
        </w:rPr>
        <w:t>充分调动医疗机构积极性，合理构建分级诊疗格局</w:t>
      </w:r>
      <w:r>
        <w:rPr>
          <w:rFonts w:ascii="Times New Roman" w:hAnsi="Times New Roman" w:eastAsia="仿宋_GB2312" w:cs="Times New Roman"/>
          <w:kern w:val="2"/>
          <w:sz w:val="32"/>
          <w:szCs w:val="32"/>
          <w:lang w:val="en-US" w:eastAsia="zh-CN" w:bidi="ar-SA"/>
        </w:rPr>
        <w:t>，在</w:t>
      </w:r>
      <w:r>
        <w:rPr>
          <w:rFonts w:hint="eastAsia" w:ascii="Times New Roman" w:hAnsi="Times New Roman" w:eastAsia="仿宋_GB2312" w:cs="Times New Roman"/>
          <w:kern w:val="2"/>
          <w:sz w:val="32"/>
          <w:szCs w:val="32"/>
          <w:lang w:val="en-US" w:eastAsia="zh-CN" w:bidi="ar-SA"/>
        </w:rPr>
        <w:t>除外</w:t>
      </w:r>
      <w:r>
        <w:rPr>
          <w:rFonts w:ascii="Times New Roman" w:hAnsi="Times New Roman" w:eastAsia="仿宋_GB2312" w:cs="Times New Roman"/>
          <w:kern w:val="2"/>
          <w:sz w:val="32"/>
          <w:szCs w:val="32"/>
          <w:lang w:val="en-US" w:eastAsia="zh-CN" w:bidi="ar-SA"/>
        </w:rPr>
        <w:t>不参与总额付费的医疗机构后，结合上年度</w:t>
      </w:r>
      <w:r>
        <w:rPr>
          <w:rFonts w:hint="eastAsia" w:ascii="Times New Roman" w:hAnsi="Times New Roman" w:eastAsia="仿宋_GB2312" w:cs="Times New Roman"/>
          <w:kern w:val="2"/>
          <w:sz w:val="32"/>
          <w:szCs w:val="32"/>
          <w:lang w:val="en-US" w:eastAsia="zh-CN" w:bidi="ar-SA"/>
        </w:rPr>
        <w:t>各</w:t>
      </w:r>
      <w:r>
        <w:rPr>
          <w:rFonts w:ascii="Times New Roman" w:hAnsi="Times New Roman" w:eastAsia="仿宋_GB2312" w:cs="Times New Roman"/>
          <w:kern w:val="2"/>
          <w:sz w:val="32"/>
          <w:szCs w:val="32"/>
          <w:lang w:val="en-US" w:eastAsia="zh-CN" w:bidi="ar-SA"/>
        </w:rPr>
        <w:t>等级医疗机构实际救助支出，对一、二、三级医疗机构</w:t>
      </w:r>
      <w:r>
        <w:rPr>
          <w:rFonts w:hint="eastAsia" w:ascii="Times New Roman" w:hAnsi="Times New Roman" w:eastAsia="仿宋_GB2312" w:cs="Times New Roman"/>
          <w:kern w:val="2"/>
          <w:sz w:val="32"/>
          <w:szCs w:val="32"/>
          <w:lang w:val="en-US" w:eastAsia="zh-CN" w:bidi="ar-SA"/>
        </w:rPr>
        <w:t>在</w:t>
      </w:r>
      <w:r>
        <w:rPr>
          <w:rFonts w:ascii="Times New Roman" w:hAnsi="Times New Roman" w:eastAsia="仿宋_GB2312" w:cs="Times New Roman"/>
          <w:kern w:val="2"/>
          <w:sz w:val="32"/>
          <w:szCs w:val="32"/>
          <w:lang w:val="en-US" w:eastAsia="zh-CN" w:bidi="ar-SA"/>
        </w:rPr>
        <w:t>本统筹区</w:t>
      </w:r>
      <w:r>
        <w:rPr>
          <w:rFonts w:hint="eastAsia" w:ascii="Times New Roman" w:hAnsi="Times New Roman" w:eastAsia="仿宋_GB2312" w:cs="Times New Roman"/>
          <w:kern w:val="2"/>
          <w:sz w:val="32"/>
          <w:szCs w:val="32"/>
          <w:lang w:val="en-US" w:eastAsia="zh-CN" w:bidi="ar-SA"/>
        </w:rPr>
        <w:t>的</w:t>
      </w:r>
      <w:r>
        <w:rPr>
          <w:rFonts w:ascii="Times New Roman" w:hAnsi="Times New Roman" w:eastAsia="仿宋_GB2312" w:cs="Times New Roman"/>
          <w:kern w:val="2"/>
          <w:sz w:val="32"/>
          <w:szCs w:val="32"/>
          <w:lang w:val="en-US" w:eastAsia="zh-CN" w:bidi="ar-SA"/>
        </w:rPr>
        <w:t>住院救助支出</w:t>
      </w:r>
      <w:r>
        <w:rPr>
          <w:rFonts w:hint="eastAsia" w:ascii="Times New Roman" w:hAnsi="Times New Roman" w:eastAsia="仿宋_GB2312" w:cs="Times New Roman"/>
          <w:kern w:val="2"/>
          <w:sz w:val="32"/>
          <w:szCs w:val="32"/>
          <w:lang w:val="en-US" w:eastAsia="zh-CN" w:bidi="ar-SA"/>
        </w:rPr>
        <w:t>总额</w:t>
      </w:r>
      <w:r>
        <w:rPr>
          <w:rFonts w:ascii="Times New Roman" w:hAnsi="Times New Roman" w:eastAsia="仿宋_GB2312" w:cs="Times New Roman"/>
          <w:kern w:val="2"/>
          <w:sz w:val="32"/>
          <w:szCs w:val="32"/>
          <w:lang w:val="en-US" w:eastAsia="zh-CN" w:bidi="ar-SA"/>
        </w:rPr>
        <w:t>占比设置导向性控制目标</w:t>
      </w:r>
      <w:r>
        <w:rPr>
          <w:rFonts w:hint="eastAsia" w:ascii="Times New Roman" w:hAnsi="Times New Roman" w:eastAsia="仿宋_GB2312" w:cs="Times New Roman"/>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kern w:val="2"/>
          <w:sz w:val="32"/>
          <w:szCs w:val="32"/>
          <w:lang w:val="en-US" w:eastAsia="zh-CN" w:bidi="ar-SA"/>
        </w:rPr>
        <w:t>其中：</w:t>
      </w:r>
      <w:r>
        <w:rPr>
          <w:rFonts w:hint="eastAsia" w:ascii="Times New Roman" w:hAnsi="Times New Roman" w:eastAsia="仿宋_GB2312" w:cs="Times New Roman"/>
          <w:color w:val="auto"/>
          <w:sz w:val="32"/>
          <w:szCs w:val="32"/>
        </w:rPr>
        <w:t>一级医疗机构基金分配控制目标为在住院支出中不高于15%，二级医疗机构控制目标为不高于70%，三级医疗机构控制目标为不高于75%。</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color w:val="auto"/>
          <w:sz w:val="32"/>
          <w:szCs w:val="32"/>
        </w:rPr>
        <w:t>各</w:t>
      </w:r>
      <w:r>
        <w:rPr>
          <w:rFonts w:hint="eastAsia" w:ascii="Times New Roman" w:hAnsi="Times New Roman" w:eastAsia="仿宋_GB2312" w:cs="Times New Roman"/>
          <w:color w:val="auto"/>
          <w:sz w:val="32"/>
          <w:szCs w:val="32"/>
          <w:lang w:val="en-US" w:eastAsia="zh-CN"/>
        </w:rPr>
        <w:t>统筹区</w:t>
      </w:r>
      <w:r>
        <w:rPr>
          <w:rFonts w:hint="eastAsia" w:ascii="Times New Roman" w:hAnsi="Times New Roman" w:eastAsia="仿宋_GB2312" w:cs="Times New Roman"/>
          <w:color w:val="auto"/>
          <w:sz w:val="32"/>
          <w:szCs w:val="32"/>
        </w:rPr>
        <w:t>对不同等级医疗机构基金分配控制目标有超出预定范围需求的</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kern w:val="2"/>
          <w:sz w:val="32"/>
          <w:szCs w:val="32"/>
          <w:lang w:val="en-US" w:eastAsia="zh-CN" w:bidi="ar-SA"/>
        </w:rPr>
        <w:t>应履行科学测算论证。</w:t>
      </w:r>
    </w:p>
    <w:p>
      <w:pPr>
        <w:pStyle w:val="2"/>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ascii="楷体_GB2312" w:hAnsi="楷体" w:eastAsia="楷体_GB2312" w:cs="楷体"/>
          <w:b w:val="0"/>
          <w:bCs w:val="0"/>
          <w:kern w:val="2"/>
          <w:sz w:val="32"/>
          <w:szCs w:val="32"/>
          <w:lang w:val="en-US" w:eastAsia="zh-CN" w:bidi="ar-SA"/>
        </w:rPr>
      </w:pPr>
      <w:bookmarkStart w:id="12" w:name="heading_12"/>
      <w:r>
        <w:rPr>
          <w:rFonts w:ascii="楷体_GB2312" w:hAnsi="楷体" w:eastAsia="楷体_GB2312" w:cs="楷体"/>
          <w:b w:val="0"/>
          <w:bCs w:val="0"/>
          <w:kern w:val="2"/>
          <w:sz w:val="32"/>
          <w:szCs w:val="32"/>
          <w:lang w:val="en-US" w:eastAsia="zh-CN" w:bidi="ar-SA"/>
        </w:rPr>
        <w:t>（三）统筹核定各定点医疗机构年度付费定额</w:t>
      </w:r>
      <w:bookmarkEnd w:id="12"/>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各统筹区</w:t>
      </w:r>
      <w:r>
        <w:rPr>
          <w:rFonts w:hint="eastAsia" w:ascii="Times New Roman" w:hAnsi="Times New Roman" w:eastAsia="仿宋_GB2312" w:cs="Times New Roman"/>
          <w:kern w:val="2"/>
          <w:sz w:val="32"/>
          <w:szCs w:val="32"/>
          <w:lang w:val="en-US" w:eastAsia="zh-CN" w:bidi="ar-SA"/>
        </w:rPr>
        <w:t>依据</w:t>
      </w:r>
      <w:r>
        <w:rPr>
          <w:rFonts w:ascii="Times New Roman" w:hAnsi="Times New Roman" w:eastAsia="仿宋_GB2312" w:cs="Times New Roman"/>
          <w:kern w:val="2"/>
          <w:sz w:val="32"/>
          <w:szCs w:val="32"/>
          <w:lang w:val="en-US" w:eastAsia="zh-CN" w:bidi="ar-SA"/>
        </w:rPr>
        <w:t>前三年各等级医疗机构</w:t>
      </w:r>
      <w:r>
        <w:rPr>
          <w:rFonts w:hint="eastAsia" w:ascii="Times New Roman" w:hAnsi="Times New Roman" w:eastAsia="仿宋_GB2312" w:cs="Times New Roman"/>
          <w:color w:val="auto"/>
          <w:sz w:val="32"/>
          <w:szCs w:val="32"/>
        </w:rPr>
        <w:t>均次费用、单家医疗机构均次费用、医疗机构年度增幅等数据</w:t>
      </w:r>
      <w:r>
        <w:rPr>
          <w:rFonts w:ascii="Times New Roman" w:hAnsi="Times New Roman" w:eastAsia="仿宋_GB2312" w:cs="Times New Roman"/>
          <w:kern w:val="2"/>
          <w:sz w:val="32"/>
          <w:szCs w:val="32"/>
          <w:lang w:val="en-US" w:eastAsia="zh-CN" w:bidi="ar-SA"/>
        </w:rPr>
        <w:t>，采用超额累进、阶梯式降比</w:t>
      </w:r>
      <w:r>
        <w:rPr>
          <w:rFonts w:hint="eastAsia" w:ascii="Times New Roman" w:hAnsi="Times New Roman" w:eastAsia="仿宋_GB2312" w:cs="Times New Roman"/>
          <w:kern w:val="2"/>
          <w:sz w:val="32"/>
          <w:szCs w:val="32"/>
          <w:lang w:val="en-US" w:eastAsia="zh-CN" w:bidi="ar-SA"/>
        </w:rPr>
        <w:t>的方法进行测算</w:t>
      </w:r>
      <w:r>
        <w:rPr>
          <w:rFonts w:ascii="Times New Roman" w:hAnsi="Times New Roman" w:eastAsia="仿宋_GB2312" w:cs="Times New Roman"/>
          <w:kern w:val="2"/>
          <w:sz w:val="32"/>
          <w:szCs w:val="32"/>
          <w:lang w:val="en-US" w:eastAsia="zh-CN" w:bidi="ar-SA"/>
        </w:rPr>
        <w:t>，分别核定</w:t>
      </w:r>
      <w:r>
        <w:rPr>
          <w:rFonts w:hint="eastAsia" w:ascii="Times New Roman" w:hAnsi="Times New Roman" w:eastAsia="仿宋_GB2312" w:cs="Times New Roman"/>
          <w:kern w:val="2"/>
          <w:sz w:val="32"/>
          <w:szCs w:val="32"/>
          <w:lang w:val="en-US" w:eastAsia="zh-CN" w:bidi="ar-SA"/>
        </w:rPr>
        <w:t>各</w:t>
      </w:r>
      <w:r>
        <w:rPr>
          <w:rFonts w:ascii="Times New Roman" w:hAnsi="Times New Roman" w:eastAsia="仿宋_GB2312" w:cs="Times New Roman"/>
          <w:kern w:val="2"/>
          <w:sz w:val="32"/>
          <w:szCs w:val="32"/>
          <w:lang w:val="en-US" w:eastAsia="zh-CN" w:bidi="ar-SA"/>
        </w:rPr>
        <w:t>定点医疗机构年度总额，</w:t>
      </w:r>
      <w:r>
        <w:rPr>
          <w:rFonts w:hint="eastAsia" w:ascii="Times New Roman" w:hAnsi="Times New Roman" w:eastAsia="仿宋_GB2312" w:cs="Times New Roman"/>
          <w:spacing w:val="-6"/>
          <w:kern w:val="2"/>
          <w:sz w:val="32"/>
          <w:szCs w:val="32"/>
          <w:lang w:val="en-US" w:eastAsia="zh-CN" w:bidi="ar-SA"/>
        </w:rPr>
        <w:t>确定预算额度，</w:t>
      </w:r>
      <w:r>
        <w:rPr>
          <w:rFonts w:ascii="Times New Roman" w:hAnsi="Times New Roman" w:eastAsia="仿宋_GB2312" w:cs="Times New Roman"/>
          <w:spacing w:val="-6"/>
          <w:kern w:val="2"/>
          <w:sz w:val="32"/>
          <w:szCs w:val="32"/>
          <w:lang w:val="en-US" w:eastAsia="zh-CN" w:bidi="ar-SA"/>
        </w:rPr>
        <w:t>报送市医疗救助中心汇总</w:t>
      </w:r>
      <w:r>
        <w:rPr>
          <w:rFonts w:hint="eastAsia" w:ascii="Times New Roman" w:hAnsi="Times New Roman" w:eastAsia="仿宋_GB2312" w:cs="Times New Roman"/>
          <w:spacing w:val="-6"/>
          <w:kern w:val="2"/>
          <w:sz w:val="32"/>
          <w:szCs w:val="32"/>
          <w:lang w:val="en-US" w:eastAsia="zh-CN" w:bidi="ar-SA"/>
        </w:rPr>
        <w:t>为最终额度</w:t>
      </w:r>
      <w:r>
        <w:rPr>
          <w:rFonts w:ascii="Times New Roman" w:hAnsi="Times New Roman" w:eastAsia="仿宋_GB2312" w:cs="Times New Roman"/>
          <w:spacing w:val="-6"/>
          <w:kern w:val="2"/>
          <w:sz w:val="32"/>
          <w:szCs w:val="32"/>
          <w:lang w:val="en-US" w:eastAsia="zh-CN" w:bidi="ar-SA"/>
        </w:rPr>
        <w:t>后下达执行。</w:t>
      </w:r>
    </w:p>
    <w:p>
      <w:pPr>
        <w:pStyle w:val="2"/>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ascii="楷体_GB2312" w:hAnsi="楷体" w:eastAsia="楷体_GB2312" w:cs="楷体"/>
          <w:b w:val="0"/>
          <w:bCs w:val="0"/>
          <w:kern w:val="2"/>
          <w:sz w:val="32"/>
          <w:szCs w:val="32"/>
          <w:lang w:val="en-US" w:eastAsia="zh-CN" w:bidi="ar-SA"/>
        </w:rPr>
      </w:pPr>
      <w:bookmarkStart w:id="13" w:name="heading_13"/>
      <w:r>
        <w:rPr>
          <w:rFonts w:ascii="楷体_GB2312" w:hAnsi="楷体" w:eastAsia="楷体_GB2312" w:cs="楷体"/>
          <w:b w:val="0"/>
          <w:bCs w:val="0"/>
          <w:kern w:val="2"/>
          <w:sz w:val="32"/>
          <w:szCs w:val="32"/>
          <w:lang w:val="en-US" w:eastAsia="zh-CN" w:bidi="ar-SA"/>
        </w:rPr>
        <w:t>（四）鼓励创新打包付费模式</w:t>
      </w:r>
      <w:bookmarkEnd w:id="13"/>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鼓励各</w:t>
      </w:r>
      <w:r>
        <w:rPr>
          <w:rFonts w:hint="eastAsia" w:ascii="Times New Roman" w:hAnsi="Times New Roman" w:eastAsia="仿宋_GB2312" w:cs="Times New Roman"/>
          <w:kern w:val="2"/>
          <w:sz w:val="32"/>
          <w:szCs w:val="32"/>
          <w:lang w:val="en-US" w:eastAsia="zh-CN" w:bidi="ar-SA"/>
        </w:rPr>
        <w:t>统筹区积极</w:t>
      </w:r>
      <w:r>
        <w:rPr>
          <w:rFonts w:ascii="Times New Roman" w:hAnsi="Times New Roman" w:eastAsia="仿宋_GB2312" w:cs="Times New Roman"/>
          <w:kern w:val="2"/>
          <w:sz w:val="32"/>
          <w:szCs w:val="32"/>
          <w:lang w:val="en-US" w:eastAsia="zh-CN" w:bidi="ar-SA"/>
        </w:rPr>
        <w:t>探索县域医共体、市县医联体、医疗集团打包付费改革。县域医共体、市县医联体、医疗集团可由牵头医疗机构向属地医疗救助经办部门主动申请打包付费</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属地经办部门牵头开展跨区域协同测算和待遇支付。</w:t>
      </w:r>
      <w:r>
        <w:rPr>
          <w:rFonts w:hint="eastAsia" w:ascii="Times New Roman" w:hAnsi="Times New Roman" w:eastAsia="仿宋_GB2312" w:cs="Times New Roman"/>
          <w:kern w:val="2"/>
          <w:sz w:val="32"/>
          <w:szCs w:val="32"/>
          <w:lang w:val="en-US" w:eastAsia="zh-CN" w:bidi="ar-SA"/>
        </w:rPr>
        <w:t>原则上参与</w:t>
      </w:r>
      <w:r>
        <w:rPr>
          <w:rFonts w:ascii="Times New Roman" w:hAnsi="Times New Roman" w:eastAsia="仿宋_GB2312" w:cs="Times New Roman"/>
          <w:kern w:val="2"/>
          <w:sz w:val="32"/>
          <w:szCs w:val="32"/>
          <w:lang w:val="en-US" w:eastAsia="zh-CN" w:bidi="ar-SA"/>
        </w:rPr>
        <w:t>打包付费的</w:t>
      </w:r>
      <w:r>
        <w:rPr>
          <w:rFonts w:hint="eastAsia" w:ascii="Times New Roman" w:hAnsi="Times New Roman" w:eastAsia="仿宋_GB2312" w:cs="Times New Roman"/>
          <w:kern w:val="2"/>
          <w:sz w:val="32"/>
          <w:szCs w:val="32"/>
          <w:lang w:val="en-US" w:eastAsia="zh-CN" w:bidi="ar-SA"/>
        </w:rPr>
        <w:t>机构</w:t>
      </w:r>
      <w:r>
        <w:rPr>
          <w:rFonts w:ascii="Times New Roman" w:hAnsi="Times New Roman" w:eastAsia="仿宋_GB2312" w:cs="Times New Roman"/>
          <w:kern w:val="2"/>
          <w:sz w:val="32"/>
          <w:szCs w:val="32"/>
          <w:lang w:val="en-US" w:eastAsia="zh-CN" w:bidi="ar-SA"/>
        </w:rPr>
        <w:t>，分配给体系内一级医疗机构的救助额度不低于其上年度实际救助支出</w:t>
      </w:r>
      <w:r>
        <w:rPr>
          <w:rFonts w:hint="eastAsia" w:ascii="Times New Roman" w:hAnsi="Times New Roman" w:eastAsia="仿宋_GB2312" w:cs="Times New Roman"/>
          <w:kern w:val="2"/>
          <w:sz w:val="32"/>
          <w:szCs w:val="32"/>
          <w:lang w:val="en-US" w:eastAsia="zh-CN" w:bidi="ar-SA"/>
        </w:rPr>
        <w:t>金额</w:t>
      </w:r>
      <w:r>
        <w:rPr>
          <w:rFonts w:ascii="Times New Roman" w:hAnsi="Times New Roman" w:eastAsia="仿宋_GB2312" w:cs="Times New Roman"/>
          <w:kern w:val="2"/>
          <w:sz w:val="32"/>
          <w:szCs w:val="32"/>
          <w:lang w:val="en-US" w:eastAsia="zh-CN" w:bidi="ar-SA"/>
        </w:rPr>
        <w:t>的 60%。</w:t>
      </w:r>
      <w:r>
        <w:rPr>
          <w:rFonts w:hint="eastAsia" w:ascii="Times New Roman" w:hAnsi="Times New Roman" w:eastAsia="仿宋_GB2312" w:cs="Times New Roman"/>
          <w:kern w:val="2"/>
          <w:sz w:val="32"/>
          <w:szCs w:val="32"/>
          <w:lang w:val="en-US" w:eastAsia="zh-CN" w:bidi="ar-SA"/>
        </w:rPr>
        <w:t>实行</w:t>
      </w:r>
      <w:r>
        <w:rPr>
          <w:rFonts w:ascii="Times New Roman" w:hAnsi="Times New Roman" w:eastAsia="仿宋_GB2312" w:cs="Times New Roman"/>
          <w:kern w:val="2"/>
          <w:sz w:val="32"/>
          <w:szCs w:val="32"/>
          <w:lang w:val="en-US" w:eastAsia="zh-CN" w:bidi="ar-SA"/>
        </w:rPr>
        <w:t>打包付费医疗机构</w:t>
      </w:r>
      <w:r>
        <w:rPr>
          <w:rFonts w:hint="eastAsia" w:ascii="Times New Roman" w:hAnsi="Times New Roman" w:eastAsia="仿宋_GB2312" w:cs="Times New Roman"/>
          <w:kern w:val="2"/>
          <w:sz w:val="32"/>
          <w:szCs w:val="32"/>
          <w:lang w:val="en-US" w:eastAsia="zh-CN" w:bidi="ar-SA"/>
        </w:rPr>
        <w:t>的</w:t>
      </w:r>
      <w:r>
        <w:rPr>
          <w:rFonts w:ascii="Times New Roman" w:hAnsi="Times New Roman" w:eastAsia="仿宋_GB2312" w:cs="Times New Roman"/>
          <w:kern w:val="2"/>
          <w:sz w:val="32"/>
          <w:szCs w:val="32"/>
          <w:lang w:val="en-US" w:eastAsia="zh-CN" w:bidi="ar-SA"/>
        </w:rPr>
        <w:t>月度结算细则另行</w:t>
      </w:r>
      <w:r>
        <w:rPr>
          <w:rFonts w:hint="eastAsia" w:ascii="Times New Roman" w:hAnsi="Times New Roman" w:eastAsia="仿宋_GB2312" w:cs="Times New Roman"/>
          <w:kern w:val="2"/>
          <w:sz w:val="32"/>
          <w:szCs w:val="32"/>
          <w:lang w:val="en-US" w:eastAsia="zh-CN" w:bidi="ar-SA"/>
        </w:rPr>
        <w:t>通知</w:t>
      </w:r>
      <w:r>
        <w:rPr>
          <w:rFonts w:ascii="Times New Roman" w:hAnsi="Times New Roman" w:eastAsia="仿宋_GB2312" w:cs="Times New Roman"/>
          <w:kern w:val="2"/>
          <w:sz w:val="32"/>
          <w:szCs w:val="32"/>
          <w:lang w:val="en-US" w:eastAsia="zh-CN" w:bidi="ar-SA"/>
        </w:rPr>
        <w:t>。</w:t>
      </w:r>
    </w:p>
    <w:p>
      <w:pPr>
        <w:pStyle w:val="2"/>
        <w:keepNext w:val="0"/>
        <w:keepLines w:val="0"/>
        <w:pageBreakBefore w:val="0"/>
        <w:widowControl/>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hint="eastAsia" w:ascii="黑体" w:hAnsi="黑体" w:eastAsia="黑体" w:cs="黑体"/>
          <w:b w:val="0"/>
          <w:bCs w:val="0"/>
          <w:kern w:val="2"/>
          <w:sz w:val="32"/>
          <w:szCs w:val="32"/>
          <w:lang w:val="en-US" w:eastAsia="zh-CN" w:bidi="ar-SA"/>
        </w:rPr>
      </w:pPr>
      <w:bookmarkStart w:id="14" w:name="heading_14"/>
      <w:r>
        <w:rPr>
          <w:rFonts w:hint="eastAsia" w:ascii="黑体" w:hAnsi="黑体" w:eastAsia="黑体" w:cs="黑体"/>
          <w:b w:val="0"/>
          <w:bCs w:val="0"/>
          <w:kern w:val="2"/>
          <w:sz w:val="32"/>
          <w:szCs w:val="32"/>
          <w:lang w:val="en-US" w:eastAsia="zh-CN" w:bidi="ar-SA"/>
        </w:rPr>
        <w:t>五、结算管理要求</w:t>
      </w:r>
      <w:bookmarkEnd w:id="14"/>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_GB2312" w:eastAsia="楷体_GB2312" w:cs="楷体_GB2312"/>
          <w:b w:val="0"/>
          <w:bCs w:val="0"/>
          <w:kern w:val="2"/>
          <w:sz w:val="32"/>
          <w:szCs w:val="32"/>
          <w:lang w:val="en-US" w:eastAsia="zh-CN" w:bidi="ar-SA"/>
        </w:rPr>
      </w:pPr>
      <w:bookmarkStart w:id="15" w:name="heading_15"/>
      <w:r>
        <w:rPr>
          <w:rFonts w:hint="eastAsia" w:ascii="楷体_GB2312" w:hAnsi="楷体_GB2312" w:eastAsia="楷体_GB2312" w:cs="楷体_GB2312"/>
          <w:b w:val="0"/>
          <w:bCs w:val="0"/>
          <w:kern w:val="2"/>
          <w:sz w:val="32"/>
          <w:szCs w:val="32"/>
          <w:lang w:val="en-US" w:eastAsia="zh-CN" w:bidi="ar-SA"/>
        </w:rPr>
        <w:t>（一）暂未纳入住院总额付费医疗机构的结算</w:t>
      </w:r>
      <w:bookmarkEnd w:id="15"/>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1. 乡镇卫生院、社区卫生服务中心、社区卫生服务站</w:t>
      </w:r>
      <w:r>
        <w:rPr>
          <w:rFonts w:hint="eastAsia" w:ascii="Times New Roman" w:hAnsi="Times New Roman" w:eastAsia="仿宋_GB2312" w:cs="Times New Roman"/>
          <w:kern w:val="2"/>
          <w:sz w:val="32"/>
          <w:szCs w:val="32"/>
          <w:lang w:val="en-US" w:eastAsia="zh-CN" w:bidi="ar-SA"/>
        </w:rPr>
        <w:t>等医疗机构，</w:t>
      </w:r>
      <w:r>
        <w:rPr>
          <w:rFonts w:ascii="Times New Roman" w:hAnsi="Times New Roman" w:eastAsia="仿宋_GB2312" w:cs="Times New Roman"/>
          <w:kern w:val="2"/>
          <w:sz w:val="32"/>
          <w:szCs w:val="32"/>
          <w:lang w:val="en-US" w:eastAsia="zh-CN" w:bidi="ar-SA"/>
        </w:rPr>
        <w:t>沿用原有结算模式</w:t>
      </w:r>
      <w:r>
        <w:rPr>
          <w:rFonts w:hint="eastAsia" w:ascii="Times New Roman" w:hAnsi="Times New Roman" w:eastAsia="仿宋_GB2312" w:cs="Times New Roman"/>
          <w:color w:val="auto"/>
          <w:sz w:val="32"/>
          <w:szCs w:val="32"/>
        </w:rPr>
        <w:t>逐月与各统筹区进行救助结算</w:t>
      </w:r>
      <w:r>
        <w:rPr>
          <w:rFonts w:ascii="Times New Roman" w:hAnsi="Times New Roman" w:eastAsia="仿宋_GB2312" w:cs="Times New Roman"/>
          <w:kern w:val="2"/>
          <w:sz w:val="32"/>
          <w:szCs w:val="32"/>
          <w:lang w:val="en-US" w:eastAsia="zh-CN" w:bidi="ar-SA"/>
        </w:rPr>
        <w:t>。定点医疗机构超过</w:t>
      </w:r>
      <w:r>
        <w:rPr>
          <w:rFonts w:hint="eastAsia" w:ascii="Times New Roman" w:hAnsi="Times New Roman" w:eastAsia="仿宋_GB2312" w:cs="Times New Roman"/>
          <w:kern w:val="2"/>
          <w:sz w:val="32"/>
          <w:szCs w:val="32"/>
          <w:lang w:val="en-US" w:eastAsia="zh-CN" w:bidi="ar-SA"/>
        </w:rPr>
        <w:t>三</w:t>
      </w:r>
      <w:r>
        <w:rPr>
          <w:rFonts w:ascii="Times New Roman" w:hAnsi="Times New Roman" w:eastAsia="仿宋_GB2312" w:cs="Times New Roman"/>
          <w:kern w:val="2"/>
          <w:sz w:val="32"/>
          <w:szCs w:val="32"/>
          <w:lang w:val="en-US" w:eastAsia="zh-CN" w:bidi="ar-SA"/>
        </w:rPr>
        <w:t>个月（含</w:t>
      </w:r>
      <w:r>
        <w:rPr>
          <w:rFonts w:hint="eastAsia" w:ascii="Times New Roman" w:hAnsi="Times New Roman" w:eastAsia="仿宋_GB2312" w:cs="Times New Roman"/>
          <w:kern w:val="2"/>
          <w:sz w:val="32"/>
          <w:szCs w:val="32"/>
          <w:lang w:val="en-US" w:eastAsia="zh-CN" w:bidi="ar-SA"/>
        </w:rPr>
        <w:t>三</w:t>
      </w:r>
      <w:r>
        <w:rPr>
          <w:rFonts w:ascii="Times New Roman" w:hAnsi="Times New Roman" w:eastAsia="仿宋_GB2312" w:cs="Times New Roman"/>
          <w:kern w:val="2"/>
          <w:sz w:val="32"/>
          <w:szCs w:val="32"/>
          <w:lang w:val="en-US" w:eastAsia="zh-CN" w:bidi="ar-SA"/>
        </w:rPr>
        <w:t>个月）未</w:t>
      </w:r>
      <w:r>
        <w:rPr>
          <w:rFonts w:hint="eastAsia" w:ascii="Times New Roman" w:hAnsi="Times New Roman" w:eastAsia="仿宋_GB2312" w:cs="Times New Roman"/>
          <w:kern w:val="2"/>
          <w:sz w:val="32"/>
          <w:szCs w:val="32"/>
          <w:lang w:val="en-US" w:eastAsia="zh-CN" w:bidi="ar-SA"/>
        </w:rPr>
        <w:t>及时</w:t>
      </w:r>
      <w:r>
        <w:rPr>
          <w:rFonts w:ascii="Times New Roman" w:hAnsi="Times New Roman" w:eastAsia="仿宋_GB2312" w:cs="Times New Roman"/>
          <w:kern w:val="2"/>
          <w:sz w:val="32"/>
          <w:szCs w:val="32"/>
          <w:lang w:val="en-US" w:eastAsia="zh-CN" w:bidi="ar-SA"/>
        </w:rPr>
        <w:t>提交结算申报的，延后资金拨付；每年 1 月底前</w:t>
      </w:r>
      <w:r>
        <w:rPr>
          <w:rFonts w:hint="eastAsia" w:ascii="Times New Roman" w:hAnsi="Times New Roman" w:eastAsia="仿宋_GB2312" w:cs="Times New Roman"/>
          <w:color w:val="auto"/>
          <w:sz w:val="32"/>
          <w:szCs w:val="32"/>
        </w:rPr>
        <w:t>各定点医疗机构须完成上年度</w:t>
      </w:r>
      <w:r>
        <w:rPr>
          <w:rFonts w:hint="eastAsia" w:ascii="Times New Roman" w:hAnsi="Times New Roman" w:eastAsia="仿宋_GB2312" w:cs="Times New Roman"/>
          <w:color w:val="auto"/>
          <w:sz w:val="32"/>
          <w:szCs w:val="32"/>
          <w:lang w:val="en-US" w:eastAsia="zh-CN"/>
        </w:rPr>
        <w:t>全</w:t>
      </w:r>
      <w:r>
        <w:rPr>
          <w:rFonts w:hint="eastAsia" w:ascii="Times New Roman" w:hAnsi="Times New Roman" w:eastAsia="仿宋_GB2312" w:cs="Times New Roman"/>
          <w:color w:val="auto"/>
          <w:spacing w:val="-6"/>
          <w:sz w:val="32"/>
          <w:szCs w:val="32"/>
          <w:lang w:val="en-US" w:eastAsia="zh-CN"/>
        </w:rPr>
        <w:t>部</w:t>
      </w:r>
      <w:r>
        <w:rPr>
          <w:rFonts w:hint="eastAsia" w:ascii="Times New Roman" w:hAnsi="Times New Roman" w:eastAsia="仿宋_GB2312" w:cs="Times New Roman"/>
          <w:color w:val="auto"/>
          <w:spacing w:val="-6"/>
          <w:sz w:val="32"/>
          <w:szCs w:val="32"/>
        </w:rPr>
        <w:t>救助垫付款结算申报</w:t>
      </w:r>
      <w:r>
        <w:rPr>
          <w:rFonts w:ascii="Times New Roman" w:hAnsi="Times New Roman" w:eastAsia="仿宋_GB2312" w:cs="Times New Roman"/>
          <w:spacing w:val="-6"/>
          <w:kern w:val="2"/>
          <w:sz w:val="32"/>
          <w:szCs w:val="32"/>
          <w:lang w:val="en-US" w:eastAsia="zh-CN" w:bidi="ar-SA"/>
        </w:rPr>
        <w:t>，逾期未申报视作自动放弃对应结算权益。</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2. 除上述基层</w:t>
      </w:r>
      <w:r>
        <w:rPr>
          <w:rFonts w:hint="eastAsia" w:ascii="Times New Roman" w:hAnsi="Times New Roman" w:eastAsia="仿宋_GB2312" w:cs="Times New Roman"/>
          <w:kern w:val="2"/>
          <w:sz w:val="32"/>
          <w:szCs w:val="32"/>
          <w:lang w:val="en-US" w:eastAsia="zh-CN" w:bidi="ar-SA"/>
        </w:rPr>
        <w:t>医疗</w:t>
      </w:r>
      <w:r>
        <w:rPr>
          <w:rFonts w:ascii="Times New Roman" w:hAnsi="Times New Roman" w:eastAsia="仿宋_GB2312" w:cs="Times New Roman"/>
          <w:kern w:val="2"/>
          <w:sz w:val="32"/>
          <w:szCs w:val="32"/>
          <w:lang w:val="en-US" w:eastAsia="zh-CN" w:bidi="ar-SA"/>
        </w:rPr>
        <w:t>机构外，</w:t>
      </w:r>
      <w:r>
        <w:rPr>
          <w:rFonts w:hint="eastAsia" w:ascii="Times New Roman" w:hAnsi="Times New Roman" w:eastAsia="仿宋_GB2312" w:cs="Times New Roman"/>
          <w:color w:val="auto"/>
          <w:sz w:val="32"/>
          <w:szCs w:val="32"/>
        </w:rPr>
        <w:t>其余</w:t>
      </w:r>
      <w:r>
        <w:rPr>
          <w:rFonts w:hint="eastAsia" w:ascii="Times New Roman" w:hAnsi="Times New Roman" w:eastAsia="仿宋_GB2312" w:cs="Times New Roman"/>
          <w:color w:val="auto"/>
          <w:sz w:val="32"/>
          <w:szCs w:val="32"/>
          <w:lang w:eastAsia="zh-CN"/>
        </w:rPr>
        <w:t>上年度</w:t>
      </w:r>
      <w:r>
        <w:rPr>
          <w:rFonts w:hint="eastAsia" w:ascii="Times New Roman" w:hAnsi="Times New Roman" w:eastAsia="仿宋_GB2312" w:cs="Times New Roman"/>
          <w:color w:val="auto"/>
          <w:sz w:val="32"/>
          <w:szCs w:val="32"/>
        </w:rPr>
        <w:t>救助支出在5000元以下的医疗机构，按原结算方式与各统筹区进行结算申报，各统筹区按</w:t>
      </w:r>
      <w:r>
        <w:rPr>
          <w:rFonts w:hint="eastAsia" w:ascii="Times New Roman" w:hAnsi="Times New Roman" w:eastAsia="仿宋_GB2312" w:cs="Times New Roman"/>
          <w:color w:val="auto"/>
          <w:sz w:val="32"/>
          <w:szCs w:val="32"/>
          <w:lang w:eastAsia="zh-CN"/>
        </w:rPr>
        <w:t>当年度</w:t>
      </w:r>
      <w:r>
        <w:rPr>
          <w:rFonts w:hint="eastAsia" w:ascii="Times New Roman" w:hAnsi="Times New Roman" w:eastAsia="仿宋_GB2312" w:cs="Times New Roman"/>
          <w:color w:val="auto"/>
          <w:sz w:val="32"/>
          <w:szCs w:val="32"/>
        </w:rPr>
        <w:t>实际发生救助支出予以据实结算。</w:t>
      </w:r>
      <w:r>
        <w:rPr>
          <w:rFonts w:hint="eastAsia" w:ascii="Times New Roman" w:hAnsi="Times New Roman" w:eastAsia="仿宋_GB2312" w:cs="Times New Roman"/>
          <w:color w:val="auto"/>
          <w:sz w:val="32"/>
          <w:szCs w:val="32"/>
          <w:lang w:eastAsia="zh-CN"/>
        </w:rPr>
        <w:t>当年度</w:t>
      </w:r>
      <w:r>
        <w:rPr>
          <w:rFonts w:hint="eastAsia" w:ascii="Times New Roman" w:hAnsi="Times New Roman" w:eastAsia="仿宋_GB2312" w:cs="Times New Roman"/>
          <w:color w:val="auto"/>
          <w:sz w:val="32"/>
          <w:szCs w:val="32"/>
        </w:rPr>
        <w:t>实际发生救助支出在5000元以上时，各统筹区将其纳入下年度总额付费管理范围。</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_GB2312" w:eastAsia="楷体_GB2312" w:cs="楷体_GB2312"/>
          <w:b w:val="0"/>
          <w:bCs w:val="0"/>
          <w:kern w:val="2"/>
          <w:sz w:val="32"/>
          <w:szCs w:val="32"/>
          <w:lang w:val="en-US" w:eastAsia="zh-CN" w:bidi="ar-SA"/>
        </w:rPr>
      </w:pPr>
      <w:bookmarkStart w:id="16" w:name="heading_16"/>
      <w:r>
        <w:rPr>
          <w:rFonts w:hint="eastAsia" w:ascii="楷体_GB2312" w:hAnsi="楷体_GB2312" w:eastAsia="楷体_GB2312" w:cs="楷体_GB2312"/>
          <w:b w:val="0"/>
          <w:bCs w:val="0"/>
          <w:kern w:val="2"/>
          <w:sz w:val="32"/>
          <w:szCs w:val="32"/>
          <w:lang w:val="en-US" w:eastAsia="zh-CN" w:bidi="ar-SA"/>
        </w:rPr>
        <w:t>（二）纳入住院总额付费管理医疗机构的结算</w:t>
      </w:r>
      <w:bookmarkEnd w:id="16"/>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color w:val="auto"/>
          <w:sz w:val="32"/>
          <w:szCs w:val="32"/>
        </w:rPr>
        <w:t>对于纳入住院总额付费管理的医疗机构，</w:t>
      </w:r>
      <w:r>
        <w:rPr>
          <w:rFonts w:ascii="Times New Roman" w:hAnsi="Times New Roman" w:eastAsia="仿宋_GB2312" w:cs="Times New Roman"/>
          <w:kern w:val="2"/>
          <w:sz w:val="32"/>
          <w:szCs w:val="32"/>
          <w:lang w:val="en-US" w:eastAsia="zh-CN" w:bidi="ar-SA"/>
        </w:rPr>
        <w:t>各统筹区</w:t>
      </w:r>
      <w:r>
        <w:rPr>
          <w:rFonts w:hint="eastAsia" w:ascii="Times New Roman" w:hAnsi="Times New Roman" w:eastAsia="仿宋_GB2312" w:cs="Times New Roman"/>
          <w:kern w:val="2"/>
          <w:sz w:val="32"/>
          <w:szCs w:val="32"/>
          <w:lang w:val="en-US" w:eastAsia="zh-CN" w:bidi="ar-SA"/>
        </w:rPr>
        <w:t>根据</w:t>
      </w:r>
      <w:r>
        <w:rPr>
          <w:rFonts w:ascii="Times New Roman" w:hAnsi="Times New Roman" w:eastAsia="仿宋_GB2312" w:cs="Times New Roman"/>
          <w:kern w:val="2"/>
          <w:sz w:val="32"/>
          <w:szCs w:val="32"/>
          <w:lang w:val="en-US" w:eastAsia="zh-CN" w:bidi="ar-SA"/>
        </w:rPr>
        <w:t>救助基金到位情况和支付能力，可</w:t>
      </w:r>
      <w:r>
        <w:rPr>
          <w:rFonts w:hint="eastAsia" w:ascii="Times New Roman" w:hAnsi="Times New Roman" w:eastAsia="仿宋_GB2312" w:cs="Times New Roman"/>
          <w:kern w:val="2"/>
          <w:sz w:val="32"/>
          <w:szCs w:val="32"/>
          <w:lang w:val="en-US" w:eastAsia="zh-CN" w:bidi="ar-SA"/>
        </w:rPr>
        <w:t>自行</w:t>
      </w:r>
      <w:r>
        <w:rPr>
          <w:rFonts w:ascii="Times New Roman" w:hAnsi="Times New Roman" w:eastAsia="仿宋_GB2312" w:cs="Times New Roman"/>
          <w:kern w:val="2"/>
          <w:sz w:val="32"/>
          <w:szCs w:val="32"/>
          <w:lang w:val="en-US" w:eastAsia="zh-CN" w:bidi="ar-SA"/>
        </w:rPr>
        <w:t>调整各级定点医疗机构月度支付比例，原则上月度拨付比例</w:t>
      </w:r>
      <w:r>
        <w:rPr>
          <w:rFonts w:hint="eastAsia" w:ascii="Times New Roman" w:hAnsi="Times New Roman" w:eastAsia="仿宋_GB2312" w:cs="Times New Roman"/>
          <w:kern w:val="2"/>
          <w:sz w:val="32"/>
          <w:szCs w:val="32"/>
          <w:lang w:val="en-US" w:eastAsia="zh-CN" w:bidi="ar-SA"/>
        </w:rPr>
        <w:t>应</w:t>
      </w:r>
      <w:r>
        <w:rPr>
          <w:rFonts w:ascii="Times New Roman" w:hAnsi="Times New Roman" w:eastAsia="仿宋_GB2312" w:cs="Times New Roman"/>
          <w:kern w:val="2"/>
          <w:sz w:val="32"/>
          <w:szCs w:val="32"/>
          <w:lang w:val="en-US" w:eastAsia="zh-CN" w:bidi="ar-SA"/>
        </w:rPr>
        <w:t>不低于分配</w:t>
      </w:r>
      <w:r>
        <w:rPr>
          <w:rFonts w:hint="eastAsia" w:ascii="Times New Roman" w:hAnsi="Times New Roman" w:eastAsia="仿宋_GB2312" w:cs="Times New Roman"/>
          <w:kern w:val="2"/>
          <w:sz w:val="32"/>
          <w:szCs w:val="32"/>
          <w:lang w:val="en-US" w:eastAsia="zh-CN" w:bidi="ar-SA"/>
        </w:rPr>
        <w:t>额度</w:t>
      </w:r>
      <w:r>
        <w:rPr>
          <w:rFonts w:ascii="Times New Roman" w:hAnsi="Times New Roman" w:eastAsia="仿宋_GB2312" w:cs="Times New Roman"/>
          <w:kern w:val="2"/>
          <w:sz w:val="32"/>
          <w:szCs w:val="32"/>
          <w:lang w:val="en-US" w:eastAsia="zh-CN" w:bidi="ar-SA"/>
        </w:rPr>
        <w:t>的 80%。</w:t>
      </w:r>
      <w:r>
        <w:rPr>
          <w:rFonts w:hint="eastAsia" w:ascii="Times New Roman" w:hAnsi="Times New Roman" w:eastAsia="仿宋_GB2312" w:cs="Times New Roman"/>
          <w:color w:val="auto"/>
          <w:sz w:val="32"/>
          <w:szCs w:val="32"/>
        </w:rPr>
        <w:t>各统筹区向市医疗救助中心进行月度支付比例报备，市医疗救助中心做好对各统筹区支付进度的监督</w:t>
      </w:r>
      <w:r>
        <w:rPr>
          <w:rFonts w:hint="eastAsia" w:ascii="Times New Roman" w:hAnsi="Times New Roman" w:eastAsia="仿宋_GB2312" w:cs="Times New Roman"/>
          <w:color w:val="auto"/>
          <w:sz w:val="32"/>
          <w:szCs w:val="32"/>
          <w:lang w:val="en-US" w:eastAsia="zh-CN"/>
        </w:rPr>
        <w:t>管理</w:t>
      </w:r>
      <w:r>
        <w:rPr>
          <w:rFonts w:hint="eastAsia" w:ascii="Times New Roman" w:hAnsi="Times New Roman" w:eastAsia="仿宋_GB2312" w:cs="Times New Roman"/>
          <w:color w:val="auto"/>
          <w:sz w:val="32"/>
          <w:szCs w:val="32"/>
        </w:rPr>
        <w:t>。</w:t>
      </w:r>
    </w:p>
    <w:p>
      <w:pPr>
        <w:keepNext w:val="0"/>
        <w:keepLines w:val="0"/>
        <w:pageBreakBefore w:val="0"/>
        <w:numPr>
          <w:ilvl w:val="0"/>
          <w:numId w:val="2"/>
        </w:numPr>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color w:val="auto"/>
          <w:sz w:val="32"/>
          <w:szCs w:val="32"/>
        </w:rPr>
        <w:t>各统筹区可自主预留一定额度的基金作为年度服务质量保证金，明确年度考核指标，强化对定点医疗机构的约束与引导。</w:t>
      </w:r>
    </w:p>
    <w:p>
      <w:pPr>
        <w:keepNext w:val="0"/>
        <w:keepLines w:val="0"/>
        <w:pageBreakBefore w:val="0"/>
        <w:numPr>
          <w:ilvl w:val="0"/>
          <w:numId w:val="2"/>
        </w:numPr>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市医疗救助中心</w:t>
      </w:r>
      <w:r>
        <w:rPr>
          <w:rFonts w:hint="eastAsia" w:ascii="Times New Roman" w:hAnsi="Times New Roman" w:eastAsia="仿宋_GB2312" w:cs="Times New Roman"/>
          <w:kern w:val="2"/>
          <w:sz w:val="32"/>
          <w:szCs w:val="32"/>
          <w:lang w:val="en-US" w:eastAsia="zh-CN" w:bidi="ar-SA"/>
        </w:rPr>
        <w:t>牵头组织</w:t>
      </w:r>
      <w:r>
        <w:rPr>
          <w:rFonts w:ascii="Times New Roman" w:hAnsi="Times New Roman" w:eastAsia="仿宋_GB2312" w:cs="Times New Roman"/>
          <w:kern w:val="2"/>
          <w:sz w:val="32"/>
          <w:szCs w:val="32"/>
          <w:lang w:val="en-US" w:eastAsia="zh-CN" w:bidi="ar-SA"/>
        </w:rPr>
        <w:t>各</w:t>
      </w:r>
      <w:r>
        <w:rPr>
          <w:rFonts w:hint="eastAsia" w:ascii="Times New Roman" w:hAnsi="Times New Roman" w:eastAsia="仿宋_GB2312" w:cs="Times New Roman"/>
          <w:kern w:val="2"/>
          <w:sz w:val="32"/>
          <w:szCs w:val="32"/>
          <w:lang w:val="en-US" w:eastAsia="zh-CN" w:bidi="ar-SA"/>
        </w:rPr>
        <w:t>统筹区做好救助</w:t>
      </w:r>
      <w:r>
        <w:rPr>
          <w:rFonts w:ascii="Times New Roman" w:hAnsi="Times New Roman" w:eastAsia="仿宋_GB2312" w:cs="Times New Roman"/>
          <w:kern w:val="2"/>
          <w:sz w:val="32"/>
          <w:szCs w:val="32"/>
          <w:lang w:val="en-US" w:eastAsia="zh-CN" w:bidi="ar-SA"/>
        </w:rPr>
        <w:t>基金运行监测。</w:t>
      </w:r>
      <w:r>
        <w:rPr>
          <w:rFonts w:hint="eastAsia" w:ascii="Times New Roman" w:hAnsi="Times New Roman" w:eastAsia="仿宋_GB2312" w:cs="Times New Roman"/>
          <w:kern w:val="2"/>
          <w:sz w:val="32"/>
          <w:szCs w:val="32"/>
          <w:lang w:val="en-US" w:eastAsia="zh-CN" w:bidi="ar-SA"/>
        </w:rPr>
        <w:t>月度拨付规则如下：</w:t>
      </w:r>
    </w:p>
    <w:p>
      <w:pPr>
        <w:keepNext w:val="0"/>
        <w:keepLines w:val="0"/>
        <w:pageBreakBefore w:val="0"/>
        <w:numPr>
          <w:ilvl w:val="0"/>
          <w:numId w:val="3"/>
        </w:numPr>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医疗机构当月实际救助支出</w:t>
      </w:r>
      <w:r>
        <w:rPr>
          <w:rFonts w:hint="eastAsia" w:ascii="Times New Roman" w:hAnsi="Times New Roman" w:eastAsia="仿宋_GB2312" w:cs="Times New Roman"/>
          <w:kern w:val="2"/>
          <w:sz w:val="32"/>
          <w:szCs w:val="32"/>
          <w:lang w:val="en-US" w:eastAsia="zh-CN" w:bidi="ar-SA"/>
        </w:rPr>
        <w:t>不低于</w:t>
      </w:r>
      <w:r>
        <w:rPr>
          <w:rFonts w:ascii="Times New Roman" w:hAnsi="Times New Roman" w:eastAsia="仿宋_GB2312" w:cs="Times New Roman"/>
          <w:kern w:val="2"/>
          <w:sz w:val="32"/>
          <w:szCs w:val="32"/>
          <w:lang w:val="en-US" w:eastAsia="zh-CN" w:bidi="ar-SA"/>
        </w:rPr>
        <w:t xml:space="preserve">月拨付定额 80% </w:t>
      </w:r>
      <w:r>
        <w:rPr>
          <w:rFonts w:hint="eastAsia" w:ascii="Times New Roman" w:hAnsi="Times New Roman" w:eastAsia="仿宋_GB2312" w:cs="Times New Roman"/>
          <w:kern w:val="2"/>
          <w:sz w:val="32"/>
          <w:szCs w:val="32"/>
          <w:lang w:val="en-US" w:eastAsia="zh-CN" w:bidi="ar-SA"/>
        </w:rPr>
        <w:t>时</w:t>
      </w:r>
      <w:r>
        <w:rPr>
          <w:rFonts w:ascii="Times New Roman" w:hAnsi="Times New Roman" w:eastAsia="仿宋_GB2312" w:cs="Times New Roman"/>
          <w:kern w:val="2"/>
          <w:sz w:val="32"/>
          <w:szCs w:val="32"/>
          <w:lang w:val="en-US" w:eastAsia="zh-CN" w:bidi="ar-SA"/>
        </w:rPr>
        <w:t>，按</w:t>
      </w:r>
      <w:r>
        <w:rPr>
          <w:rFonts w:hint="eastAsia" w:ascii="Times New Roman" w:hAnsi="Times New Roman" w:eastAsia="仿宋_GB2312" w:cs="Times New Roman"/>
          <w:kern w:val="2"/>
          <w:sz w:val="32"/>
          <w:szCs w:val="32"/>
          <w:lang w:val="en-US" w:eastAsia="zh-CN" w:bidi="ar-SA"/>
        </w:rPr>
        <w:t>照</w:t>
      </w:r>
      <w:r>
        <w:rPr>
          <w:rFonts w:ascii="Times New Roman" w:hAnsi="Times New Roman" w:eastAsia="仿宋_GB2312" w:cs="Times New Roman"/>
          <w:kern w:val="2"/>
          <w:sz w:val="32"/>
          <w:szCs w:val="32"/>
          <w:lang w:val="en-US" w:eastAsia="zh-CN" w:bidi="ar-SA"/>
        </w:rPr>
        <w:t>月定额拨付；</w:t>
      </w:r>
    </w:p>
    <w:p>
      <w:pPr>
        <w:keepNext w:val="0"/>
        <w:keepLines w:val="0"/>
        <w:pageBreakBefore w:val="0"/>
        <w:numPr>
          <w:ilvl w:val="0"/>
          <w:numId w:val="3"/>
        </w:numPr>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kern w:val="2"/>
          <w:sz w:val="32"/>
          <w:szCs w:val="32"/>
          <w:lang w:val="en-US" w:eastAsia="zh-CN" w:bidi="ar-SA"/>
        </w:rPr>
        <w:t>当月实际救助支出</w:t>
      </w:r>
      <w:r>
        <w:rPr>
          <w:rFonts w:hint="eastAsia" w:ascii="Times New Roman" w:hAnsi="Times New Roman" w:eastAsia="仿宋_GB2312" w:cs="Times New Roman"/>
          <w:kern w:val="2"/>
          <w:sz w:val="32"/>
          <w:szCs w:val="32"/>
          <w:lang w:val="en-US" w:eastAsia="zh-CN" w:bidi="ar-SA"/>
        </w:rPr>
        <w:t>低于</w:t>
      </w:r>
      <w:r>
        <w:rPr>
          <w:rFonts w:ascii="Times New Roman" w:hAnsi="Times New Roman" w:eastAsia="仿宋_GB2312" w:cs="Times New Roman"/>
          <w:kern w:val="2"/>
          <w:sz w:val="32"/>
          <w:szCs w:val="32"/>
          <w:lang w:val="en-US" w:eastAsia="zh-CN" w:bidi="ar-SA"/>
        </w:rPr>
        <w:t xml:space="preserve">月拨付定额 80% </w:t>
      </w:r>
      <w:r>
        <w:rPr>
          <w:rFonts w:hint="eastAsia" w:ascii="Times New Roman" w:hAnsi="Times New Roman" w:eastAsia="仿宋_GB2312" w:cs="Times New Roman"/>
          <w:kern w:val="2"/>
          <w:sz w:val="32"/>
          <w:szCs w:val="32"/>
          <w:lang w:val="en-US" w:eastAsia="zh-CN" w:bidi="ar-SA"/>
        </w:rPr>
        <w:t>时</w:t>
      </w:r>
      <w:r>
        <w:rPr>
          <w:rFonts w:ascii="Times New Roman" w:hAnsi="Times New Roman" w:eastAsia="仿宋_GB2312" w:cs="Times New Roman"/>
          <w:kern w:val="2"/>
          <w:sz w:val="32"/>
          <w:szCs w:val="32"/>
          <w:lang w:val="en-US" w:eastAsia="zh-CN" w:bidi="ar-SA"/>
        </w:rPr>
        <w:t>，据实拨付，结余额度</w:t>
      </w:r>
      <w:r>
        <w:rPr>
          <w:rFonts w:hint="eastAsia" w:ascii="Times New Roman" w:hAnsi="Times New Roman" w:eastAsia="仿宋_GB2312" w:cs="Times New Roman"/>
          <w:color w:val="auto"/>
          <w:sz w:val="32"/>
          <w:szCs w:val="32"/>
        </w:rPr>
        <w:t>可顺延滚存并在后期月拨支付</w:t>
      </w:r>
      <w:r>
        <w:rPr>
          <w:rFonts w:ascii="Times New Roman" w:hAnsi="Times New Roman" w:eastAsia="仿宋_GB2312" w:cs="Times New Roman"/>
          <w:kern w:val="2"/>
          <w:sz w:val="32"/>
          <w:szCs w:val="32"/>
          <w:lang w:val="en-US" w:eastAsia="zh-CN" w:bidi="ar-SA"/>
        </w:rPr>
        <w:t>。</w:t>
      </w:r>
    </w:p>
    <w:p>
      <w:pPr>
        <w:keepNext w:val="0"/>
        <w:keepLines w:val="0"/>
        <w:pageBreakBefore w:val="0"/>
        <w:numPr>
          <w:ilvl w:val="0"/>
          <w:numId w:val="3"/>
        </w:numPr>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原则上全年</w:t>
      </w:r>
      <w:r>
        <w:rPr>
          <w:rFonts w:hint="eastAsia" w:ascii="Times New Roman" w:hAnsi="Times New Roman" w:eastAsia="仿宋_GB2312" w:cs="Times New Roman"/>
          <w:color w:val="auto"/>
          <w:sz w:val="32"/>
          <w:szCs w:val="32"/>
          <w:lang w:val="en-US" w:eastAsia="zh-CN"/>
        </w:rPr>
        <w:t>累计</w:t>
      </w:r>
      <w:r>
        <w:rPr>
          <w:rFonts w:hint="eastAsia" w:ascii="Times New Roman" w:hAnsi="Times New Roman" w:eastAsia="仿宋_GB2312" w:cs="Times New Roman"/>
          <w:color w:val="auto"/>
          <w:sz w:val="32"/>
          <w:szCs w:val="32"/>
        </w:rPr>
        <w:t>支付金额不得超出预算总额。</w:t>
      </w:r>
    </w:p>
    <w:p>
      <w:pPr>
        <w:keepNext w:val="0"/>
        <w:keepLines w:val="0"/>
        <w:pageBreakBefore w:val="0"/>
        <w:numPr>
          <w:ilvl w:val="0"/>
          <w:numId w:val="2"/>
        </w:numPr>
        <w:kinsoku/>
        <w:wordWrap/>
        <w:overflowPunct/>
        <w:topLinePunct w:val="0"/>
        <w:autoSpaceDE/>
        <w:autoSpaceDN/>
        <w:bidi w:val="0"/>
        <w:adjustRightInd/>
        <w:snapToGrid/>
        <w:spacing w:line="570" w:lineRule="exact"/>
        <w:ind w:firstLine="640" w:firstLineChars="200"/>
        <w:jc w:val="both"/>
        <w:textAlignment w:val="auto"/>
        <w:rPr>
          <w:rFonts w:hint="eastAsia" w:ascii="楷体_GB2312" w:hAnsi="楷体" w:eastAsia="楷体_GB2312" w:cs="楷体"/>
          <w:b w:val="0"/>
          <w:bCs w:val="0"/>
          <w:kern w:val="2"/>
          <w:sz w:val="32"/>
          <w:szCs w:val="32"/>
          <w:lang w:val="en-US" w:eastAsia="zh-CN" w:bidi="ar-SA"/>
        </w:rPr>
      </w:pPr>
      <w:r>
        <w:rPr>
          <w:rFonts w:ascii="Times New Roman" w:hAnsi="Times New Roman" w:eastAsia="仿宋_GB2312" w:cs="Times New Roman"/>
          <w:kern w:val="2"/>
          <w:sz w:val="32"/>
          <w:szCs w:val="32"/>
          <w:lang w:val="en-US" w:eastAsia="zh-CN" w:bidi="ar-SA"/>
        </w:rPr>
        <w:t>市医疗救助中心于每年 1 月组织各</w:t>
      </w:r>
      <w:r>
        <w:rPr>
          <w:rFonts w:hint="eastAsia" w:ascii="Times New Roman" w:hAnsi="Times New Roman" w:eastAsia="仿宋_GB2312" w:cs="Times New Roman"/>
          <w:kern w:val="2"/>
          <w:sz w:val="32"/>
          <w:szCs w:val="32"/>
          <w:lang w:val="en-US" w:eastAsia="zh-CN" w:bidi="ar-SA"/>
        </w:rPr>
        <w:t>统筹区做好</w:t>
      </w:r>
      <w:r>
        <w:rPr>
          <w:rFonts w:ascii="Times New Roman" w:hAnsi="Times New Roman" w:eastAsia="仿宋_GB2312" w:cs="Times New Roman"/>
          <w:kern w:val="2"/>
          <w:sz w:val="32"/>
          <w:szCs w:val="32"/>
          <w:lang w:val="en-US" w:eastAsia="zh-CN" w:bidi="ar-SA"/>
        </w:rPr>
        <w:t>上年度清算</w:t>
      </w:r>
      <w:r>
        <w:rPr>
          <w:rFonts w:hint="eastAsia" w:ascii="Times New Roman" w:hAnsi="Times New Roman" w:eastAsia="仿宋_GB2312" w:cs="Times New Roman"/>
          <w:kern w:val="2"/>
          <w:sz w:val="32"/>
          <w:szCs w:val="32"/>
          <w:lang w:val="en-US" w:eastAsia="zh-CN" w:bidi="ar-SA"/>
        </w:rPr>
        <w:t>准备</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color w:val="auto"/>
          <w:sz w:val="32"/>
          <w:szCs w:val="32"/>
        </w:rPr>
        <w:t>分等级统计各级别医疗机构实际发生救助支出。</w:t>
      </w:r>
      <w:r>
        <w:rPr>
          <w:rFonts w:hint="eastAsia" w:ascii="Times New Roman" w:hAnsi="Times New Roman" w:eastAsia="仿宋_GB2312" w:cs="Times New Roman"/>
          <w:color w:val="auto"/>
          <w:sz w:val="32"/>
          <w:szCs w:val="32"/>
          <w:lang w:val="en-US" w:eastAsia="zh-CN"/>
        </w:rPr>
        <w:t>年度拨付规则如下：</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1. 医疗机构年度实际救助支出</w:t>
      </w:r>
      <w:r>
        <w:rPr>
          <w:rFonts w:hint="eastAsia" w:ascii="Times New Roman" w:hAnsi="Times New Roman" w:eastAsia="仿宋_GB2312" w:cs="Times New Roman"/>
          <w:kern w:val="2"/>
          <w:sz w:val="32"/>
          <w:szCs w:val="32"/>
          <w:lang w:val="en-US" w:eastAsia="zh-CN" w:bidi="ar-SA"/>
        </w:rPr>
        <w:t>不低于</w:t>
      </w:r>
      <w:r>
        <w:rPr>
          <w:rFonts w:ascii="Times New Roman" w:hAnsi="Times New Roman" w:eastAsia="仿宋_GB2312" w:cs="Times New Roman"/>
          <w:kern w:val="2"/>
          <w:sz w:val="32"/>
          <w:szCs w:val="32"/>
          <w:lang w:val="en-US" w:eastAsia="zh-CN" w:bidi="ar-SA"/>
        </w:rPr>
        <w:t>核定总额 80%</w:t>
      </w:r>
      <w:r>
        <w:rPr>
          <w:rFonts w:hint="eastAsia" w:ascii="Times New Roman" w:hAnsi="Times New Roman" w:eastAsia="仿宋_GB2312" w:cs="Times New Roman"/>
          <w:kern w:val="2"/>
          <w:sz w:val="32"/>
          <w:szCs w:val="32"/>
          <w:lang w:val="en-US" w:eastAsia="zh-CN" w:bidi="ar-SA"/>
        </w:rPr>
        <w:t>的</w:t>
      </w:r>
      <w:r>
        <w:rPr>
          <w:rFonts w:ascii="Times New Roman" w:hAnsi="Times New Roman" w:eastAsia="仿宋_GB2312" w:cs="Times New Roman"/>
          <w:kern w:val="2"/>
          <w:sz w:val="32"/>
          <w:szCs w:val="32"/>
          <w:lang w:val="en-US" w:eastAsia="zh-CN" w:bidi="ar-SA"/>
        </w:rPr>
        <w:t>，按照核定总额予以支付；</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2. 年度实际救助支出处于核定总额 70%</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79% 区间</w:t>
      </w:r>
      <w:r>
        <w:rPr>
          <w:rFonts w:hint="eastAsia" w:ascii="Times New Roman" w:hAnsi="Times New Roman" w:eastAsia="仿宋_GB2312" w:cs="Times New Roman"/>
          <w:kern w:val="2"/>
          <w:sz w:val="32"/>
          <w:szCs w:val="32"/>
          <w:lang w:val="en-US" w:eastAsia="zh-CN" w:bidi="ar-SA"/>
        </w:rPr>
        <w:t>的</w:t>
      </w:r>
      <w:r>
        <w:rPr>
          <w:rFonts w:ascii="Times New Roman" w:hAnsi="Times New Roman" w:eastAsia="仿宋_GB2312" w:cs="Times New Roman"/>
          <w:kern w:val="2"/>
          <w:sz w:val="32"/>
          <w:szCs w:val="32"/>
          <w:lang w:val="en-US" w:eastAsia="zh-CN" w:bidi="ar-SA"/>
        </w:rPr>
        <w:t>，按核定总额 90% 支付，</w:t>
      </w:r>
      <w:r>
        <w:rPr>
          <w:rFonts w:hint="eastAsia" w:ascii="Times New Roman" w:hAnsi="Times New Roman" w:eastAsia="仿宋_GB2312" w:cs="Times New Roman"/>
          <w:kern w:val="2"/>
          <w:sz w:val="32"/>
          <w:szCs w:val="32"/>
          <w:lang w:val="en-US" w:eastAsia="zh-CN" w:bidi="ar-SA"/>
        </w:rPr>
        <w:t>将</w:t>
      </w:r>
      <w:r>
        <w:rPr>
          <w:rFonts w:ascii="Times New Roman" w:hAnsi="Times New Roman" w:eastAsia="仿宋_GB2312" w:cs="Times New Roman"/>
          <w:kern w:val="2"/>
          <w:sz w:val="32"/>
          <w:szCs w:val="32"/>
          <w:lang w:val="en-US" w:eastAsia="zh-CN" w:bidi="ar-SA"/>
        </w:rPr>
        <w:t>结余额度定向结转</w:t>
      </w:r>
      <w:r>
        <w:rPr>
          <w:rFonts w:hint="eastAsia" w:ascii="Times New Roman" w:hAnsi="Times New Roman" w:eastAsia="仿宋_GB2312" w:cs="Times New Roman"/>
          <w:kern w:val="2"/>
          <w:sz w:val="32"/>
          <w:szCs w:val="32"/>
          <w:lang w:val="en-US" w:eastAsia="zh-CN" w:bidi="ar-SA"/>
        </w:rPr>
        <w:t>至</w:t>
      </w:r>
      <w:r>
        <w:rPr>
          <w:rFonts w:ascii="Times New Roman" w:hAnsi="Times New Roman" w:eastAsia="仿宋_GB2312" w:cs="Times New Roman"/>
          <w:kern w:val="2"/>
          <w:sz w:val="32"/>
          <w:szCs w:val="32"/>
          <w:lang w:val="en-US" w:eastAsia="zh-CN" w:bidi="ar-SA"/>
        </w:rPr>
        <w:t>该</w:t>
      </w:r>
      <w:r>
        <w:rPr>
          <w:rFonts w:hint="eastAsia" w:ascii="Times New Roman" w:hAnsi="Times New Roman" w:eastAsia="仿宋_GB2312" w:cs="Times New Roman"/>
          <w:kern w:val="2"/>
          <w:sz w:val="32"/>
          <w:szCs w:val="32"/>
          <w:lang w:val="en-US" w:eastAsia="zh-CN" w:bidi="ar-SA"/>
        </w:rPr>
        <w:t>医疗</w:t>
      </w:r>
      <w:r>
        <w:rPr>
          <w:rFonts w:ascii="Times New Roman" w:hAnsi="Times New Roman" w:eastAsia="仿宋_GB2312" w:cs="Times New Roman"/>
          <w:kern w:val="2"/>
          <w:sz w:val="32"/>
          <w:szCs w:val="32"/>
          <w:lang w:val="en-US" w:eastAsia="zh-CN" w:bidi="ar-SA"/>
        </w:rPr>
        <w:t>机构下年度预算；</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3. 年度实际救助支出低于核定总额 70%</w:t>
      </w:r>
      <w:r>
        <w:rPr>
          <w:rFonts w:hint="eastAsia" w:ascii="Times New Roman" w:hAnsi="Times New Roman" w:eastAsia="仿宋_GB2312" w:cs="Times New Roman"/>
          <w:kern w:val="2"/>
          <w:sz w:val="32"/>
          <w:szCs w:val="32"/>
          <w:lang w:val="en-US" w:eastAsia="zh-CN" w:bidi="ar-SA"/>
        </w:rPr>
        <w:t>的</w:t>
      </w:r>
      <w:r>
        <w:rPr>
          <w:rFonts w:ascii="Times New Roman" w:hAnsi="Times New Roman" w:eastAsia="仿宋_GB2312" w:cs="Times New Roman"/>
          <w:kern w:val="2"/>
          <w:sz w:val="32"/>
          <w:szCs w:val="32"/>
          <w:lang w:val="en-US" w:eastAsia="zh-CN" w:bidi="ar-SA"/>
        </w:rPr>
        <w:t>，据实结算，</w:t>
      </w:r>
      <w:r>
        <w:rPr>
          <w:rFonts w:hint="eastAsia" w:ascii="Times New Roman" w:hAnsi="Times New Roman" w:eastAsia="仿宋_GB2312" w:cs="Times New Roman"/>
          <w:kern w:val="2"/>
          <w:sz w:val="32"/>
          <w:szCs w:val="32"/>
          <w:lang w:val="en-US" w:eastAsia="zh-CN" w:bidi="ar-SA"/>
        </w:rPr>
        <w:t>将</w:t>
      </w:r>
      <w:r>
        <w:rPr>
          <w:rFonts w:ascii="Times New Roman" w:hAnsi="Times New Roman" w:eastAsia="仿宋_GB2312" w:cs="Times New Roman"/>
          <w:kern w:val="2"/>
          <w:sz w:val="32"/>
          <w:szCs w:val="32"/>
          <w:lang w:val="en-US" w:eastAsia="zh-CN" w:bidi="ar-SA"/>
        </w:rPr>
        <w:t>不高于 15% 的结余额度定向结转</w:t>
      </w:r>
      <w:r>
        <w:rPr>
          <w:rFonts w:hint="eastAsia" w:ascii="Times New Roman" w:hAnsi="Times New Roman" w:eastAsia="仿宋_GB2312" w:cs="Times New Roman"/>
          <w:kern w:val="2"/>
          <w:sz w:val="32"/>
          <w:szCs w:val="32"/>
          <w:lang w:val="en-US" w:eastAsia="zh-CN" w:bidi="ar-SA"/>
        </w:rPr>
        <w:t>至</w:t>
      </w:r>
      <w:r>
        <w:rPr>
          <w:rFonts w:ascii="Times New Roman" w:hAnsi="Times New Roman" w:eastAsia="仿宋_GB2312" w:cs="Times New Roman"/>
          <w:kern w:val="2"/>
          <w:sz w:val="32"/>
          <w:szCs w:val="32"/>
          <w:lang w:val="en-US" w:eastAsia="zh-CN" w:bidi="ar-SA"/>
        </w:rPr>
        <w:t>该</w:t>
      </w:r>
      <w:r>
        <w:rPr>
          <w:rFonts w:hint="eastAsia" w:ascii="Times New Roman" w:hAnsi="Times New Roman" w:eastAsia="仿宋_GB2312" w:cs="Times New Roman"/>
          <w:kern w:val="2"/>
          <w:sz w:val="32"/>
          <w:szCs w:val="32"/>
          <w:lang w:val="en-US" w:eastAsia="zh-CN" w:bidi="ar-SA"/>
        </w:rPr>
        <w:t>医疗</w:t>
      </w:r>
      <w:r>
        <w:rPr>
          <w:rFonts w:ascii="Times New Roman" w:hAnsi="Times New Roman" w:eastAsia="仿宋_GB2312" w:cs="Times New Roman"/>
          <w:kern w:val="2"/>
          <w:sz w:val="32"/>
          <w:szCs w:val="32"/>
          <w:lang w:val="en-US" w:eastAsia="zh-CN" w:bidi="ar-SA"/>
        </w:rPr>
        <w:t>机构下年度预算；</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4. 年度实际救助支出超出核定总额</w:t>
      </w:r>
      <w:r>
        <w:rPr>
          <w:rFonts w:hint="eastAsia" w:ascii="Times New Roman" w:hAnsi="Times New Roman" w:eastAsia="仿宋_GB2312" w:cs="Times New Roman"/>
          <w:kern w:val="2"/>
          <w:sz w:val="32"/>
          <w:szCs w:val="32"/>
          <w:lang w:val="en-US" w:eastAsia="zh-CN" w:bidi="ar-SA"/>
        </w:rPr>
        <w:t>时</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超出部分</w:t>
      </w:r>
      <w:r>
        <w:rPr>
          <w:rFonts w:ascii="Times New Roman" w:hAnsi="Times New Roman" w:eastAsia="仿宋_GB2312" w:cs="Times New Roman"/>
          <w:kern w:val="2"/>
          <w:sz w:val="32"/>
          <w:szCs w:val="32"/>
          <w:lang w:val="en-US" w:eastAsia="zh-CN" w:bidi="ar-SA"/>
        </w:rPr>
        <w:t>由医疗机构自行承担</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原则上不予追加。</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黑体" w:hAnsi="黑体" w:eastAsia="黑体" w:cs="黑体"/>
          <w:color w:val="auto"/>
          <w:sz w:val="32"/>
          <w:szCs w:val="32"/>
          <w:lang w:val="en-US" w:eastAsia="zh-CN"/>
        </w:rPr>
      </w:pPr>
      <w:bookmarkStart w:id="17" w:name="heading_17"/>
      <w:r>
        <w:rPr>
          <w:rFonts w:hint="eastAsia" w:ascii="黑体" w:hAnsi="黑体" w:eastAsia="黑体" w:cs="黑体"/>
          <w:color w:val="auto"/>
          <w:sz w:val="32"/>
          <w:szCs w:val="32"/>
          <w:lang w:val="en-US" w:eastAsia="zh-CN"/>
        </w:rPr>
        <w:t>六、</w:t>
      </w:r>
      <w:bookmarkEnd w:id="17"/>
      <w:bookmarkStart w:id="18" w:name="heading_18"/>
      <w:r>
        <w:rPr>
          <w:rFonts w:hint="eastAsia" w:ascii="黑体" w:hAnsi="黑体" w:eastAsia="黑体" w:cs="黑体"/>
          <w:color w:val="auto"/>
          <w:sz w:val="32"/>
          <w:szCs w:val="32"/>
          <w:lang w:val="en-US" w:eastAsia="zh-CN"/>
        </w:rPr>
        <w:t>主要工作</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楷体_GB2312" w:hAnsi="楷体" w:eastAsia="楷体_GB2312" w:cs="楷体"/>
          <w:color w:val="auto"/>
          <w:kern w:val="2"/>
          <w:sz w:val="32"/>
          <w:szCs w:val="32"/>
          <w:lang w:val="en-US" w:eastAsia="zh-CN" w:bidi="ar-SA"/>
        </w:rPr>
        <w:t>（一）数据归集分析</w:t>
      </w:r>
      <w:bookmarkEnd w:id="18"/>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市医疗救助中心指导各统筹区基于</w:t>
      </w:r>
      <w:r>
        <w:rPr>
          <w:rFonts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3—</w:t>
      </w:r>
      <w:r>
        <w:rPr>
          <w:rFonts w:ascii="Times New Roman" w:hAnsi="Times New Roman" w:eastAsia="仿宋_GB2312" w:cs="Times New Roman"/>
          <w:kern w:val="2"/>
          <w:sz w:val="32"/>
          <w:szCs w:val="32"/>
          <w:lang w:val="en-US" w:eastAsia="zh-CN" w:bidi="ar-SA"/>
        </w:rPr>
        <w:t>2025 年医疗救助全量结算数据，</w:t>
      </w:r>
      <w:r>
        <w:rPr>
          <w:rFonts w:hint="eastAsia" w:ascii="Times New Roman" w:hAnsi="Times New Roman" w:eastAsia="仿宋_GB2312" w:cs="Times New Roman"/>
          <w:color w:val="auto"/>
          <w:sz w:val="32"/>
          <w:szCs w:val="32"/>
        </w:rPr>
        <w:t>对救助对象就医层次、就医流向、就医费用分布</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不同等级医疗机构均次费用、历年费用增长情况等多方面进行综合分析</w:t>
      </w:r>
      <w:r>
        <w:rPr>
          <w:rFonts w:ascii="Times New Roman" w:hAnsi="Times New Roman" w:eastAsia="仿宋_GB2312" w:cs="Times New Roman"/>
          <w:kern w:val="2"/>
          <w:sz w:val="32"/>
          <w:szCs w:val="32"/>
          <w:lang w:val="en-US" w:eastAsia="zh-CN" w:bidi="ar-SA"/>
        </w:rPr>
        <w:t>，夯实测算基础。</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bookmarkStart w:id="19" w:name="heading_19"/>
      <w:r>
        <w:rPr>
          <w:rFonts w:hint="eastAsia" w:ascii="楷体_GB2312" w:hAnsi="楷体" w:eastAsia="楷体_GB2312" w:cs="楷体"/>
          <w:color w:val="auto"/>
          <w:kern w:val="2"/>
          <w:sz w:val="32"/>
          <w:szCs w:val="32"/>
          <w:lang w:val="en-US" w:eastAsia="zh-CN" w:bidi="ar-SA"/>
        </w:rPr>
        <w:t>（二）优化测算方法</w:t>
      </w:r>
    </w:p>
    <w:bookmarkEnd w:id="19"/>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各统筹区在前期</w:t>
      </w:r>
      <w:r>
        <w:rPr>
          <w:rFonts w:ascii="Times New Roman" w:hAnsi="Times New Roman" w:eastAsia="仿宋_GB2312" w:cs="Times New Roman"/>
          <w:kern w:val="2"/>
          <w:sz w:val="32"/>
          <w:szCs w:val="32"/>
          <w:lang w:val="en-US" w:eastAsia="zh-CN" w:bidi="ar-SA"/>
        </w:rPr>
        <w:t>数据分析</w:t>
      </w:r>
      <w:r>
        <w:rPr>
          <w:rFonts w:hint="eastAsia" w:ascii="Times New Roman" w:hAnsi="Times New Roman" w:eastAsia="仿宋_GB2312" w:cs="Times New Roman"/>
          <w:kern w:val="2"/>
          <w:sz w:val="32"/>
          <w:szCs w:val="32"/>
          <w:lang w:val="en-US" w:eastAsia="zh-CN" w:bidi="ar-SA"/>
        </w:rPr>
        <w:t>基础上</w:t>
      </w:r>
      <w:r>
        <w:rPr>
          <w:rFonts w:ascii="Times New Roman" w:hAnsi="Times New Roman" w:eastAsia="仿宋_GB2312" w:cs="Times New Roman"/>
          <w:kern w:val="2"/>
          <w:sz w:val="32"/>
          <w:szCs w:val="32"/>
          <w:lang w:val="en-US" w:eastAsia="zh-CN" w:bidi="ar-SA"/>
        </w:rPr>
        <w:t>，确定总额付费测算模型，</w:t>
      </w:r>
      <w:r>
        <w:rPr>
          <w:rFonts w:hint="eastAsia" w:ascii="Times New Roman" w:hAnsi="Times New Roman" w:eastAsia="仿宋_GB2312" w:cs="Times New Roman"/>
          <w:kern w:val="2"/>
          <w:sz w:val="32"/>
          <w:szCs w:val="32"/>
          <w:lang w:val="en-US" w:eastAsia="zh-CN" w:bidi="ar-SA"/>
        </w:rPr>
        <w:t>完成初步</w:t>
      </w:r>
      <w:r>
        <w:rPr>
          <w:rFonts w:ascii="Times New Roman" w:hAnsi="Times New Roman" w:eastAsia="仿宋_GB2312" w:cs="Times New Roman"/>
          <w:kern w:val="2"/>
          <w:sz w:val="32"/>
          <w:szCs w:val="32"/>
          <w:lang w:val="en-US" w:eastAsia="zh-CN" w:bidi="ar-SA"/>
        </w:rPr>
        <w:t>试算</w:t>
      </w:r>
      <w:r>
        <w:rPr>
          <w:rFonts w:hint="eastAsia" w:ascii="Times New Roman" w:hAnsi="Times New Roman" w:eastAsia="仿宋_GB2312" w:cs="Times New Roman"/>
          <w:kern w:val="2"/>
          <w:sz w:val="32"/>
          <w:szCs w:val="32"/>
          <w:lang w:val="en-US" w:eastAsia="zh-CN" w:bidi="ar-SA"/>
        </w:rPr>
        <w:t>。市医疗救助中心组织</w:t>
      </w:r>
      <w:r>
        <w:rPr>
          <w:rFonts w:ascii="Times New Roman" w:hAnsi="Times New Roman" w:eastAsia="仿宋_GB2312" w:cs="Times New Roman"/>
          <w:kern w:val="2"/>
          <w:sz w:val="32"/>
          <w:szCs w:val="32"/>
          <w:lang w:val="en-US" w:eastAsia="zh-CN" w:bidi="ar-SA"/>
        </w:rPr>
        <w:t>征求意见，修改完善相关规则。</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bookmarkStart w:id="20" w:name="heading_20"/>
      <w:r>
        <w:rPr>
          <w:rFonts w:hint="eastAsia" w:ascii="楷体_GB2312" w:hAnsi="楷体" w:eastAsia="楷体_GB2312" w:cs="楷体"/>
          <w:color w:val="auto"/>
          <w:kern w:val="2"/>
          <w:sz w:val="32"/>
          <w:szCs w:val="32"/>
          <w:lang w:val="en-US" w:eastAsia="zh-CN" w:bidi="ar-SA"/>
        </w:rPr>
        <w:t>（三）做好启动筹备</w:t>
      </w:r>
      <w:bookmarkEnd w:id="20"/>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市医疗救助中心</w:t>
      </w:r>
      <w:r>
        <w:rPr>
          <w:rFonts w:ascii="Times New Roman" w:hAnsi="Times New Roman" w:eastAsia="仿宋_GB2312" w:cs="Times New Roman"/>
          <w:kern w:val="2"/>
          <w:sz w:val="32"/>
          <w:szCs w:val="32"/>
          <w:lang w:val="en-US" w:eastAsia="zh-CN" w:bidi="ar-SA"/>
        </w:rPr>
        <w:t>组织</w:t>
      </w:r>
      <w:r>
        <w:rPr>
          <w:rFonts w:hint="eastAsia" w:ascii="Times New Roman" w:hAnsi="Times New Roman" w:eastAsia="仿宋_GB2312" w:cs="Times New Roman"/>
          <w:color w:val="auto"/>
          <w:sz w:val="32"/>
          <w:szCs w:val="32"/>
        </w:rPr>
        <w:t>各</w:t>
      </w:r>
      <w:r>
        <w:rPr>
          <w:rFonts w:hint="eastAsia" w:ascii="Times New Roman" w:hAnsi="Times New Roman" w:eastAsia="仿宋_GB2312" w:cs="Times New Roman"/>
          <w:color w:val="auto"/>
          <w:sz w:val="32"/>
          <w:szCs w:val="32"/>
          <w:lang w:val="en-US" w:eastAsia="zh-CN"/>
        </w:rPr>
        <w:t>统筹区</w:t>
      </w:r>
      <w:r>
        <w:rPr>
          <w:rFonts w:ascii="Times New Roman" w:hAnsi="Times New Roman" w:eastAsia="仿宋_GB2312" w:cs="Times New Roman"/>
          <w:kern w:val="2"/>
          <w:sz w:val="32"/>
          <w:szCs w:val="32"/>
          <w:lang w:val="en-US" w:eastAsia="zh-CN" w:bidi="ar-SA"/>
        </w:rPr>
        <w:t>开展</w:t>
      </w:r>
      <w:r>
        <w:rPr>
          <w:rFonts w:hint="eastAsia" w:ascii="Times New Roman" w:hAnsi="Times New Roman" w:eastAsia="仿宋_GB2312" w:cs="Times New Roman"/>
          <w:color w:val="auto"/>
          <w:sz w:val="32"/>
          <w:szCs w:val="32"/>
        </w:rPr>
        <w:t>测算及基金支付管理的</w:t>
      </w:r>
      <w:r>
        <w:rPr>
          <w:rFonts w:hint="eastAsia" w:ascii="Times New Roman" w:hAnsi="Times New Roman" w:eastAsia="仿宋_GB2312" w:cs="Times New Roman"/>
          <w:color w:val="auto"/>
          <w:sz w:val="32"/>
          <w:szCs w:val="32"/>
          <w:lang w:val="en-US" w:eastAsia="zh-CN"/>
        </w:rPr>
        <w:t>讨论</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共同</w:t>
      </w:r>
      <w:r>
        <w:rPr>
          <w:rFonts w:ascii="Times New Roman" w:hAnsi="Times New Roman" w:eastAsia="仿宋_GB2312" w:cs="Times New Roman"/>
          <w:kern w:val="2"/>
          <w:sz w:val="32"/>
          <w:szCs w:val="32"/>
          <w:lang w:val="en-US" w:eastAsia="zh-CN" w:bidi="ar-SA"/>
        </w:rPr>
        <w:t>明确总额付费</w:t>
      </w:r>
      <w:r>
        <w:rPr>
          <w:rFonts w:hint="eastAsia" w:ascii="Times New Roman" w:hAnsi="Times New Roman" w:eastAsia="仿宋_GB2312" w:cs="Times New Roman"/>
          <w:kern w:val="2"/>
          <w:sz w:val="32"/>
          <w:szCs w:val="32"/>
          <w:lang w:val="en-US" w:eastAsia="zh-CN" w:bidi="ar-SA"/>
        </w:rPr>
        <w:t>测算基准</w:t>
      </w:r>
      <w:r>
        <w:rPr>
          <w:rFonts w:ascii="Times New Roman" w:hAnsi="Times New Roman" w:eastAsia="仿宋_GB2312" w:cs="Times New Roman"/>
          <w:kern w:val="2"/>
          <w:sz w:val="32"/>
          <w:szCs w:val="32"/>
          <w:lang w:val="en-US" w:eastAsia="zh-CN" w:bidi="ar-SA"/>
        </w:rPr>
        <w:t>、基金支付流程操作要点；指导各</w:t>
      </w:r>
      <w:r>
        <w:rPr>
          <w:rFonts w:hint="eastAsia" w:ascii="Times New Roman" w:hAnsi="Times New Roman" w:eastAsia="仿宋_GB2312" w:cs="Times New Roman"/>
          <w:kern w:val="2"/>
          <w:sz w:val="32"/>
          <w:szCs w:val="32"/>
          <w:lang w:val="en-US" w:eastAsia="zh-CN" w:bidi="ar-SA"/>
        </w:rPr>
        <w:t>统筹区做好</w:t>
      </w:r>
      <w:r>
        <w:rPr>
          <w:rFonts w:ascii="Times New Roman" w:hAnsi="Times New Roman" w:eastAsia="仿宋_GB2312" w:cs="Times New Roman"/>
          <w:kern w:val="2"/>
          <w:sz w:val="32"/>
          <w:szCs w:val="32"/>
          <w:lang w:val="en-US" w:eastAsia="zh-CN" w:bidi="ar-SA"/>
        </w:rPr>
        <w:t>基金</w:t>
      </w:r>
      <w:r>
        <w:rPr>
          <w:rFonts w:hint="eastAsia" w:ascii="Times New Roman" w:hAnsi="Times New Roman" w:eastAsia="仿宋_GB2312" w:cs="Times New Roman"/>
          <w:kern w:val="2"/>
          <w:sz w:val="32"/>
          <w:szCs w:val="32"/>
          <w:lang w:val="en-US" w:eastAsia="zh-CN" w:bidi="ar-SA"/>
        </w:rPr>
        <w:t>使用</w:t>
      </w:r>
      <w:r>
        <w:rPr>
          <w:rFonts w:ascii="Times New Roman" w:hAnsi="Times New Roman" w:eastAsia="仿宋_GB2312" w:cs="Times New Roman"/>
          <w:kern w:val="2"/>
          <w:sz w:val="32"/>
          <w:szCs w:val="32"/>
          <w:lang w:val="en-US" w:eastAsia="zh-CN" w:bidi="ar-SA"/>
        </w:rPr>
        <w:t>规划</w:t>
      </w:r>
      <w:r>
        <w:rPr>
          <w:rFonts w:hint="eastAsia" w:ascii="Times New Roman" w:hAnsi="Times New Roman" w:eastAsia="仿宋_GB2312" w:cs="Times New Roman"/>
          <w:kern w:val="2"/>
          <w:sz w:val="32"/>
          <w:szCs w:val="32"/>
          <w:lang w:val="en-US" w:eastAsia="zh-CN" w:bidi="ar-SA"/>
        </w:rPr>
        <w:t>与</w:t>
      </w:r>
      <w:r>
        <w:rPr>
          <w:rFonts w:ascii="Times New Roman" w:hAnsi="Times New Roman" w:eastAsia="仿宋_GB2312" w:cs="Times New Roman"/>
          <w:kern w:val="2"/>
          <w:sz w:val="32"/>
          <w:szCs w:val="32"/>
          <w:lang w:val="en-US" w:eastAsia="zh-CN" w:bidi="ar-SA"/>
        </w:rPr>
        <w:t>机构额度</w:t>
      </w:r>
      <w:r>
        <w:rPr>
          <w:rFonts w:hint="eastAsia" w:ascii="Times New Roman" w:hAnsi="Times New Roman" w:eastAsia="仿宋_GB2312" w:cs="Times New Roman"/>
          <w:kern w:val="2"/>
          <w:sz w:val="32"/>
          <w:szCs w:val="32"/>
          <w:lang w:val="en-US" w:eastAsia="zh-CN" w:bidi="ar-SA"/>
        </w:rPr>
        <w:t>分配</w:t>
      </w:r>
      <w:r>
        <w:rPr>
          <w:rFonts w:ascii="Times New Roman" w:hAnsi="Times New Roman" w:eastAsia="仿宋_GB2312" w:cs="Times New Roman"/>
          <w:kern w:val="2"/>
          <w:sz w:val="32"/>
          <w:szCs w:val="32"/>
          <w:lang w:val="en-US" w:eastAsia="zh-CN" w:bidi="ar-SA"/>
        </w:rPr>
        <w:t>，汇总复核并</w:t>
      </w:r>
      <w:r>
        <w:rPr>
          <w:rFonts w:hint="eastAsia" w:ascii="Times New Roman" w:hAnsi="Times New Roman" w:eastAsia="仿宋_GB2312" w:cs="Times New Roman"/>
          <w:kern w:val="2"/>
          <w:sz w:val="32"/>
          <w:szCs w:val="32"/>
          <w:lang w:val="en-US" w:eastAsia="zh-CN" w:bidi="ar-SA"/>
        </w:rPr>
        <w:t>组织</w:t>
      </w:r>
      <w:r>
        <w:rPr>
          <w:rFonts w:ascii="Times New Roman" w:hAnsi="Times New Roman" w:eastAsia="仿宋_GB2312" w:cs="Times New Roman"/>
          <w:kern w:val="2"/>
          <w:sz w:val="32"/>
          <w:szCs w:val="32"/>
          <w:lang w:val="en-US" w:eastAsia="zh-CN" w:bidi="ar-SA"/>
        </w:rPr>
        <w:t>调整；</w:t>
      </w:r>
      <w:r>
        <w:rPr>
          <w:rFonts w:hint="eastAsia" w:ascii="Times New Roman" w:hAnsi="Times New Roman" w:eastAsia="仿宋_GB2312" w:cs="Times New Roman"/>
          <w:kern w:val="2"/>
          <w:sz w:val="32"/>
          <w:szCs w:val="32"/>
          <w:lang w:val="en-US" w:eastAsia="zh-CN" w:bidi="ar-SA"/>
        </w:rPr>
        <w:t>指导各统筹区就总额付费、月度支付财务核算、机构申报、对账要求、流程管理等形成工作方案，上报市医疗救助中心；指导各统筹区主动</w:t>
      </w:r>
      <w:r>
        <w:rPr>
          <w:rFonts w:ascii="Times New Roman" w:hAnsi="Times New Roman" w:eastAsia="仿宋_GB2312" w:cs="Times New Roman"/>
          <w:kern w:val="2"/>
          <w:sz w:val="32"/>
          <w:szCs w:val="32"/>
          <w:lang w:val="en-US" w:eastAsia="zh-CN" w:bidi="ar-SA"/>
        </w:rPr>
        <w:t>与定点医疗机构沟通对接，</w:t>
      </w:r>
      <w:r>
        <w:rPr>
          <w:rFonts w:hint="eastAsia" w:ascii="Times New Roman" w:hAnsi="Times New Roman" w:eastAsia="仿宋_GB2312" w:cs="Times New Roman"/>
          <w:kern w:val="2"/>
          <w:sz w:val="32"/>
          <w:szCs w:val="32"/>
          <w:lang w:val="en-US" w:eastAsia="zh-CN" w:bidi="ar-SA"/>
        </w:rPr>
        <w:t>积极</w:t>
      </w:r>
      <w:r>
        <w:rPr>
          <w:rFonts w:ascii="Times New Roman" w:hAnsi="Times New Roman" w:eastAsia="仿宋_GB2312" w:cs="Times New Roman"/>
          <w:kern w:val="2"/>
          <w:sz w:val="32"/>
          <w:szCs w:val="32"/>
          <w:lang w:val="en-US" w:eastAsia="zh-CN" w:bidi="ar-SA"/>
        </w:rPr>
        <w:t>做</w:t>
      </w:r>
      <w:r>
        <w:rPr>
          <w:rFonts w:hint="eastAsia" w:ascii="Times New Roman" w:hAnsi="Times New Roman" w:eastAsia="仿宋_GB2312" w:cs="Times New Roman"/>
          <w:kern w:val="2"/>
          <w:sz w:val="32"/>
          <w:szCs w:val="32"/>
          <w:lang w:val="en-US" w:eastAsia="zh-CN" w:bidi="ar-SA"/>
        </w:rPr>
        <w:t>好</w:t>
      </w:r>
      <w:r>
        <w:rPr>
          <w:rFonts w:ascii="Times New Roman" w:hAnsi="Times New Roman" w:eastAsia="仿宋_GB2312" w:cs="Times New Roman"/>
          <w:kern w:val="2"/>
          <w:sz w:val="32"/>
          <w:szCs w:val="32"/>
          <w:lang w:val="en-US" w:eastAsia="zh-CN" w:bidi="ar-SA"/>
        </w:rPr>
        <w:t>各项实施准备。</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bookmarkStart w:id="21" w:name="heading_21"/>
      <w:r>
        <w:rPr>
          <w:rFonts w:hint="eastAsia" w:ascii="楷体_GB2312" w:hAnsi="楷体" w:eastAsia="楷体_GB2312" w:cs="楷体"/>
          <w:color w:val="auto"/>
          <w:kern w:val="2"/>
          <w:sz w:val="32"/>
          <w:szCs w:val="32"/>
          <w:lang w:val="en-US" w:eastAsia="zh-CN" w:bidi="ar-SA"/>
        </w:rPr>
        <w:t>（四）</w:t>
      </w:r>
      <w:bookmarkEnd w:id="21"/>
      <w:r>
        <w:rPr>
          <w:rFonts w:hint="eastAsia" w:ascii="楷体_GB2312" w:hAnsi="楷体" w:eastAsia="楷体_GB2312" w:cs="楷体"/>
          <w:color w:val="auto"/>
          <w:kern w:val="2"/>
          <w:sz w:val="32"/>
          <w:szCs w:val="32"/>
          <w:lang w:val="en-US" w:eastAsia="zh-CN" w:bidi="ar-SA"/>
        </w:rPr>
        <w:t>全面强化流程管理</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仿宋_GB2312" w:cs="Times New Roman"/>
          <w:color w:val="auto"/>
          <w:sz w:val="32"/>
          <w:szCs w:val="32"/>
        </w:rPr>
      </w:pPr>
      <w:r>
        <w:rPr>
          <w:rFonts w:ascii="Times New Roman" w:hAnsi="Times New Roman" w:eastAsia="仿宋_GB2312" w:cs="Times New Roman"/>
          <w:kern w:val="2"/>
          <w:sz w:val="32"/>
          <w:szCs w:val="32"/>
          <w:lang w:val="en-US" w:eastAsia="zh-CN" w:bidi="ar-SA"/>
        </w:rPr>
        <w:t>正式</w:t>
      </w:r>
      <w:r>
        <w:rPr>
          <w:rFonts w:hint="eastAsia" w:ascii="Times New Roman" w:hAnsi="Times New Roman" w:eastAsia="仿宋_GB2312" w:cs="Times New Roman"/>
          <w:kern w:val="2"/>
          <w:sz w:val="32"/>
          <w:szCs w:val="32"/>
          <w:lang w:val="en-US" w:eastAsia="zh-CN" w:bidi="ar-SA"/>
        </w:rPr>
        <w:t>执行</w:t>
      </w:r>
      <w:r>
        <w:rPr>
          <w:rFonts w:ascii="Times New Roman" w:hAnsi="Times New Roman" w:eastAsia="仿宋_GB2312" w:cs="Times New Roman"/>
          <w:kern w:val="2"/>
          <w:sz w:val="32"/>
          <w:szCs w:val="32"/>
          <w:lang w:val="en-US" w:eastAsia="zh-CN" w:bidi="ar-SA"/>
        </w:rPr>
        <w:t>医疗救助基金住院总额付费管理</w:t>
      </w:r>
      <w:r>
        <w:rPr>
          <w:rFonts w:hint="eastAsia" w:ascii="Times New Roman" w:hAnsi="Times New Roman" w:eastAsia="仿宋_GB2312" w:cs="Times New Roman"/>
          <w:kern w:val="2"/>
          <w:sz w:val="32"/>
          <w:szCs w:val="32"/>
          <w:lang w:val="en-US" w:eastAsia="zh-CN" w:bidi="ar-SA"/>
        </w:rPr>
        <w:t>工作过程中，</w:t>
      </w:r>
      <w:r>
        <w:rPr>
          <w:rFonts w:ascii="Times New Roman" w:hAnsi="Times New Roman" w:eastAsia="仿宋_GB2312" w:cs="Times New Roman"/>
          <w:kern w:val="2"/>
          <w:sz w:val="32"/>
          <w:szCs w:val="32"/>
          <w:lang w:val="en-US" w:eastAsia="zh-CN" w:bidi="ar-SA"/>
        </w:rPr>
        <w:t>市、县（区）医保部门</w:t>
      </w:r>
      <w:r>
        <w:rPr>
          <w:rFonts w:hint="eastAsia" w:ascii="Times New Roman" w:hAnsi="Times New Roman" w:eastAsia="仿宋_GB2312" w:cs="Times New Roman"/>
          <w:kern w:val="2"/>
          <w:sz w:val="32"/>
          <w:szCs w:val="32"/>
          <w:lang w:val="en-US" w:eastAsia="zh-CN" w:bidi="ar-SA"/>
        </w:rPr>
        <w:t>紧密配合</w:t>
      </w:r>
      <w:r>
        <w:rPr>
          <w:rFonts w:ascii="Times New Roman" w:hAnsi="Times New Roman" w:eastAsia="仿宋_GB2312" w:cs="Times New Roman"/>
          <w:kern w:val="2"/>
          <w:sz w:val="32"/>
          <w:szCs w:val="32"/>
          <w:lang w:val="en-US" w:eastAsia="zh-CN" w:bidi="ar-SA"/>
        </w:rPr>
        <w:t>，面向救助对象做好政策宣传引导，实时监测医疗机构收治运行情况，</w:t>
      </w:r>
      <w:bookmarkStart w:id="22" w:name="heading_22"/>
      <w:r>
        <w:rPr>
          <w:rFonts w:hint="eastAsia" w:ascii="Times New Roman" w:hAnsi="Times New Roman" w:eastAsia="仿宋_GB2312" w:cs="Times New Roman"/>
          <w:color w:val="auto"/>
          <w:sz w:val="32"/>
          <w:szCs w:val="32"/>
        </w:rPr>
        <w:t>及时了解工作中的卡点问题，积极指导解决。</w:t>
      </w:r>
    </w:p>
    <w:p>
      <w:pPr>
        <w:keepNext w:val="0"/>
        <w:keepLines w:val="0"/>
        <w:pageBreakBefore w:val="0"/>
        <w:numPr>
          <w:ilvl w:val="0"/>
          <w:numId w:val="0"/>
        </w:numP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楷体_GB2312" w:hAnsi="楷体" w:eastAsia="楷体_GB2312" w:cs="楷体"/>
          <w:color w:val="auto"/>
          <w:kern w:val="2"/>
          <w:sz w:val="32"/>
          <w:szCs w:val="32"/>
          <w:lang w:val="en-US" w:eastAsia="zh-CN" w:bidi="ar-SA"/>
        </w:rPr>
      </w:pPr>
      <w:r>
        <w:rPr>
          <w:rFonts w:hint="eastAsia" w:ascii="楷体_GB2312" w:hAnsi="楷体" w:eastAsia="楷体_GB2312" w:cs="楷体"/>
          <w:color w:val="auto"/>
          <w:kern w:val="2"/>
          <w:sz w:val="32"/>
          <w:szCs w:val="32"/>
          <w:lang w:val="en-US" w:eastAsia="zh-CN" w:bidi="ar-SA"/>
        </w:rPr>
        <w:t>（五）及时进行经验总结及优化</w:t>
      </w:r>
      <w:bookmarkEnd w:id="22"/>
    </w:p>
    <w:p>
      <w:pPr>
        <w:keepNext w:val="0"/>
        <w:keepLines w:val="0"/>
        <w:pageBreakBefore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每一自然年度结束时，及时</w:t>
      </w:r>
      <w:r>
        <w:rPr>
          <w:rFonts w:ascii="Times New Roman" w:hAnsi="Times New Roman" w:eastAsia="仿宋_GB2312" w:cs="Times New Roman"/>
          <w:kern w:val="2"/>
          <w:sz w:val="32"/>
          <w:szCs w:val="32"/>
          <w:lang w:val="en-US" w:eastAsia="zh-CN" w:bidi="ar-SA"/>
        </w:rPr>
        <w:t>对上年度总额付费实施</w:t>
      </w:r>
      <w:r>
        <w:rPr>
          <w:rFonts w:hint="eastAsia" w:ascii="Times New Roman" w:hAnsi="Times New Roman" w:eastAsia="仿宋_GB2312" w:cs="Times New Roman"/>
          <w:kern w:val="2"/>
          <w:sz w:val="32"/>
          <w:szCs w:val="32"/>
          <w:lang w:val="en-US" w:eastAsia="zh-CN" w:bidi="ar-SA"/>
        </w:rPr>
        <w:t>情况</w:t>
      </w:r>
      <w:r>
        <w:rPr>
          <w:rFonts w:ascii="Times New Roman" w:hAnsi="Times New Roman" w:eastAsia="仿宋_GB2312" w:cs="Times New Roman"/>
          <w:kern w:val="2"/>
          <w:sz w:val="32"/>
          <w:szCs w:val="32"/>
          <w:lang w:val="en-US" w:eastAsia="zh-CN" w:bidi="ar-SA"/>
        </w:rPr>
        <w:t>开展评估总结，</w:t>
      </w:r>
      <w:r>
        <w:rPr>
          <w:rFonts w:hint="eastAsia" w:ascii="Times New Roman" w:hAnsi="Times New Roman" w:eastAsia="仿宋_GB2312" w:cs="Times New Roman"/>
          <w:color w:val="auto"/>
          <w:sz w:val="32"/>
          <w:szCs w:val="32"/>
        </w:rPr>
        <w:t>提炼经验成效，</w:t>
      </w:r>
      <w:r>
        <w:rPr>
          <w:rFonts w:ascii="Times New Roman" w:hAnsi="Times New Roman" w:eastAsia="仿宋_GB2312" w:cs="Times New Roman"/>
          <w:kern w:val="2"/>
          <w:sz w:val="32"/>
          <w:szCs w:val="32"/>
          <w:lang w:val="en-US" w:eastAsia="zh-CN" w:bidi="ar-SA"/>
        </w:rPr>
        <w:t>梳理</w:t>
      </w:r>
      <w:r>
        <w:rPr>
          <w:rFonts w:hint="eastAsia" w:ascii="Times New Roman" w:hAnsi="Times New Roman" w:eastAsia="仿宋_GB2312" w:cs="Times New Roman"/>
          <w:kern w:val="2"/>
          <w:sz w:val="32"/>
          <w:szCs w:val="32"/>
          <w:lang w:val="en-US" w:eastAsia="zh-CN" w:bidi="ar-SA"/>
        </w:rPr>
        <w:t>存在</w:t>
      </w:r>
      <w:r>
        <w:rPr>
          <w:rFonts w:ascii="Times New Roman" w:hAnsi="Times New Roman" w:eastAsia="仿宋_GB2312" w:cs="Times New Roman"/>
          <w:kern w:val="2"/>
          <w:sz w:val="32"/>
          <w:szCs w:val="32"/>
          <w:lang w:val="en-US" w:eastAsia="zh-CN" w:bidi="ar-SA"/>
        </w:rPr>
        <w:t>问题，结合评估结果启动</w:t>
      </w:r>
      <w:r>
        <w:rPr>
          <w:rFonts w:hint="eastAsia" w:ascii="Times New Roman" w:hAnsi="Times New Roman" w:eastAsia="仿宋_GB2312" w:cs="Times New Roman"/>
          <w:kern w:val="2"/>
          <w:sz w:val="32"/>
          <w:szCs w:val="32"/>
          <w:lang w:val="en-US" w:eastAsia="zh-CN" w:bidi="ar-SA"/>
        </w:rPr>
        <w:t>下</w:t>
      </w:r>
      <w:r>
        <w:rPr>
          <w:rFonts w:ascii="Times New Roman" w:hAnsi="Times New Roman" w:eastAsia="仿宋_GB2312" w:cs="Times New Roman"/>
          <w:kern w:val="2"/>
          <w:sz w:val="32"/>
          <w:szCs w:val="32"/>
          <w:lang w:val="en-US" w:eastAsia="zh-CN" w:bidi="ar-SA"/>
        </w:rPr>
        <w:t>年</w:t>
      </w:r>
      <w:r>
        <w:rPr>
          <w:rFonts w:hint="eastAsia" w:ascii="Times New Roman" w:hAnsi="Times New Roman" w:eastAsia="仿宋_GB2312" w:cs="Times New Roman"/>
          <w:kern w:val="2"/>
          <w:sz w:val="32"/>
          <w:szCs w:val="32"/>
          <w:lang w:val="en-US" w:eastAsia="zh-CN" w:bidi="ar-SA"/>
        </w:rPr>
        <w:t>度</w:t>
      </w:r>
      <w:r>
        <w:rPr>
          <w:rFonts w:ascii="Times New Roman" w:hAnsi="Times New Roman" w:eastAsia="仿宋_GB2312" w:cs="Times New Roman"/>
          <w:kern w:val="2"/>
          <w:sz w:val="32"/>
          <w:szCs w:val="32"/>
          <w:lang w:val="en-US" w:eastAsia="zh-CN" w:bidi="ar-SA"/>
        </w:rPr>
        <w:t>方案测算，持续完善定点医疗机构绩效考核体系。通过强化定点协议管理、</w:t>
      </w:r>
      <w:r>
        <w:rPr>
          <w:rFonts w:hint="eastAsia" w:ascii="Times New Roman" w:hAnsi="Times New Roman" w:eastAsia="仿宋_GB2312" w:cs="Times New Roman"/>
          <w:color w:val="auto"/>
          <w:sz w:val="32"/>
          <w:szCs w:val="32"/>
        </w:rPr>
        <w:t>引导救助对象就医行为、规范医疗服务供给，逐步形成一整套常态化、长效化的救助基金安全管控工作机制。</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bookmarkStart w:id="23" w:name="heading_23"/>
      <w:r>
        <w:rPr>
          <w:rFonts w:hint="eastAsia" w:ascii="黑体" w:hAnsi="黑体" w:eastAsia="黑体" w:cs="黑体"/>
          <w:color w:val="auto"/>
          <w:sz w:val="32"/>
          <w:szCs w:val="32"/>
          <w:lang w:val="en-US" w:eastAsia="zh-CN"/>
        </w:rPr>
        <w:t>七、</w:t>
      </w:r>
      <w:bookmarkEnd w:id="23"/>
      <w:r>
        <w:rPr>
          <w:rFonts w:hint="eastAsia" w:ascii="黑体" w:hAnsi="黑体" w:eastAsia="黑体" w:cs="黑体"/>
          <w:color w:val="auto"/>
          <w:sz w:val="32"/>
          <w:szCs w:val="32"/>
        </w:rPr>
        <w:t>其它事项</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（一）本指导意见自2026年10月1日起在柳州市</w:t>
      </w:r>
      <w:r>
        <w:rPr>
          <w:rFonts w:hint="eastAsia" w:ascii="Times New Roman" w:hAnsi="Times New Roman" w:eastAsia="仿宋_GB2312" w:cs="Times New Roman"/>
          <w:kern w:val="2"/>
          <w:sz w:val="32"/>
          <w:szCs w:val="32"/>
          <w:lang w:val="en-US" w:eastAsia="zh-CN" w:bidi="ar-SA"/>
        </w:rPr>
        <w:t>范围内统一</w:t>
      </w:r>
      <w:r>
        <w:rPr>
          <w:rFonts w:ascii="Times New Roman" w:hAnsi="Times New Roman" w:eastAsia="仿宋_GB2312" w:cs="Times New Roman"/>
          <w:kern w:val="2"/>
          <w:sz w:val="32"/>
          <w:szCs w:val="32"/>
          <w:lang w:val="en-US" w:eastAsia="zh-CN" w:bidi="ar-SA"/>
        </w:rPr>
        <w:t>实施。总额付费测算周期自2026年10月1日</w:t>
      </w:r>
      <w:r>
        <w:rPr>
          <w:rFonts w:hint="eastAsia" w:ascii="Times New Roman" w:hAnsi="Times New Roman" w:eastAsia="仿宋_GB2312" w:cs="Times New Roman"/>
          <w:kern w:val="2"/>
          <w:sz w:val="32"/>
          <w:szCs w:val="32"/>
          <w:lang w:val="en-US" w:eastAsia="zh-CN" w:bidi="ar-SA"/>
        </w:rPr>
        <w:t>计起</w:t>
      </w:r>
      <w:r>
        <w:rPr>
          <w:rFonts w:ascii="Times New Roman" w:hAnsi="Times New Roman" w:eastAsia="仿宋_GB2312" w:cs="Times New Roman"/>
          <w:kern w:val="2"/>
          <w:sz w:val="32"/>
          <w:szCs w:val="32"/>
          <w:lang w:val="en-US" w:eastAsia="zh-CN" w:bidi="ar-SA"/>
        </w:rPr>
        <w:t>；2026年10月1日前已发生的医疗救助垫付款，仍由各统筹区按原有渠道另行拨付。</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（二）</w:t>
      </w:r>
      <w:r>
        <w:rPr>
          <w:rFonts w:hint="eastAsia" w:ascii="Times New Roman" w:hAnsi="Times New Roman" w:eastAsia="仿宋_GB2312" w:cs="Times New Roman"/>
          <w:color w:val="auto"/>
          <w:sz w:val="32"/>
          <w:szCs w:val="32"/>
        </w:rPr>
        <w:t>各统筹区须加强对救助定点医疗机构医疗服务、就医数据、总额付费指标执行情况等信息的采集、监控和分析，及时发现基金使用异常，</w:t>
      </w:r>
      <w:r>
        <w:rPr>
          <w:rFonts w:hint="eastAsia" w:ascii="Times New Roman" w:hAnsi="Times New Roman" w:eastAsia="仿宋_GB2312" w:cs="Times New Roman"/>
          <w:color w:val="auto"/>
          <w:sz w:val="32"/>
          <w:szCs w:val="32"/>
          <w:lang w:eastAsia="zh-CN"/>
        </w:rPr>
        <w:t>启动核查</w:t>
      </w:r>
      <w:r>
        <w:rPr>
          <w:rFonts w:hint="eastAsia" w:ascii="Times New Roman" w:hAnsi="Times New Roman" w:eastAsia="仿宋_GB2312" w:cs="Times New Roman"/>
          <w:color w:val="auto"/>
          <w:sz w:val="32"/>
          <w:szCs w:val="32"/>
        </w:rPr>
        <w:t>并督促整改。不断规范医疗机构服务行为，防范减少服务内容、降低服务标准、转移收费增加救助对象经济负担、推诿拒收患者等不良现象的发生。</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kern w:val="2"/>
          <w:sz w:val="32"/>
          <w:szCs w:val="32"/>
          <w:lang w:val="en-US" w:eastAsia="zh-CN" w:bidi="ar-SA"/>
        </w:rPr>
        <w:t>（三）市医疗救助中心</w:t>
      </w:r>
      <w:r>
        <w:rPr>
          <w:rFonts w:hint="eastAsia" w:ascii="Times New Roman" w:hAnsi="Times New Roman" w:eastAsia="仿宋_GB2312" w:cs="Times New Roman"/>
          <w:kern w:val="2"/>
          <w:sz w:val="32"/>
          <w:szCs w:val="32"/>
          <w:lang w:val="en-US" w:eastAsia="zh-CN" w:bidi="ar-SA"/>
        </w:rPr>
        <w:t>应</w:t>
      </w:r>
      <w:r>
        <w:rPr>
          <w:rFonts w:ascii="Times New Roman" w:hAnsi="Times New Roman" w:eastAsia="仿宋_GB2312" w:cs="Times New Roman"/>
          <w:kern w:val="2"/>
          <w:sz w:val="32"/>
          <w:szCs w:val="32"/>
          <w:lang w:val="en-US" w:eastAsia="zh-CN" w:bidi="ar-SA"/>
        </w:rPr>
        <w:t>强化业务指导，统筹推进全市</w:t>
      </w:r>
      <w:r>
        <w:rPr>
          <w:rFonts w:hint="eastAsia" w:ascii="Times New Roman" w:hAnsi="Times New Roman" w:eastAsia="仿宋_GB2312" w:cs="Times New Roman"/>
          <w:kern w:val="2"/>
          <w:sz w:val="32"/>
          <w:szCs w:val="32"/>
          <w:lang w:val="en-US" w:eastAsia="zh-CN" w:bidi="ar-SA"/>
        </w:rPr>
        <w:t>医疗救助基金</w:t>
      </w:r>
      <w:r>
        <w:rPr>
          <w:rFonts w:ascii="Times New Roman" w:hAnsi="Times New Roman" w:eastAsia="仿宋_GB2312" w:cs="Times New Roman"/>
          <w:kern w:val="2"/>
          <w:sz w:val="32"/>
          <w:szCs w:val="32"/>
          <w:lang w:val="en-US" w:eastAsia="zh-CN" w:bidi="ar-SA"/>
        </w:rPr>
        <w:t>总额付费</w:t>
      </w:r>
      <w:r>
        <w:rPr>
          <w:rFonts w:hint="eastAsia" w:ascii="Times New Roman" w:hAnsi="Times New Roman" w:eastAsia="仿宋_GB2312" w:cs="Times New Roman"/>
          <w:kern w:val="2"/>
          <w:sz w:val="32"/>
          <w:szCs w:val="32"/>
          <w:lang w:val="en-US" w:eastAsia="zh-CN" w:bidi="ar-SA"/>
        </w:rPr>
        <w:t>管理工作</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color w:val="auto"/>
          <w:sz w:val="32"/>
          <w:szCs w:val="32"/>
        </w:rPr>
        <w:t>积极收集工作过程中出现的问题，结合数据趋势，不断优化工作措施</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加强信息化建设，促进医疗救助基金管理智能化、精细化。</w:t>
      </w:r>
    </w:p>
    <w:p>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s="Times New Roman"/>
          <w:kern w:val="2"/>
          <w:sz w:val="32"/>
          <w:szCs w:val="32"/>
          <w:lang w:val="en-US" w:eastAsia="zh-CN" w:bidi="ar-SA"/>
        </w:rPr>
      </w:pPr>
    </w:p>
    <w:p>
      <w:pPr>
        <w:keepNext w:val="0"/>
        <w:keepLines w:val="0"/>
        <w:pageBreakBefore w:val="0"/>
        <w:kinsoku/>
        <w:wordWrap/>
        <w:overflowPunct/>
        <w:topLinePunct w:val="0"/>
        <w:autoSpaceDE/>
        <w:autoSpaceDN/>
        <w:bidi w:val="0"/>
        <w:adjustRightInd/>
        <w:snapToGrid/>
        <w:spacing w:line="570" w:lineRule="exact"/>
        <w:ind w:left="0"/>
        <w:jc w:val="both"/>
        <w:textAlignment w:val="auto"/>
      </w:pPr>
    </w:p>
    <w:sectPr>
      <w:footerReference r:id="rId3" w:type="default"/>
      <w:pgSz w:w="11905" w:h="16840"/>
      <w:pgMar w:top="2098" w:right="1474" w:bottom="1984" w:left="1587"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励字小标宋简">
    <w:altName w:val="方正小标宋简体"/>
    <w:panose1 w:val="02010604000000000000"/>
    <w:charset w:val="86"/>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40"/>
                            </w:rPr>
                          </w:pPr>
                          <w:r>
                            <w:rPr>
                              <w:rFonts w:hint="eastAsia" w:asciiTheme="minorEastAsia" w:hAnsiTheme="minorEastAsia" w:eastAsiaTheme="minorEastAsia" w:cstheme="minorEastAsia"/>
                              <w:sz w:val="28"/>
                              <w:szCs w:val="40"/>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1</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40"/>
                      </w:rPr>
                    </w:pPr>
                    <w:r>
                      <w:rPr>
                        <w:rFonts w:hint="eastAsia" w:asciiTheme="minorEastAsia" w:hAnsiTheme="minorEastAsia" w:eastAsiaTheme="minorEastAsia" w:cstheme="minorEastAsia"/>
                        <w:sz w:val="28"/>
                        <w:szCs w:val="40"/>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1</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9A01EFF"/>
    <w:multiLevelType w:val="singleLevel"/>
    <w:tmpl w:val="C9A01EFF"/>
    <w:lvl w:ilvl="0" w:tentative="0">
      <w:start w:val="1"/>
      <w:numFmt w:val="decimal"/>
      <w:suff w:val="space"/>
      <w:lvlText w:val="%1."/>
      <w:lvlJc w:val="left"/>
    </w:lvl>
  </w:abstractNum>
  <w:abstractNum w:abstractNumId="1">
    <w:nsid w:val="4056B217"/>
    <w:multiLevelType w:val="singleLevel"/>
    <w:tmpl w:val="4056B217"/>
    <w:lvl w:ilvl="0" w:tentative="0">
      <w:start w:val="3"/>
      <w:numFmt w:val="chineseCounting"/>
      <w:suff w:val="nothing"/>
      <w:lvlText w:val="（%1）"/>
      <w:lvlJc w:val="left"/>
      <w:rPr>
        <w:rFonts w:hint="eastAsia"/>
      </w:rPr>
    </w:lvl>
  </w:abstractNum>
  <w:abstractNum w:abstractNumId="2">
    <w:nsid w:val="7E7B09FB"/>
    <w:multiLevelType w:val="singleLevel"/>
    <w:tmpl w:val="7E7B09FB"/>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lMDI0MjIxMmU4MmFkYjYwY2RkYTViOWU0NzhmZTMifQ=="/>
  </w:docVars>
  <w:rsids>
    <w:rsidRoot w:val="00000000"/>
    <w:rsid w:val="1042153A"/>
    <w:rsid w:val="107671CA"/>
    <w:rsid w:val="23F65D0F"/>
    <w:rsid w:val="2B8C2ED2"/>
    <w:rsid w:val="2E8018FB"/>
    <w:rsid w:val="3B7D6018"/>
    <w:rsid w:val="3F495477"/>
    <w:rsid w:val="3FEBA5B7"/>
    <w:rsid w:val="5444468D"/>
    <w:rsid w:val="5BF9FDC4"/>
    <w:rsid w:val="5F6C0CEE"/>
    <w:rsid w:val="6E5F6814"/>
    <w:rsid w:val="6F452763"/>
    <w:rsid w:val="6FD30D38"/>
    <w:rsid w:val="6FF644B6"/>
    <w:rsid w:val="7DBB741D"/>
    <w:rsid w:val="D7EF3865"/>
    <w:rsid w:val="DF4F26D2"/>
    <w:rsid w:val="F7FA5D9A"/>
    <w:rsid w:val="F7FF47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3633</Words>
  <Characters>3706</Characters>
  <TotalTime>129</TotalTime>
  <ScaleCrop>false</ScaleCrop>
  <LinksUpToDate>false</LinksUpToDate>
  <CharactersWithSpaces>3759</CharactersWithSpaces>
  <Application>WPS Office_10.8.2.6948_F1E327BC-269C-435d-A152-05C5408002CA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2026-09-15T02:07:00Z</dcterms:created>
  <dc:creator>Apache POI</dc:creator>
  <cp:lastModifiedBy>Admin</cp:lastModifiedBy>
  <cp:lastPrinted>2026-09-30T01:39:00Z</cp:lastPrinted>
  <dcterms:modified xsi:type="dcterms:W3CDTF">2026-09-30T08:27:41Z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{"Label":"1","ContentProducer":"001191110102MACQD9K64010000","ProduceID":"7685206868188449761","ReservedCode1":"","ContentPropagator":"","PropagateID":"","ReservedCode2":""}</vt:lpwstr>
  </property>
  <property fmtid="{D5CDD505-2E9C-101B-9397-08002B2CF9AE}" pid="3" name="KSOTemplateDocerSaveRecord">
    <vt:lpwstr>eyJoZGlkIjoiNGQwMDc4YzZiMDdjNWFkYjJjOGY2M2ZjNmFhOGE0ZjciLCJ1c2VySWQiOiIyMjc1ODg5NDAifQ==</vt:lpwstr>
  </property>
  <property fmtid="{D5CDD505-2E9C-101B-9397-08002B2CF9AE}" pid="4" name="KSOProductBuildVer">
    <vt:lpwstr>2052-10.8.2.6948</vt:lpwstr>
  </property>
  <property fmtid="{D5CDD505-2E9C-101B-9397-08002B2CF9AE}" pid="5" name="ICV">
    <vt:lpwstr>9D59D71921614BFB896FC0E50C0DD7EB_13</vt:lpwstr>
  </property>
</Properties>
</file>