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500" w:lineRule="exact"/>
        <w:jc w:val="center"/>
        <w:rPr>
          <w:rFonts w:ascii="方正小标宋简体" w:eastAsia="方正小标宋简体" w:cs="仿宋_GB2312"/>
          <w:color w:val="auto"/>
          <w:sz w:val="32"/>
          <w:szCs w:val="32"/>
        </w:rPr>
      </w:pPr>
      <w:r>
        <w:rPr>
          <w:rFonts w:hint="eastAsia" w:ascii="方正小标宋简体" w:eastAsia="方正小标宋简体" w:cs="仿宋_GB2312"/>
          <w:color w:val="auto"/>
          <w:sz w:val="32"/>
          <w:szCs w:val="32"/>
        </w:rPr>
        <w:t>新增纳入“双通道”</w:t>
      </w:r>
      <w:r>
        <w:rPr>
          <w:rFonts w:hint="eastAsia" w:ascii="方正小标宋简体" w:eastAsia="方正小标宋简体" w:cs="仿宋_GB2312"/>
          <w:color w:val="auto"/>
          <w:sz w:val="32"/>
          <w:szCs w:val="32"/>
          <w:lang w:eastAsia="zh-CN"/>
        </w:rPr>
        <w:t>保障管理</w:t>
      </w:r>
      <w:r>
        <w:rPr>
          <w:rFonts w:hint="eastAsia" w:ascii="方正小标宋简体" w:eastAsia="方正小标宋简体" w:cs="仿宋_GB2312"/>
          <w:color w:val="auto"/>
          <w:sz w:val="32"/>
          <w:szCs w:val="32"/>
        </w:rPr>
        <w:t>药品名单</w:t>
      </w:r>
    </w:p>
    <w:p>
      <w:pPr>
        <w:pStyle w:val="4"/>
        <w:keepNext w:val="0"/>
        <w:keepLines w:val="0"/>
        <w:pageBreakBefore w:val="0"/>
        <w:widowControl w:val="0"/>
        <w:kinsoku/>
        <w:wordWrap/>
        <w:overflowPunct/>
        <w:topLinePunct w:val="0"/>
        <w:autoSpaceDE/>
        <w:autoSpaceDN/>
        <w:bidi w:val="0"/>
        <w:adjustRightInd/>
        <w:snapToGrid/>
        <w:spacing w:before="0" w:after="0" w:line="440" w:lineRule="exact"/>
        <w:textAlignment w:val="auto"/>
        <w:outlineLvl w:val="0"/>
        <w:rPr>
          <w:b w:val="0"/>
          <w:bCs w:val="0"/>
          <w:color w:val="auto"/>
        </w:rPr>
      </w:pPr>
    </w:p>
    <w:tbl>
      <w:tblPr>
        <w:tblStyle w:val="6"/>
        <w:tblW w:w="14647" w:type="dxa"/>
        <w:jc w:val="center"/>
        <w:tblInd w:w="0" w:type="dxa"/>
        <w:tblLayout w:type="fixed"/>
        <w:tblCellMar>
          <w:top w:w="0" w:type="dxa"/>
          <w:left w:w="108" w:type="dxa"/>
          <w:bottom w:w="0" w:type="dxa"/>
          <w:right w:w="108" w:type="dxa"/>
        </w:tblCellMar>
      </w:tblPr>
      <w:tblGrid>
        <w:gridCol w:w="759"/>
        <w:gridCol w:w="2723"/>
        <w:gridCol w:w="2649"/>
        <w:gridCol w:w="8516"/>
      </w:tblGrid>
      <w:tr>
        <w:tblPrEx>
          <w:tblLayout w:type="fixed"/>
          <w:tblCellMar>
            <w:top w:w="0" w:type="dxa"/>
            <w:left w:w="108" w:type="dxa"/>
            <w:bottom w:w="0" w:type="dxa"/>
            <w:right w:w="108" w:type="dxa"/>
          </w:tblCellMar>
        </w:tblPrEx>
        <w:trPr>
          <w:trHeight w:val="644" w:hRule="atLeast"/>
          <w:tblHeader/>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序号</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药品名称</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对应门诊特殊慢性病</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_GB2312" w:hAnsi="楷体_GB2312" w:eastAsia="楷体_GB2312" w:cs="楷体_GB2312"/>
                <w:color w:val="auto"/>
                <w:sz w:val="24"/>
                <w:szCs w:val="24"/>
                <w:lang w:eastAsia="zh-CN"/>
              </w:rPr>
            </w:pPr>
            <w:r>
              <w:rPr>
                <w:rFonts w:hint="eastAsia" w:ascii="楷体_GB2312" w:hAnsi="楷体_GB2312" w:eastAsia="楷体_GB2312" w:cs="楷体_GB2312"/>
                <w:color w:val="auto"/>
                <w:sz w:val="24"/>
                <w:szCs w:val="24"/>
                <w:lang w:val="en-US" w:eastAsia="zh-CN"/>
              </w:rPr>
              <w:t>限定支付范围</w:t>
            </w:r>
          </w:p>
        </w:tc>
      </w:tr>
      <w:tr>
        <w:tblPrEx>
          <w:tblLayout w:type="fixed"/>
          <w:tblCellMar>
            <w:top w:w="0" w:type="dxa"/>
            <w:left w:w="108" w:type="dxa"/>
            <w:bottom w:w="0" w:type="dxa"/>
            <w:right w:w="108" w:type="dxa"/>
          </w:tblCellMar>
        </w:tblPrEx>
        <w:trPr>
          <w:trHeight w:val="574"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阿普米司特片</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银屑病（M06700）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限符合接受光疗或系统性治疗指征的中度至重度斑块状银屑病的成人患者。</w:t>
            </w:r>
          </w:p>
        </w:tc>
      </w:tr>
      <w:tr>
        <w:tblPrEx>
          <w:tblLayout w:type="fixed"/>
          <w:tblCellMar>
            <w:top w:w="0" w:type="dxa"/>
            <w:left w:w="108" w:type="dxa"/>
            <w:bottom w:w="0" w:type="dxa"/>
            <w:right w:w="108" w:type="dxa"/>
          </w:tblCellMar>
        </w:tblPrEx>
        <w:trPr>
          <w:trHeight w:val="939"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2</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艾考恩丙替片</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艾滋病（M00300）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适用于治疗人类免疫缺陷病毒-1(HIV-1)感染的且无任何与整合酶抑制剂类药物、恩曲他滨或替诺福韦耐药性相关的已知突变的成人和青少年(年龄12岁及以上且体重至少为35kg)。</w:t>
            </w:r>
          </w:p>
        </w:tc>
      </w:tr>
      <w:tr>
        <w:tblPrEx>
          <w:tblLayout w:type="fixed"/>
          <w:tblCellMar>
            <w:top w:w="0" w:type="dxa"/>
            <w:left w:w="108" w:type="dxa"/>
            <w:bottom w:w="0" w:type="dxa"/>
            <w:right w:w="108" w:type="dxa"/>
          </w:tblCellMar>
        </w:tblPrEx>
        <w:trPr>
          <w:trHeight w:val="807"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3</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艾曲泊帕乙醇胺片</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免疫性血小板减少（M01501）</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限既往对糖皮质激素、免疫球蛋白等治疗反应不佳的成人和6岁及以上儿童慢性免疫性(特发性)血小板减少症(ITP)患者。</w:t>
            </w:r>
          </w:p>
        </w:tc>
      </w:tr>
      <w:tr>
        <w:tblPrEx>
          <w:tblLayout w:type="fixed"/>
          <w:tblCellMar>
            <w:top w:w="0" w:type="dxa"/>
            <w:left w:w="108" w:type="dxa"/>
            <w:bottom w:w="0" w:type="dxa"/>
            <w:right w:w="108" w:type="dxa"/>
          </w:tblCellMar>
        </w:tblPrEx>
        <w:trPr>
          <w:trHeight w:val="2055" w:hRule="atLeast"/>
          <w:jc w:val="center"/>
        </w:trPr>
        <w:tc>
          <w:tcPr>
            <w:tcW w:w="7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4</w:t>
            </w:r>
          </w:p>
        </w:tc>
        <w:tc>
          <w:tcPr>
            <w:tcW w:w="27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比克恩丙诺片</w:t>
            </w:r>
          </w:p>
        </w:tc>
        <w:tc>
          <w:tcPr>
            <w:tcW w:w="264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艾滋病（M00300）</w:t>
            </w:r>
          </w:p>
        </w:tc>
        <w:tc>
          <w:tcPr>
            <w:tcW w:w="8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本品适用于作为完整方案治疗人类免疫缺陷病毒1型(HIV-1)感染的成人，且患者目前和既往无对整合酶抑制剂类药物、恩曲他滨或替诺福韦产生病毒耐药性的证据。</w:t>
            </w:r>
          </w:p>
        </w:tc>
      </w:tr>
      <w:tr>
        <w:tblPrEx>
          <w:tblLayout w:type="fixed"/>
          <w:tblCellMar>
            <w:top w:w="0" w:type="dxa"/>
            <w:left w:w="108" w:type="dxa"/>
            <w:bottom w:w="0" w:type="dxa"/>
            <w:right w:w="108" w:type="dxa"/>
          </w:tblCellMar>
        </w:tblPrEx>
        <w:trPr>
          <w:trHeight w:val="922" w:hRule="atLeast"/>
          <w:jc w:val="center"/>
        </w:trPr>
        <w:tc>
          <w:tcPr>
            <w:tcW w:w="7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5</w:t>
            </w:r>
          </w:p>
        </w:tc>
        <w:tc>
          <w:tcPr>
            <w:tcW w:w="27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布地格福吸入气雾剂</w:t>
            </w:r>
          </w:p>
        </w:tc>
        <w:tc>
          <w:tcPr>
            <w:tcW w:w="264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慢性阻塞性肺疾病（M05300）</w:t>
            </w:r>
          </w:p>
        </w:tc>
        <w:tc>
          <w:tcPr>
            <w:tcW w:w="8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限慢性阻塞性肺疾病。</w:t>
            </w:r>
          </w:p>
        </w:tc>
      </w:tr>
      <w:tr>
        <w:tblPrEx>
          <w:tblLayout w:type="fixed"/>
          <w:tblCellMar>
            <w:top w:w="0" w:type="dxa"/>
            <w:left w:w="108" w:type="dxa"/>
            <w:bottom w:w="0" w:type="dxa"/>
            <w:right w:w="108" w:type="dxa"/>
          </w:tblCellMar>
        </w:tblPrEx>
        <w:trPr>
          <w:trHeight w:val="206" w:hRule="atLeast"/>
          <w:jc w:val="center"/>
        </w:trPr>
        <w:tc>
          <w:tcPr>
            <w:tcW w:w="7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6</w:t>
            </w:r>
          </w:p>
        </w:tc>
        <w:tc>
          <w:tcPr>
            <w:tcW w:w="272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德谷门冬双胰岛素注射液</w:t>
            </w:r>
          </w:p>
        </w:tc>
        <w:tc>
          <w:tcPr>
            <w:tcW w:w="2649"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糖尿病</w:t>
            </w:r>
          </w:p>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（M01600）</w:t>
            </w:r>
          </w:p>
        </w:tc>
        <w:tc>
          <w:tcPr>
            <w:tcW w:w="851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限其他胰岛素或口服药难以控制的2型糖尿病患者。</w:t>
            </w:r>
          </w:p>
        </w:tc>
      </w:tr>
      <w:tr>
        <w:tblPrEx>
          <w:tblLayout w:type="fixed"/>
          <w:tblCellMar>
            <w:top w:w="0" w:type="dxa"/>
            <w:left w:w="108" w:type="dxa"/>
            <w:bottom w:w="0" w:type="dxa"/>
            <w:right w:w="108" w:type="dxa"/>
          </w:tblCellMar>
        </w:tblPrEx>
        <w:trPr>
          <w:trHeight w:val="104" w:hRule="atLeast"/>
          <w:jc w:val="center"/>
        </w:trPr>
        <w:tc>
          <w:tcPr>
            <w:tcW w:w="7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7</w:t>
            </w:r>
          </w:p>
        </w:tc>
        <w:tc>
          <w:tcPr>
            <w:tcW w:w="27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地舒单抗注射液</w:t>
            </w:r>
          </w:p>
        </w:tc>
        <w:tc>
          <w:tcPr>
            <w:tcW w:w="264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恶性肿瘤门诊治疗(M00500)</w:t>
            </w:r>
          </w:p>
        </w:tc>
        <w:tc>
          <w:tcPr>
            <w:tcW w:w="8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限绝经后妇女的重度骨质疏松(60mg(1.0ml)/支(预充式注射器))；</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限不可手术切除或者手术切除可能导致严重功能障碍的骨巨细胞瘤(120mg/1.7mL/支)。</w:t>
            </w:r>
          </w:p>
        </w:tc>
      </w:tr>
      <w:tr>
        <w:tblPrEx>
          <w:tblLayout w:type="fixed"/>
          <w:tblCellMar>
            <w:top w:w="0" w:type="dxa"/>
            <w:left w:w="108" w:type="dxa"/>
            <w:bottom w:w="0" w:type="dxa"/>
            <w:right w:w="108" w:type="dxa"/>
          </w:tblCellMar>
        </w:tblPrEx>
        <w:trPr>
          <w:trHeight w:val="9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8</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多拉米替片</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艾滋病（M00300）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限艾滋病。</w:t>
            </w:r>
          </w:p>
        </w:tc>
      </w:tr>
      <w:tr>
        <w:tblPrEx>
          <w:tblLayout w:type="fixed"/>
          <w:tblCellMar>
            <w:top w:w="0" w:type="dxa"/>
            <w:left w:w="108" w:type="dxa"/>
            <w:bottom w:w="0" w:type="dxa"/>
            <w:right w:w="108" w:type="dxa"/>
          </w:tblCellMar>
        </w:tblPrEx>
        <w:trPr>
          <w:trHeight w:val="183" w:hRule="atLeast"/>
          <w:jc w:val="center"/>
        </w:trPr>
        <w:tc>
          <w:tcPr>
            <w:tcW w:w="7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9</w:t>
            </w:r>
          </w:p>
        </w:tc>
        <w:tc>
          <w:tcPr>
            <w:tcW w:w="272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醋酸戈舍瑞林缓释植入剂</w:t>
            </w:r>
          </w:p>
        </w:tc>
        <w:tc>
          <w:tcPr>
            <w:tcW w:w="2649"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恶性肿瘤门诊治疗(M00500)</w:t>
            </w:r>
          </w:p>
        </w:tc>
        <w:tc>
          <w:tcPr>
            <w:tcW w:w="851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无</w:t>
            </w:r>
          </w:p>
        </w:tc>
      </w:tr>
      <w:tr>
        <w:tblPrEx>
          <w:tblLayout w:type="fixed"/>
          <w:tblCellMar>
            <w:top w:w="0" w:type="dxa"/>
            <w:left w:w="108" w:type="dxa"/>
            <w:bottom w:w="0" w:type="dxa"/>
            <w:right w:w="108" w:type="dxa"/>
          </w:tblCellMar>
        </w:tblPrEx>
        <w:trPr>
          <w:trHeight w:val="127" w:hRule="atLeast"/>
          <w:jc w:val="center"/>
        </w:trPr>
        <w:tc>
          <w:tcPr>
            <w:tcW w:w="7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0</w:t>
            </w:r>
          </w:p>
        </w:tc>
        <w:tc>
          <w:tcPr>
            <w:tcW w:w="272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古塞奇尤单抗注射液</w:t>
            </w:r>
          </w:p>
        </w:tc>
        <w:tc>
          <w:tcPr>
            <w:tcW w:w="2649"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银屑病（M06700）</w:t>
            </w:r>
          </w:p>
        </w:tc>
        <w:tc>
          <w:tcPr>
            <w:tcW w:w="851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限适合系统性治疗的成人中重度斑块状银屑病。</w:t>
            </w:r>
          </w:p>
        </w:tc>
      </w:tr>
      <w:tr>
        <w:tblPrEx>
          <w:tblLayout w:type="fixed"/>
          <w:tblCellMar>
            <w:top w:w="0" w:type="dxa"/>
            <w:left w:w="108" w:type="dxa"/>
            <w:bottom w:w="0" w:type="dxa"/>
            <w:right w:w="108" w:type="dxa"/>
          </w:tblCellMar>
        </w:tblPrEx>
        <w:trPr>
          <w:trHeight w:val="201" w:hRule="atLeast"/>
          <w:jc w:val="center"/>
        </w:trPr>
        <w:tc>
          <w:tcPr>
            <w:tcW w:w="7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1</w:t>
            </w:r>
          </w:p>
        </w:tc>
        <w:tc>
          <w:tcPr>
            <w:tcW w:w="27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海曲泊帕乙醇胺片</w:t>
            </w:r>
          </w:p>
        </w:tc>
        <w:tc>
          <w:tcPr>
            <w:tcW w:w="264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免疫性血小板减少（M01501）</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再生障碍性贫血（M01102）</w:t>
            </w:r>
          </w:p>
        </w:tc>
        <w:tc>
          <w:tcPr>
            <w:tcW w:w="8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本品适用于既往对糖皮质激素、免疫球蛋白等治疗反应不佳的慢性原发免疫性血小板减少症(ITP)成人患者，使血小板计数升高并减少或防止出血。本品仅用于因血小板减少和临床条件导致出血风险增加的ITP患者；</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2.本品适用于对免疫抑制治疗(IST)疗效不佳的重型再生障碍性贫血(SAA)成人患者。基于一项II期单臂试验的结果附条件批准本适应症。该适应症的完全批准将取决于正在进行的确证性临床试验的结果。</w:t>
            </w:r>
          </w:p>
        </w:tc>
      </w:tr>
      <w:tr>
        <w:tblPrEx>
          <w:tblLayout w:type="fixed"/>
          <w:tblCellMar>
            <w:top w:w="0" w:type="dxa"/>
            <w:left w:w="108" w:type="dxa"/>
            <w:bottom w:w="0" w:type="dxa"/>
            <w:right w:w="108" w:type="dxa"/>
          </w:tblCellMar>
        </w:tblPrEx>
        <w:trPr>
          <w:trHeight w:val="576" w:hRule="atLeast"/>
          <w:jc w:val="center"/>
        </w:trPr>
        <w:tc>
          <w:tcPr>
            <w:tcW w:w="7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2</w:t>
            </w:r>
          </w:p>
        </w:tc>
        <w:tc>
          <w:tcPr>
            <w:tcW w:w="27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拉米夫定多替拉韦片</w:t>
            </w:r>
          </w:p>
        </w:tc>
        <w:tc>
          <w:tcPr>
            <w:tcW w:w="264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艾滋病（M00300）</w:t>
            </w:r>
          </w:p>
        </w:tc>
        <w:tc>
          <w:tcPr>
            <w:tcW w:w="8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无</w:t>
            </w:r>
          </w:p>
        </w:tc>
      </w:tr>
      <w:tr>
        <w:tblPrEx>
          <w:tblLayout w:type="fixed"/>
          <w:tblCellMar>
            <w:top w:w="0" w:type="dxa"/>
            <w:left w:w="108" w:type="dxa"/>
            <w:bottom w:w="0" w:type="dxa"/>
            <w:right w:w="108" w:type="dxa"/>
          </w:tblCellMar>
        </w:tblPrEx>
        <w:trPr>
          <w:trHeight w:val="701"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3</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硫培非格司亭注射液</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恶性肿瘤门诊治疗(M00500)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限前次化疗曾发生重度中性粒细胞减少合并发热的患者。</w:t>
            </w:r>
          </w:p>
        </w:tc>
      </w:tr>
      <w:tr>
        <w:tblPrEx>
          <w:tblLayout w:type="fixed"/>
          <w:tblCellMar>
            <w:top w:w="0" w:type="dxa"/>
            <w:left w:w="108" w:type="dxa"/>
            <w:bottom w:w="0" w:type="dxa"/>
            <w:right w:w="108" w:type="dxa"/>
          </w:tblCellMar>
        </w:tblPrEx>
        <w:trPr>
          <w:trHeight w:val="701"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4</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罗沙司他胶囊</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慢性肾功能衰竭（M07800）</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肾病综合征（M07700）</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透析（M07801）</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本品适用于慢性肾脏病(CKD)引起的贫血, 包括透析及非透析患者。</w:t>
            </w:r>
          </w:p>
        </w:tc>
      </w:tr>
      <w:tr>
        <w:tblPrEx>
          <w:tblLayout w:type="fixed"/>
          <w:tblCellMar>
            <w:top w:w="0" w:type="dxa"/>
            <w:left w:w="108" w:type="dxa"/>
            <w:bottom w:w="0" w:type="dxa"/>
            <w:right w:w="108" w:type="dxa"/>
          </w:tblCellMar>
        </w:tblPrEx>
        <w:trPr>
          <w:trHeight w:val="228" w:hRule="atLeast"/>
          <w:jc w:val="center"/>
        </w:trPr>
        <w:tc>
          <w:tcPr>
            <w:tcW w:w="7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rPr>
              <w:t>15</w:t>
            </w:r>
          </w:p>
        </w:tc>
        <w:tc>
          <w:tcPr>
            <w:tcW w:w="272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托伐普坦片</w:t>
            </w:r>
          </w:p>
        </w:tc>
        <w:tc>
          <w:tcPr>
            <w:tcW w:w="264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肝硬化（M06200）</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心功能不全（M04300）</w:t>
            </w:r>
          </w:p>
        </w:tc>
        <w:tc>
          <w:tcPr>
            <w:tcW w:w="8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无</w:t>
            </w:r>
          </w:p>
        </w:tc>
      </w:tr>
      <w:tr>
        <w:tblPrEx>
          <w:tblLayout w:type="fixed"/>
          <w:tblCellMar>
            <w:top w:w="0" w:type="dxa"/>
            <w:left w:w="108" w:type="dxa"/>
            <w:bottom w:w="0" w:type="dxa"/>
            <w:right w:w="108" w:type="dxa"/>
          </w:tblCellMar>
        </w:tblPrEx>
        <w:trPr>
          <w:trHeight w:val="11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16</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乌帕替尼缓释片</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类风湿性关节炎（M06900）</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银屑病（M06700）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限：1.12岁及以上患者难治性、中重度特应性皮炎的二线治疗；</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2.活动性银屑病关节炎成人患者的二线治疗；</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3.中重度活动性类风湿关节炎成人患者的二线治疗。</w:t>
            </w:r>
          </w:p>
        </w:tc>
      </w:tr>
      <w:tr>
        <w:tblPrEx>
          <w:tblLayout w:type="fixed"/>
          <w:tblCellMar>
            <w:top w:w="0" w:type="dxa"/>
            <w:left w:w="108" w:type="dxa"/>
            <w:bottom w:w="0" w:type="dxa"/>
            <w:right w:w="108" w:type="dxa"/>
          </w:tblCellMar>
        </w:tblPrEx>
        <w:trPr>
          <w:trHeight w:val="1478"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17</w:t>
            </w:r>
          </w:p>
        </w:tc>
        <w:tc>
          <w:tcPr>
            <w:tcW w:w="2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依洛尤单抗注射液</w:t>
            </w:r>
          </w:p>
        </w:tc>
        <w:tc>
          <w:tcPr>
            <w:tcW w:w="26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脑血管病后遗症（M04803）</w:t>
            </w:r>
            <w:r>
              <w:rPr>
                <w:rFonts w:hint="default" w:ascii="Times New Roman" w:hAnsi="Times New Roman" w:eastAsia="仿宋_GB2312" w:cs="Times New Roman"/>
                <w:color w:val="auto"/>
                <w:kern w:val="0"/>
                <w:sz w:val="24"/>
                <w:szCs w:val="24"/>
              </w:rPr>
              <w:br w:type="textWrapping"/>
            </w:r>
            <w:r>
              <w:rPr>
                <w:rFonts w:hint="default" w:ascii="Times New Roman" w:hAnsi="Times New Roman" w:eastAsia="仿宋_GB2312" w:cs="Times New Roman"/>
                <w:color w:val="auto"/>
                <w:kern w:val="0"/>
                <w:sz w:val="24"/>
                <w:szCs w:val="24"/>
              </w:rPr>
              <w:t>冠心病（M04600）</w:t>
            </w:r>
          </w:p>
        </w:tc>
        <w:tc>
          <w:tcPr>
            <w:tcW w:w="8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降低心血管事件的风险：在已有动脉粥样硬化性心血管疾病的成人患者中，降低心肌梗死、卒中以及冠脉血运重建的风险。通过：与最大耐受剂量的他汀类药物联合用药，伴随或不伴随其他降脂疗法，或者在他汀类药物不耐受或禁忌使用的患者中，单独用药或与其他降脂疗法联合用药；2.原发性高胆固醇血症(包括杂合子型家族性高胆固醇血症)和混合型血脂异常：可作为饮食的辅助疗法，用于成人原发性高胆固醇血症(杂合子家族性和非家族性)或混合型血脂异常患者的治疗，以降低低密度脂蛋白胆固醇(LDL-C)水平：在接受最大耐受剂量的他汀类药物治疗仍无法达到LDL-C目标的患者中，与他汀类药物、或者与他汀类药物及其他降脂疗法联合用药，或者在他汀类药物不耐受或禁忌使用的患者中，单独用药或与其他降脂疗法联合用药；3.纯合子型家族性高胆固醇血症：用于成人或12岁以上青少年的纯合子型家族性高胆固醇血症。可与饮食疗法和其他降低密度脂蛋白胆固醇(LDL-C)治疗(例如他汀类药物、依折麦布、LDL分离术)合用，用于患有纯合子型家族性高胆固醇血症(HoFH)且需要进一步降低LDL-C的患者。</w:t>
            </w:r>
          </w:p>
        </w:tc>
      </w:tr>
      <w:tr>
        <w:tblPrEx>
          <w:tblLayout w:type="fixed"/>
          <w:tblCellMar>
            <w:top w:w="0" w:type="dxa"/>
            <w:left w:w="108" w:type="dxa"/>
            <w:bottom w:w="0" w:type="dxa"/>
            <w:right w:w="108" w:type="dxa"/>
          </w:tblCellMar>
        </w:tblPrEx>
        <w:trPr>
          <w:trHeight w:val="208" w:hRule="atLeast"/>
          <w:jc w:val="center"/>
        </w:trPr>
        <w:tc>
          <w:tcPr>
            <w:tcW w:w="7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18</w:t>
            </w:r>
          </w:p>
        </w:tc>
        <w:tc>
          <w:tcPr>
            <w:tcW w:w="27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注射用罗普司亭</w:t>
            </w:r>
          </w:p>
        </w:tc>
        <w:tc>
          <w:tcPr>
            <w:tcW w:w="264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免疫性血小板减少（M01501）</w:t>
            </w:r>
          </w:p>
        </w:tc>
        <w:tc>
          <w:tcPr>
            <w:tcW w:w="8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限对其他治疗(例如皮质类固醇、免疫球蛋白)治疗反应不佳的成人(≥18周岁)慢性原发免疫性血小板减少症(ITP)患者。</w:t>
            </w:r>
          </w:p>
        </w:tc>
      </w:tr>
      <w:tr>
        <w:tblPrEx>
          <w:tblLayout w:type="fixed"/>
          <w:tblCellMar>
            <w:top w:w="0" w:type="dxa"/>
            <w:left w:w="108" w:type="dxa"/>
            <w:bottom w:w="0" w:type="dxa"/>
            <w:right w:w="108" w:type="dxa"/>
          </w:tblCellMar>
        </w:tblPrEx>
        <w:trPr>
          <w:trHeight w:val="184" w:hRule="atLeast"/>
          <w:jc w:val="center"/>
        </w:trPr>
        <w:tc>
          <w:tcPr>
            <w:tcW w:w="7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rPr>
              <w:t>19</w:t>
            </w:r>
          </w:p>
        </w:tc>
        <w:tc>
          <w:tcPr>
            <w:tcW w:w="27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注射用罗特西普</w:t>
            </w:r>
          </w:p>
        </w:tc>
        <w:tc>
          <w:tcPr>
            <w:tcW w:w="264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地中海贫血（</w:t>
            </w:r>
            <w:r>
              <w:rPr>
                <w:rStyle w:val="8"/>
                <w:rFonts w:hint="default" w:ascii="Times New Roman" w:hAnsi="Times New Roman" w:eastAsia="仿宋_GB2312" w:cs="Times New Roman"/>
                <w:color w:val="auto"/>
                <w:sz w:val="24"/>
                <w:szCs w:val="24"/>
              </w:rPr>
              <w:t>M01103</w:t>
            </w:r>
            <w:r>
              <w:rPr>
                <w:rStyle w:val="7"/>
                <w:rFonts w:hint="default" w:ascii="Times New Roman" w:hAnsi="Times New Roman" w:eastAsia="仿宋_GB2312" w:cs="Times New Roman"/>
                <w:color w:val="auto"/>
                <w:sz w:val="24"/>
                <w:szCs w:val="24"/>
              </w:rPr>
              <w:t>）</w:t>
            </w:r>
          </w:p>
        </w:tc>
        <w:tc>
          <w:tcPr>
            <w:tcW w:w="851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限β-地中海贫血成人患者。</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E1799"/>
    <w:rsid w:val="78CE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7143"/>
        <w:tab w:val="right" w:pos="14287"/>
      </w:tabs>
    </w:pPr>
  </w:style>
  <w:style w:type="paragraph" w:styleId="4">
    <w:name w:val="Title"/>
    <w:basedOn w:val="1"/>
    <w:next w:val="1"/>
    <w:qFormat/>
    <w:uiPriority w:val="99"/>
    <w:pPr>
      <w:spacing w:before="240" w:after="60"/>
      <w:jc w:val="center"/>
      <w:outlineLvl w:val="0"/>
    </w:pPr>
    <w:rPr>
      <w:rFonts w:ascii="Cambria" w:hAnsi="Cambria" w:eastAsia="仿宋"/>
      <w:b/>
      <w:bCs/>
      <w:sz w:val="32"/>
      <w:szCs w:val="32"/>
    </w:rPr>
  </w:style>
  <w:style w:type="character" w:customStyle="1" w:styleId="7">
    <w:name w:val="font11"/>
    <w:basedOn w:val="5"/>
    <w:qFormat/>
    <w:uiPriority w:val="0"/>
    <w:rPr>
      <w:rFonts w:hint="eastAsia" w:ascii="宋体" w:hAnsi="宋体" w:eastAsia="宋体" w:cs="宋体"/>
      <w:color w:val="303133"/>
      <w:sz w:val="21"/>
      <w:szCs w:val="21"/>
      <w:u w:val="none"/>
    </w:rPr>
  </w:style>
  <w:style w:type="character" w:customStyle="1" w:styleId="8">
    <w:name w:val="font01"/>
    <w:basedOn w:val="5"/>
    <w:qFormat/>
    <w:uiPriority w:val="0"/>
    <w:rPr>
      <w:rFonts w:ascii="Arial" w:hAnsi="Arial" w:cs="Arial"/>
      <w:color w:val="303133"/>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2023-10-30T09:03:00Z</dcterms:created>
  <dc:creator>Admin</dc:creator>
  <cp:lastModifiedBy>Admin</cp:lastModifiedBy>
  <dcterms:modified xsi:type="dcterms:W3CDTF">2023-10-30T09:04:32Z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