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spacing w:line="540" w:lineRule="exact"/>
        <w:jc w:val="center"/>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rPr>
        <w:t>单列门诊统筹支付药品</w:t>
      </w:r>
      <w:r>
        <w:rPr>
          <w:rFonts w:hint="eastAsia" w:ascii="方正小标宋简体" w:hAnsi="方正小标宋简体" w:eastAsia="方正小标宋简体" w:cs="方正小标宋简体"/>
          <w:color w:val="auto"/>
          <w:sz w:val="32"/>
          <w:szCs w:val="32"/>
          <w:lang w:val="en-US" w:eastAsia="zh-CN"/>
        </w:rPr>
        <w:t>名单</w:t>
      </w:r>
    </w:p>
    <w:p>
      <w:pPr>
        <w:spacing w:line="540" w:lineRule="exact"/>
        <w:rPr>
          <w:rFonts w:hint="eastAsia" w:ascii="楷体_GB2312" w:hAnsi="楷体_GB2312" w:eastAsia="楷体_GB2312" w:cs="楷体_GB2312"/>
          <w:color w:val="auto"/>
          <w:sz w:val="32"/>
          <w:szCs w:val="32"/>
        </w:rPr>
      </w:pPr>
    </w:p>
    <w:tbl>
      <w:tblPr>
        <w:tblStyle w:val="4"/>
        <w:tblW w:w="14333" w:type="dxa"/>
        <w:jc w:val="center"/>
        <w:tblInd w:w="0" w:type="dxa"/>
        <w:tblLayout w:type="fixed"/>
        <w:tblCellMar>
          <w:top w:w="0" w:type="dxa"/>
          <w:left w:w="108" w:type="dxa"/>
          <w:bottom w:w="0" w:type="dxa"/>
          <w:right w:w="108" w:type="dxa"/>
        </w:tblCellMar>
      </w:tblPr>
      <w:tblGrid>
        <w:gridCol w:w="807"/>
        <w:gridCol w:w="2478"/>
        <w:gridCol w:w="873"/>
        <w:gridCol w:w="8033"/>
        <w:gridCol w:w="2142"/>
      </w:tblGrid>
      <w:tr>
        <w:tblPrEx>
          <w:tblLayout w:type="fixed"/>
          <w:tblCellMar>
            <w:top w:w="0" w:type="dxa"/>
            <w:left w:w="108" w:type="dxa"/>
            <w:bottom w:w="0" w:type="dxa"/>
            <w:right w:w="108" w:type="dxa"/>
          </w:tblCellMar>
        </w:tblPrEx>
        <w:trPr>
          <w:trHeight w:val="513" w:hRule="atLeas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eastAsia" w:ascii="楷体_GB2312" w:hAnsi="楷体_GB2312" w:eastAsia="楷体_GB2312" w:cs="楷体_GB2312"/>
                <w:b w:val="0"/>
                <w:bCs w:val="0"/>
                <w:color w:val="auto"/>
                <w:kern w:val="0"/>
                <w:sz w:val="24"/>
                <w:szCs w:val="24"/>
              </w:rPr>
            </w:pPr>
            <w:r>
              <w:rPr>
                <w:rFonts w:hint="eastAsia" w:ascii="楷体_GB2312" w:hAnsi="楷体_GB2312" w:eastAsia="楷体_GB2312" w:cs="楷体_GB2312"/>
                <w:b w:val="0"/>
                <w:bCs w:val="0"/>
                <w:color w:val="auto"/>
                <w:kern w:val="0"/>
                <w:sz w:val="24"/>
                <w:szCs w:val="24"/>
              </w:rPr>
              <w:t>序号</w:t>
            </w:r>
          </w:p>
        </w:tc>
        <w:tc>
          <w:tcPr>
            <w:tcW w:w="247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hint="eastAsia" w:ascii="楷体_GB2312" w:hAnsi="楷体_GB2312" w:eastAsia="楷体_GB2312" w:cs="楷体_GB2312"/>
                <w:b w:val="0"/>
                <w:bCs w:val="0"/>
                <w:color w:val="auto"/>
                <w:kern w:val="0"/>
                <w:sz w:val="24"/>
                <w:szCs w:val="24"/>
              </w:rPr>
            </w:pPr>
            <w:r>
              <w:rPr>
                <w:rFonts w:hint="eastAsia" w:ascii="楷体_GB2312" w:hAnsi="楷体_GB2312" w:eastAsia="楷体_GB2312" w:cs="楷体_GB2312"/>
                <w:b w:val="0"/>
                <w:bCs w:val="0"/>
                <w:color w:val="auto"/>
                <w:kern w:val="0"/>
                <w:sz w:val="24"/>
                <w:szCs w:val="24"/>
              </w:rPr>
              <w:t>药品名称</w:t>
            </w:r>
          </w:p>
        </w:tc>
        <w:tc>
          <w:tcPr>
            <w:tcW w:w="873"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hint="eastAsia" w:ascii="楷体_GB2312" w:hAnsi="楷体_GB2312" w:eastAsia="楷体_GB2312" w:cs="楷体_GB2312"/>
                <w:b w:val="0"/>
                <w:bCs w:val="0"/>
                <w:color w:val="auto"/>
                <w:kern w:val="0"/>
                <w:sz w:val="24"/>
                <w:szCs w:val="24"/>
              </w:rPr>
            </w:pPr>
            <w:r>
              <w:rPr>
                <w:rFonts w:hint="eastAsia" w:ascii="楷体_GB2312" w:hAnsi="楷体_GB2312" w:eastAsia="楷体_GB2312" w:cs="楷体_GB2312"/>
                <w:b w:val="0"/>
                <w:bCs w:val="0"/>
                <w:color w:val="auto"/>
                <w:kern w:val="0"/>
                <w:sz w:val="24"/>
                <w:szCs w:val="24"/>
              </w:rPr>
              <w:t>剂型</w:t>
            </w:r>
          </w:p>
        </w:tc>
        <w:tc>
          <w:tcPr>
            <w:tcW w:w="8033"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hint="eastAsia" w:ascii="楷体_GB2312" w:hAnsi="楷体_GB2312" w:eastAsia="楷体_GB2312" w:cs="楷体_GB2312"/>
                <w:b w:val="0"/>
                <w:bCs w:val="0"/>
                <w:color w:val="auto"/>
                <w:kern w:val="0"/>
                <w:sz w:val="24"/>
                <w:szCs w:val="24"/>
              </w:rPr>
            </w:pPr>
            <w:r>
              <w:rPr>
                <w:rFonts w:hint="eastAsia" w:ascii="楷体_GB2312" w:hAnsi="楷体_GB2312" w:eastAsia="楷体_GB2312" w:cs="楷体_GB2312"/>
                <w:b w:val="0"/>
                <w:bCs w:val="0"/>
                <w:color w:val="auto"/>
                <w:kern w:val="0"/>
                <w:sz w:val="24"/>
                <w:szCs w:val="24"/>
              </w:rPr>
              <w:t>单列门诊统筹支付限定支付范围</w:t>
            </w:r>
          </w:p>
        </w:tc>
        <w:tc>
          <w:tcPr>
            <w:tcW w:w="2142"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hint="eastAsia" w:ascii="楷体_GB2312" w:hAnsi="楷体_GB2312" w:eastAsia="楷体_GB2312" w:cs="楷体_GB2312"/>
                <w:b w:val="0"/>
                <w:bCs w:val="0"/>
                <w:color w:val="auto"/>
                <w:kern w:val="0"/>
                <w:sz w:val="24"/>
                <w:szCs w:val="24"/>
              </w:rPr>
            </w:pPr>
            <w:r>
              <w:rPr>
                <w:rFonts w:hint="eastAsia" w:ascii="楷体_GB2312" w:hAnsi="楷体_GB2312" w:eastAsia="楷体_GB2312" w:cs="楷体_GB2312"/>
                <w:b w:val="0"/>
                <w:bCs w:val="0"/>
                <w:color w:val="auto"/>
                <w:kern w:val="0"/>
                <w:sz w:val="24"/>
                <w:szCs w:val="24"/>
                <w:lang w:val="en-US" w:eastAsia="zh-CN"/>
              </w:rPr>
              <w:t>是否开通</w:t>
            </w:r>
            <w:r>
              <w:rPr>
                <w:rFonts w:hint="eastAsia" w:ascii="楷体_GB2312" w:hAnsi="楷体_GB2312" w:eastAsia="楷体_GB2312" w:cs="楷体_GB2312"/>
                <w:b w:val="0"/>
                <w:bCs w:val="0"/>
                <w:color w:val="auto"/>
                <w:kern w:val="0"/>
                <w:sz w:val="24"/>
                <w:szCs w:val="24"/>
                <w:lang w:val="zh-CN" w:eastAsia="zh-CN"/>
              </w:rPr>
              <w:t>“双通道”</w:t>
            </w:r>
            <w:r>
              <w:rPr>
                <w:rFonts w:hint="eastAsia" w:ascii="楷体_GB2312" w:hAnsi="楷体_GB2312" w:eastAsia="楷体_GB2312" w:cs="楷体_GB2312"/>
                <w:b w:val="0"/>
                <w:bCs w:val="0"/>
                <w:color w:val="auto"/>
                <w:kern w:val="0"/>
                <w:sz w:val="24"/>
                <w:szCs w:val="24"/>
                <w:lang w:val="en-US" w:eastAsia="zh-CN"/>
              </w:rPr>
              <w:t>购药结算</w:t>
            </w:r>
          </w:p>
        </w:tc>
      </w:tr>
      <w:tr>
        <w:tblPrEx>
          <w:tblLayout w:type="fixed"/>
          <w:tblCellMar>
            <w:top w:w="0" w:type="dxa"/>
            <w:left w:w="108" w:type="dxa"/>
            <w:bottom w:w="0" w:type="dxa"/>
            <w:right w:w="108" w:type="dxa"/>
          </w:tblCellMar>
        </w:tblPrEx>
        <w:trPr>
          <w:trHeight w:val="1719"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注射用重组人凝血因子Ⅶa</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用于下列患者群体出血的治疗，以及外科手术或有创操作出血的防治：</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1.先天性凝血因子VII（FVII）缺乏症患者；2.具有血小板膜糖蛋白IIb－IIIa（GPIIb－IIIa）和/或人白细胞抗原（HLA）抗体和既往或现在对血小板输注无效或不佳的血小板无力症患者。</w:t>
            </w:r>
          </w:p>
        </w:tc>
        <w:tc>
          <w:tcPr>
            <w:tcW w:w="2142" w:type="dxa"/>
            <w:tcBorders>
              <w:top w:val="nil"/>
              <w:left w:val="nil"/>
              <w:bottom w:val="single" w:color="auto" w:sz="4" w:space="0"/>
              <w:right w:val="single" w:color="auto" w:sz="4" w:space="0"/>
            </w:tcBorders>
            <w:vAlign w:val="center"/>
          </w:tcPr>
          <w:p>
            <w:pPr>
              <w:widowControl/>
              <w:spacing w:line="580" w:lineRule="exact"/>
              <w:ind w:firstLine="782" w:firstLineChars="326"/>
              <w:jc w:val="both"/>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否</w:t>
            </w:r>
          </w:p>
        </w:tc>
      </w:tr>
      <w:tr>
        <w:tblPrEx>
          <w:tblLayout w:type="fixed"/>
          <w:tblCellMar>
            <w:top w:w="0" w:type="dxa"/>
            <w:left w:w="108" w:type="dxa"/>
            <w:bottom w:w="0" w:type="dxa"/>
            <w:right w:w="108" w:type="dxa"/>
          </w:tblCellMar>
        </w:tblPrEx>
        <w:trPr>
          <w:trHeight w:val="712"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伊布替尼胶囊</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限华氏巨球蛋白血症患者的治疗，按说明书用药。</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1368"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磷酸芦可替尼片</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限中危或高危的原发性骨髓纤维化（PMF）、真性红细胞增多症继发的骨髓纤维化（PPV-MF）或原发性血小板增多症继发的骨髓纤维化（PET-MF）的患者。</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90"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醋酸戈舍瑞林缓释植入剂</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w:t>
            </w:r>
            <w:r>
              <w:rPr>
                <w:rFonts w:hint="default" w:ascii="Times New Roman" w:hAnsi="Times New Roman" w:eastAsia="仿宋_GB2312" w:cs="Times New Roman"/>
                <w:color w:val="auto"/>
                <w:kern w:val="0"/>
                <w:sz w:val="24"/>
                <w:szCs w:val="24"/>
                <w:highlight w:val="none"/>
              </w:rPr>
              <w:t>子宫</w:t>
            </w:r>
            <w:r>
              <w:rPr>
                <w:rFonts w:hint="default" w:ascii="Times New Roman" w:hAnsi="Times New Roman" w:eastAsia="仿宋_GB2312" w:cs="Times New Roman"/>
                <w:color w:val="auto"/>
                <w:kern w:val="0"/>
                <w:sz w:val="24"/>
                <w:szCs w:val="24"/>
              </w:rPr>
              <w:t>内膜异位症。</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否</w:t>
            </w:r>
          </w:p>
        </w:tc>
      </w:tr>
      <w:tr>
        <w:tblPrEx>
          <w:tblLayout w:type="fixed"/>
          <w:tblCellMar>
            <w:top w:w="0" w:type="dxa"/>
            <w:left w:w="108" w:type="dxa"/>
            <w:bottom w:w="0" w:type="dxa"/>
            <w:right w:w="108" w:type="dxa"/>
          </w:tblCellMar>
        </w:tblPrEx>
        <w:trPr>
          <w:trHeight w:val="1290"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依维莫司片</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限以下情况方可支付：1.不需立即手术治疗的结节性硬化症相关的肾血管平滑肌脂肪瘤</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szCs w:val="24"/>
              </w:rPr>
              <w:t>TSC-AML</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szCs w:val="24"/>
              </w:rPr>
              <w:t>成人患者。2.不能手术的结节性硬化症相关的室管膜下巨细胞星型细胞瘤的患者。</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846"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6</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注射用醋酸奥曲肽</w:t>
            </w:r>
          </w:p>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微球</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限肢端肥大症，按说明书用药。</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否</w:t>
            </w:r>
          </w:p>
        </w:tc>
      </w:tr>
      <w:tr>
        <w:tblPrEx>
          <w:tblLayout w:type="fixed"/>
          <w:tblCellMar>
            <w:top w:w="0" w:type="dxa"/>
            <w:left w:w="108" w:type="dxa"/>
            <w:bottom w:w="0" w:type="dxa"/>
            <w:right w:w="108" w:type="dxa"/>
          </w:tblCellMar>
        </w:tblPrEx>
        <w:trPr>
          <w:trHeight w:val="868"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7</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醋酸兰瑞肽缓释注射液（预充式）</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限肢端肥大症，按说明书用药。</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否</w:t>
            </w:r>
          </w:p>
        </w:tc>
      </w:tr>
      <w:tr>
        <w:tblPrEx>
          <w:tblLayout w:type="fixed"/>
          <w:tblCellMar>
            <w:top w:w="0" w:type="dxa"/>
            <w:left w:w="108" w:type="dxa"/>
            <w:bottom w:w="0" w:type="dxa"/>
            <w:right w:w="108" w:type="dxa"/>
          </w:tblCellMar>
        </w:tblPrEx>
        <w:trPr>
          <w:trHeight w:val="944"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8</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注射用英夫利西单抗</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限以下情况方可支付：1.克罗恩病患者的二线治疗。2.中重度溃疡性结肠炎患者的二线治疗。</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否</w:t>
            </w:r>
          </w:p>
        </w:tc>
      </w:tr>
      <w:tr>
        <w:tblPrEx>
          <w:tblLayout w:type="fixed"/>
          <w:tblCellMar>
            <w:top w:w="0" w:type="dxa"/>
            <w:left w:w="108" w:type="dxa"/>
            <w:bottom w:w="0" w:type="dxa"/>
            <w:right w:w="108" w:type="dxa"/>
          </w:tblCellMar>
        </w:tblPrEx>
        <w:trPr>
          <w:trHeight w:val="726"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9</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马来酸阿伐曲泊帕片</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限择期行诊断性操作或者手术的慢性肝病相关血小板减少症的成年患者。</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4506"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阿达木单抗</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注射剂</w:t>
            </w:r>
          </w:p>
        </w:tc>
        <w:tc>
          <w:tcPr>
            <w:tcW w:w="8033" w:type="dxa"/>
            <w:tcBorders>
              <w:top w:val="nil"/>
              <w:left w:val="nil"/>
              <w:bottom w:val="single" w:color="auto" w:sz="4" w:space="0"/>
              <w:right w:val="single" w:color="auto" w:sz="4" w:space="0"/>
            </w:tcBorders>
            <w:vAlign w:val="center"/>
          </w:tcPr>
          <w:p>
            <w:pPr>
              <w:widowControl/>
              <w:spacing w:line="360" w:lineRule="exac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克罗恩病。用于充足皮质类固醇和/或免疫抑制治疗应答不充分、不耐受或禁忌的中重度活动性克罗恩病成年患者。2.葡萄膜炎。本品适用于治疗对糖皮质激素应答不充分、需要节制使用糖皮质激素、或不适合进行糖皮质激素治疗的成年非感染性中间葡萄膜炎、后葡萄膜炎和全葡萄膜炎患者。3.多关节型幼年特发性关节炎。本品与甲氨蝶呤合用，用于治疗对一种或多种改善病情抗风湿药（DMARDs）疗效不佳的2岁及2岁以上活动性多关节型幼年特发性关节炎患者。当患者无法耐受甲氨蝶呤治疗，或者连续使用甲氨蝶呤治疗效果不佳时，本品可作为单药治疗。本品尚未在此适应症的2岁以下患儿中进行过研究。4.儿童克罗恩病：本品适用于对糖皮质激素或免疫调节剂（例如:硫唑嘌呤、6-巯基嘌呤、甲氨蝶呤）应答不足的6岁及以上的中重度活动性克罗恩病的患儿减轻症状和体征，诱导和维持临床缓解。</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1017"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11</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乙磺酸尼达尼布</w:t>
            </w:r>
          </w:p>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软胶囊</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限特发性肺纤维化（IPF）或系统性硬化病相关间质性肺疾病（SSc-ILD）患者。</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1078"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12</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乌司奴单抗注射液</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克罗恩病：本品适用于对传统治疗或肿瘤坏死因子α（TNF-α）拮抗剂应答不足、失应答或无法耐受的成年中重度活动性克罗恩病患者。</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1047"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13</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注射用维得利珠单抗</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限中度至重度活动性溃疡性结肠炎的二线用药或中度至重度活动性克罗恩病的二线用药。</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否</w:t>
            </w:r>
          </w:p>
        </w:tc>
      </w:tr>
      <w:tr>
        <w:tblPrEx>
          <w:tblLayout w:type="fixed"/>
          <w:tblCellMar>
            <w:top w:w="0" w:type="dxa"/>
            <w:left w:w="108" w:type="dxa"/>
            <w:bottom w:w="0" w:type="dxa"/>
            <w:right w:w="108" w:type="dxa"/>
          </w:tblCellMar>
        </w:tblPrEx>
        <w:trPr>
          <w:trHeight w:val="1020"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14</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乌司奴单抗注射液(静脉输注)</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本品适用于对传统治疗或肿瘤坏死因子α（TNF-α）拮抗剂应答不足、失应答或无法耐受的成年中重度活动性克罗恩病患者。</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否</w:t>
            </w:r>
          </w:p>
        </w:tc>
      </w:tr>
      <w:tr>
        <w:tblPrEx>
          <w:tblLayout w:type="fixed"/>
          <w:tblCellMar>
            <w:top w:w="0" w:type="dxa"/>
            <w:left w:w="108" w:type="dxa"/>
            <w:bottom w:w="0" w:type="dxa"/>
            <w:right w:w="108" w:type="dxa"/>
          </w:tblCellMar>
        </w:tblPrEx>
        <w:trPr>
          <w:trHeight w:val="983"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15</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注射用阿替普酶</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限急性心肌梗死发病12小时内、脑梗死发病3小时内的溶栓治疗，超过说明书规定用药时限的不予支付。</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否</w:t>
            </w:r>
          </w:p>
        </w:tc>
      </w:tr>
      <w:tr>
        <w:tblPrEx>
          <w:tblLayout w:type="fixed"/>
          <w:tblCellMar>
            <w:top w:w="0" w:type="dxa"/>
            <w:left w:w="108" w:type="dxa"/>
            <w:bottom w:w="0" w:type="dxa"/>
            <w:right w:w="108" w:type="dxa"/>
          </w:tblCellMar>
        </w:tblPrEx>
        <w:trPr>
          <w:trHeight w:val="742"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16</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甲苯磺酸艾多沙班片</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限华法林治疗控制不良或出血高危的深静脉血栓、肺栓塞患者。</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982"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17</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氯苯唑酸软胶囊</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本品适用于治疗成人野生型或遗传型转甲状腺素蛋白淀粉样变性心肌病（ATTR-CM），以减少心血管死亡及心血管相关住院。</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1070"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18</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度普利尤单抗注射液</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限对传统治疗无效、有禁忌或不耐受的中重度特应性皮炎患者，需按说明书用药。</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1273"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19</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注射用两性霉素B胆固醇硫酸酯复合物</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本品适用于患有深部真菌感染的患者；因肾损伤或药物毒性而不能使用有效剂量的两性霉素B的患者，或已经接受过两性霉素B治疗无效的患者均可使用。</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否</w:t>
            </w:r>
          </w:p>
        </w:tc>
      </w:tr>
      <w:tr>
        <w:tblPrEx>
          <w:tblLayout w:type="fixed"/>
          <w:tblCellMar>
            <w:top w:w="0" w:type="dxa"/>
            <w:left w:w="108" w:type="dxa"/>
            <w:bottom w:w="0" w:type="dxa"/>
            <w:right w:w="108" w:type="dxa"/>
          </w:tblCellMar>
        </w:tblPrEx>
        <w:trPr>
          <w:trHeight w:val="695"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克立硼罗软膏</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适用于2岁及以上轻度至中度特应性皮炎患者的局部外用治疗。</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951"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21</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泊沙康唑口服混悬液</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限以下情况方可支付：1.伊曲康唑或氟康唑难治性口咽念珠菌病。2.接合菌纲类感染。</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705"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22</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麦格司他胶囊</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限C型尼曼匹克病患者。</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636"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23</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诺西那生钠注射液</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本品用于治疗5q脊髓性肌萎缩症。</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否</w:t>
            </w:r>
          </w:p>
        </w:tc>
      </w:tr>
      <w:tr>
        <w:tblPrEx>
          <w:tblLayout w:type="fixed"/>
          <w:tblCellMar>
            <w:top w:w="0" w:type="dxa"/>
            <w:left w:w="108" w:type="dxa"/>
            <w:bottom w:w="0" w:type="dxa"/>
            <w:right w:w="108" w:type="dxa"/>
          </w:tblCellMar>
        </w:tblPrEx>
        <w:trPr>
          <w:trHeight w:val="639"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24</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特立氟胺片</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限常规治疗无效的多发性硬化患者。</w:t>
            </w:r>
          </w:p>
        </w:tc>
        <w:tc>
          <w:tcPr>
            <w:tcW w:w="2142" w:type="dxa"/>
            <w:tcBorders>
              <w:top w:val="nil"/>
              <w:left w:val="nil"/>
              <w:bottom w:val="single" w:color="auto" w:sz="4" w:space="0"/>
              <w:right w:val="single" w:color="auto" w:sz="4" w:space="0"/>
            </w:tcBorders>
            <w:vAlign w:val="center"/>
          </w:tcPr>
          <w:p>
            <w:pPr>
              <w:widowControl/>
              <w:spacing w:line="580" w:lineRule="exact"/>
              <w:ind w:firstLine="0" w:firstLine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620"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25</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西尼莫德片</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限成人复发型多发性硬化的患者。</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724"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26</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盐酸芬戈莫德胶囊</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限10岁及以上患者复发型多发性硬化（RMS）的患者。</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661"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27</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氘丁苯那嗪片</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限与亨廷顿病有关的舞蹈病或成人迟发性运动障碍。</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840"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28</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依达拉奉氯化钠注射液</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限肌萎缩侧索硬化（ALS）的患者。</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否</w:t>
            </w:r>
          </w:p>
        </w:tc>
      </w:tr>
      <w:tr>
        <w:tblPrEx>
          <w:tblLayout w:type="fixed"/>
          <w:tblCellMar>
            <w:top w:w="0" w:type="dxa"/>
            <w:left w:w="108" w:type="dxa"/>
            <w:bottom w:w="0" w:type="dxa"/>
            <w:right w:w="108" w:type="dxa"/>
          </w:tblCellMar>
        </w:tblPrEx>
        <w:trPr>
          <w:trHeight w:val="1830"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29</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阿加糖酶α注射用浓溶液</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本品用于确诊为法布雷病（α-半乳糖苷酶A缺乏症）患者的长期酶替代治疗。本品适用于成人、儿童和青少年。尚未确定本品在0-6岁儿童中的安全性和有效性。</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否</w:t>
            </w:r>
          </w:p>
        </w:tc>
      </w:tr>
      <w:tr>
        <w:tblPrEx>
          <w:tblLayout w:type="fixed"/>
          <w:tblCellMar>
            <w:top w:w="0" w:type="dxa"/>
            <w:left w:w="108" w:type="dxa"/>
            <w:bottom w:w="0" w:type="dxa"/>
            <w:right w:w="108" w:type="dxa"/>
          </w:tblCellMar>
        </w:tblPrEx>
        <w:trPr>
          <w:trHeight w:val="2595"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30</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highlight w:val="none"/>
              </w:rPr>
              <w:t>地塞米松</w:t>
            </w:r>
            <w:r>
              <w:rPr>
                <w:rFonts w:hint="default" w:ascii="Times New Roman" w:hAnsi="Times New Roman" w:eastAsia="仿宋_GB2312" w:cs="Times New Roman"/>
                <w:color w:val="auto"/>
                <w:kern w:val="0"/>
                <w:sz w:val="24"/>
                <w:szCs w:val="24"/>
              </w:rPr>
              <w:t>玻璃体内植入剂</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视网膜静脉阻塞（RVO）的黄斑水肿患者，并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5支，每个年度最多支付2支。</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否</w:t>
            </w:r>
          </w:p>
        </w:tc>
      </w:tr>
      <w:tr>
        <w:tblPrEx>
          <w:tblLayout w:type="fixed"/>
          <w:tblCellMar>
            <w:top w:w="0" w:type="dxa"/>
            <w:left w:w="108" w:type="dxa"/>
            <w:bottom w:w="0" w:type="dxa"/>
            <w:right w:w="108" w:type="dxa"/>
          </w:tblCellMar>
        </w:tblPrEx>
        <w:trPr>
          <w:trHeight w:val="3447"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31</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康柏西普眼用注射液</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以下疾病：1.50岁以上的湿性年龄相关性黄斑变性（AMD）；2.糖尿病性黄斑水肿（DME）引起的视力损害；3.脉络膜新生血管（CNV）导致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否</w:t>
            </w:r>
          </w:p>
        </w:tc>
      </w:tr>
      <w:tr>
        <w:tblPrEx>
          <w:tblLayout w:type="fixed"/>
          <w:tblCellMar>
            <w:top w:w="0" w:type="dxa"/>
            <w:left w:w="108" w:type="dxa"/>
            <w:bottom w:w="0" w:type="dxa"/>
            <w:right w:w="108" w:type="dxa"/>
          </w:tblCellMar>
        </w:tblPrEx>
        <w:trPr>
          <w:trHeight w:val="3105"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32</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阿柏西普眼内注射溶液</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以下疾病：1.50岁以上的湿性年龄相关性黄斑变性（AMD）；2.糖尿病性黄斑水肿（DME）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否</w:t>
            </w:r>
          </w:p>
        </w:tc>
      </w:tr>
      <w:tr>
        <w:tblPrEx>
          <w:tblLayout w:type="fixed"/>
          <w:tblCellMar>
            <w:top w:w="0" w:type="dxa"/>
            <w:left w:w="108" w:type="dxa"/>
            <w:bottom w:w="0" w:type="dxa"/>
            <w:right w:w="108" w:type="dxa"/>
          </w:tblCellMar>
        </w:tblPrEx>
        <w:trPr>
          <w:trHeight w:val="2953" w:hRule="atLeast"/>
          <w:jc w:val="center"/>
        </w:trPr>
        <w:tc>
          <w:tcPr>
            <w:tcW w:w="807"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33</w:t>
            </w:r>
          </w:p>
        </w:tc>
        <w:tc>
          <w:tcPr>
            <w:tcW w:w="247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雷珠单抗注射液</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以下疾病：1.50岁以上的湿性年龄相关性黄斑变性（AMD）；2.糖尿病性黄斑水肿（DME）引起的视力损害；3.脉络膜新生血管（CNV）导致的视力损害；4.继发于视网膜静脉阻塞（RVO）的黄斑水肿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2142" w:type="dxa"/>
            <w:tcBorders>
              <w:top w:val="nil"/>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否</w:t>
            </w:r>
          </w:p>
        </w:tc>
      </w:tr>
      <w:tr>
        <w:tblPrEx>
          <w:tblLayout w:type="fixed"/>
          <w:tblCellMar>
            <w:top w:w="0" w:type="dxa"/>
            <w:left w:w="108" w:type="dxa"/>
            <w:bottom w:w="0" w:type="dxa"/>
            <w:right w:w="108" w:type="dxa"/>
          </w:tblCellMar>
        </w:tblPrEx>
        <w:trPr>
          <w:trHeight w:val="704"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34</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富马酸二甲酯肠溶胶囊</w:t>
            </w:r>
          </w:p>
          <w:p>
            <w:pPr>
              <w:widowControl/>
              <w:spacing w:line="360" w:lineRule="exact"/>
              <w:jc w:val="center"/>
              <w:rPr>
                <w:rFonts w:hint="default" w:ascii="Times New Roman" w:hAnsi="Times New Roman" w:eastAsia="仿宋_GB2312" w:cs="Times New Roman"/>
                <w:color w:val="auto"/>
                <w:kern w:val="0"/>
                <w:sz w:val="24"/>
                <w:szCs w:val="24"/>
              </w:rPr>
            </w:pP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 xml:space="preserve">限成人复发型多发性硬化(RMS)。 </w:t>
            </w:r>
          </w:p>
          <w:p>
            <w:pPr>
              <w:widowControl/>
              <w:spacing w:line="360" w:lineRule="exact"/>
              <w:jc w:val="center"/>
              <w:rPr>
                <w:rFonts w:hint="default" w:ascii="Times New Roman" w:hAnsi="Times New Roman" w:eastAsia="仿宋_GB2312" w:cs="Times New Roman"/>
                <w:color w:val="auto"/>
                <w:kern w:val="0"/>
                <w:sz w:val="24"/>
                <w:szCs w:val="24"/>
              </w:rPr>
            </w:pPr>
          </w:p>
        </w:tc>
        <w:tc>
          <w:tcPr>
            <w:tcW w:w="2142"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47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35</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利鲁唑口服混悬液</w:t>
            </w:r>
          </w:p>
          <w:p>
            <w:pPr>
              <w:widowControl/>
              <w:spacing w:line="360" w:lineRule="exact"/>
              <w:jc w:val="center"/>
              <w:rPr>
                <w:rFonts w:hint="default" w:ascii="Times New Roman" w:hAnsi="Times New Roman" w:eastAsia="仿宋_GB2312" w:cs="Times New Roman"/>
                <w:color w:val="auto"/>
                <w:kern w:val="0"/>
                <w:sz w:val="24"/>
                <w:szCs w:val="24"/>
              </w:rPr>
            </w:pP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限肌萎缩侧索硬化(ALS)。</w:t>
            </w:r>
          </w:p>
          <w:p>
            <w:pPr>
              <w:widowControl/>
              <w:spacing w:line="360" w:lineRule="exact"/>
              <w:jc w:val="center"/>
              <w:rPr>
                <w:rFonts w:hint="default" w:ascii="Times New Roman" w:hAnsi="Times New Roman" w:eastAsia="仿宋_GB2312" w:cs="Times New Roman"/>
                <w:color w:val="auto"/>
                <w:kern w:val="0"/>
                <w:sz w:val="24"/>
                <w:szCs w:val="24"/>
              </w:rPr>
            </w:pPr>
          </w:p>
        </w:tc>
        <w:tc>
          <w:tcPr>
            <w:tcW w:w="2142"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36</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 xml:space="preserve">利司扑兰口服溶液用散 </w:t>
            </w:r>
          </w:p>
          <w:p>
            <w:pPr>
              <w:widowControl/>
              <w:spacing w:line="360" w:lineRule="exact"/>
              <w:jc w:val="center"/>
              <w:rPr>
                <w:rFonts w:hint="default" w:ascii="Times New Roman" w:hAnsi="Times New Roman" w:eastAsia="仿宋_GB2312" w:cs="Times New Roman"/>
                <w:color w:val="auto"/>
                <w:kern w:val="0"/>
                <w:sz w:val="24"/>
                <w:szCs w:val="24"/>
              </w:rPr>
            </w:pP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限 2 月龄及以上患者的脊髓性肌萎缩症(SMA)。</w:t>
            </w:r>
          </w:p>
          <w:p>
            <w:pPr>
              <w:widowControl/>
              <w:spacing w:line="360" w:lineRule="exact"/>
              <w:jc w:val="center"/>
              <w:rPr>
                <w:rFonts w:hint="default" w:ascii="Times New Roman" w:hAnsi="Times New Roman" w:eastAsia="仿宋_GB2312" w:cs="Times New Roman"/>
                <w:color w:val="auto"/>
                <w:kern w:val="0"/>
                <w:sz w:val="24"/>
                <w:szCs w:val="24"/>
              </w:rPr>
            </w:pPr>
          </w:p>
        </w:tc>
        <w:tc>
          <w:tcPr>
            <w:tcW w:w="2142"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49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37</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 xml:space="preserve">普瑞巴林口服溶液 </w:t>
            </w:r>
          </w:p>
          <w:p>
            <w:pPr>
              <w:widowControl/>
              <w:spacing w:line="360" w:lineRule="exact"/>
              <w:jc w:val="center"/>
              <w:rPr>
                <w:rFonts w:hint="default" w:ascii="Times New Roman" w:hAnsi="Times New Roman" w:eastAsia="仿宋_GB2312" w:cs="Times New Roman"/>
                <w:color w:val="auto"/>
                <w:kern w:val="0"/>
                <w:sz w:val="24"/>
                <w:szCs w:val="24"/>
              </w:rPr>
            </w:pP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w:t>
            </w:r>
          </w:p>
          <w:p>
            <w:pPr>
              <w:widowControl/>
              <w:spacing w:line="360" w:lineRule="exact"/>
              <w:jc w:val="center"/>
              <w:rPr>
                <w:rFonts w:hint="default" w:ascii="Times New Roman" w:hAnsi="Times New Roman" w:eastAsia="仿宋_GB2312" w:cs="Times New Roman"/>
                <w:color w:val="auto"/>
                <w:kern w:val="0"/>
                <w:sz w:val="24"/>
                <w:szCs w:val="24"/>
              </w:rPr>
            </w:pPr>
          </w:p>
        </w:tc>
        <w:tc>
          <w:tcPr>
            <w:tcW w:w="2142"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67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38</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 xml:space="preserve">阿布昔替尼片 </w:t>
            </w:r>
          </w:p>
          <w:p>
            <w:pPr>
              <w:widowControl/>
              <w:spacing w:line="360" w:lineRule="exact"/>
              <w:jc w:val="center"/>
              <w:rPr>
                <w:rFonts w:hint="default" w:ascii="Times New Roman" w:hAnsi="Times New Roman" w:eastAsia="仿宋_GB2312" w:cs="Times New Roman"/>
                <w:color w:val="auto"/>
                <w:kern w:val="0"/>
                <w:sz w:val="24"/>
                <w:szCs w:val="24"/>
              </w:rPr>
            </w:pP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auto"/>
                <w:kern w:val="0"/>
                <w:sz w:val="24"/>
                <w:szCs w:val="24"/>
              </w:rPr>
            </w:pPr>
          </w:p>
        </w:tc>
        <w:tc>
          <w:tcPr>
            <w:tcW w:w="803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 xml:space="preserve">限其他系统治疗(如激素或生物制剂)应答不佳或不适宜上述治疗的难治性、中重度特应性皮 炎成人患者。 </w:t>
            </w:r>
          </w:p>
          <w:p>
            <w:pPr>
              <w:widowControl/>
              <w:spacing w:line="360" w:lineRule="exact"/>
              <w:jc w:val="center"/>
              <w:rPr>
                <w:rFonts w:hint="default" w:ascii="Times New Roman" w:hAnsi="Times New Roman" w:eastAsia="仿宋_GB2312" w:cs="Times New Roman"/>
                <w:color w:val="auto"/>
                <w:kern w:val="0"/>
                <w:sz w:val="24"/>
                <w:szCs w:val="24"/>
              </w:rPr>
            </w:pPr>
          </w:p>
        </w:tc>
        <w:tc>
          <w:tcPr>
            <w:tcW w:w="2142"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是</w:t>
            </w:r>
          </w:p>
        </w:tc>
      </w:tr>
      <w:tr>
        <w:tblPrEx>
          <w:tblLayout w:type="fixed"/>
          <w:tblCellMar>
            <w:top w:w="0" w:type="dxa"/>
            <w:left w:w="108" w:type="dxa"/>
            <w:bottom w:w="0" w:type="dxa"/>
            <w:right w:w="108" w:type="dxa"/>
          </w:tblCellMar>
        </w:tblPrEx>
        <w:trPr>
          <w:trHeight w:val="840" w:hRule="atLeast"/>
          <w:jc w:val="center"/>
        </w:trPr>
        <w:tc>
          <w:tcPr>
            <w:tcW w:w="12191" w:type="dxa"/>
            <w:gridSpan w:val="4"/>
            <w:tcBorders>
              <w:top w:val="nil"/>
              <w:left w:val="nil"/>
              <w:bottom w:val="nil"/>
              <w:right w:val="nil"/>
            </w:tcBorders>
            <w:vAlign w:val="center"/>
          </w:tcPr>
          <w:p>
            <w:pPr>
              <w:widowControl/>
              <w:spacing w:line="360" w:lineRule="exact"/>
              <w:jc w:val="left"/>
              <w:rPr>
                <w:rFonts w:hint="eastAsia"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 xml:space="preserve">   备注：单列门诊统筹支付药品待遇与门诊特殊慢</w:t>
            </w:r>
            <w:r>
              <w:rPr>
                <w:rFonts w:hint="eastAsia" w:ascii="仿宋_GB2312" w:hAnsi="仿宋_GB2312" w:eastAsia="仿宋_GB2312" w:cs="仿宋_GB2312"/>
                <w:color w:val="auto"/>
                <w:kern w:val="0"/>
                <w:sz w:val="24"/>
                <w:szCs w:val="24"/>
                <w:highlight w:val="none"/>
              </w:rPr>
              <w:t>性病</w:t>
            </w:r>
            <w:r>
              <w:rPr>
                <w:rFonts w:hint="eastAsia" w:ascii="仿宋_GB2312" w:hAnsi="仿宋_GB2312" w:eastAsia="仿宋_GB2312" w:cs="仿宋_GB2312"/>
                <w:color w:val="auto"/>
                <w:kern w:val="0"/>
                <w:sz w:val="24"/>
                <w:szCs w:val="24"/>
              </w:rPr>
              <w:t>病种待遇不重复享受。</w:t>
            </w:r>
          </w:p>
        </w:tc>
        <w:tc>
          <w:tcPr>
            <w:tcW w:w="2142" w:type="dxa"/>
            <w:tcBorders>
              <w:top w:val="nil"/>
              <w:left w:val="nil"/>
              <w:bottom w:val="nil"/>
              <w:right w:val="nil"/>
            </w:tcBorders>
            <w:vAlign w:val="center"/>
          </w:tcPr>
          <w:p>
            <w:pPr>
              <w:widowControl/>
              <w:spacing w:line="580" w:lineRule="exact"/>
              <w:jc w:val="left"/>
              <w:rPr>
                <w:rFonts w:hint="eastAsia" w:ascii="仿宋_GB2312" w:hAnsi="宋体" w:eastAsia="仿宋_GB2312" w:cs="宋体"/>
                <w:color w:val="auto"/>
                <w:kern w:val="0"/>
                <w:sz w:val="28"/>
                <w:szCs w:val="28"/>
              </w:rPr>
            </w:pPr>
          </w:p>
        </w:tc>
      </w:tr>
    </w:tbl>
    <w:p>
      <w:pPr>
        <w:rPr>
          <w:rFonts w:hint="default"/>
          <w:color w:val="auto"/>
          <w:lang w:val="en-US" w:eastAsia="zh-CN"/>
        </w:rPr>
        <w:sectPr>
          <w:pgSz w:w="16838" w:h="11906" w:orient="landscape"/>
          <w:pgMar w:top="1440" w:right="1080" w:bottom="1440" w:left="1080" w:header="851" w:footer="992" w:gutter="0"/>
          <w:pgNumType w:fmt="decimal"/>
          <w:cols w:space="720" w:num="1"/>
          <w:docGrid w:type="lines" w:linePitch="312"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566E3"/>
    <w:rsid w:val="0BB5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415" w:lineRule="auto"/>
      <w:outlineLvl w:val="1"/>
    </w:pPr>
    <w:rPr>
      <w:rFonts w:ascii="Arial" w:hAnsi="Arial" w:eastAsia="黑体"/>
      <w:b/>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城中区</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2023-10-30T09:05:00Z</dcterms:created>
  <dc:creator>Admin</dc:creator>
  <cp:lastModifiedBy>Admin</cp:lastModifiedBy>
  <dcterms:modified xsi:type="dcterms:W3CDTF">2023-10-30T09:06:21Z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