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黑体" w:hAnsi="黑体" w:eastAsia="黑体" w:cs="黑体"/>
          <w:b w:val="0"/>
          <w:bCs w:val="0"/>
          <w:color w:val="auto"/>
          <w:spacing w:val="-16"/>
          <w:sz w:val="32"/>
          <w:szCs w:val="32"/>
          <w:lang w:val="en-US" w:eastAsia="zh-CN"/>
        </w:rPr>
      </w:pPr>
      <w:r>
        <w:rPr>
          <w:rFonts w:hint="eastAsia" w:ascii="黑体" w:hAnsi="黑体" w:eastAsia="黑体" w:cs="黑体"/>
          <w:b w:val="0"/>
          <w:bCs w:val="0"/>
          <w:color w:val="auto"/>
          <w:spacing w:val="-16"/>
          <w:sz w:val="32"/>
          <w:szCs w:val="32"/>
          <w:lang w:val="en-US" w:eastAsia="zh-CN"/>
        </w:rPr>
        <w:t>附件4</w:t>
      </w:r>
    </w:p>
    <w:p>
      <w:pPr>
        <w:spacing w:line="500" w:lineRule="exact"/>
        <w:jc w:val="center"/>
        <w:rPr>
          <w:rFonts w:hint="eastAsia" w:ascii="仿宋_GB2312" w:hAnsi="仿宋_GB2312" w:eastAsia="仿宋_GB2312" w:cs="仿宋_GB2312"/>
          <w:b w:val="0"/>
          <w:bCs w:val="0"/>
          <w:color w:val="auto"/>
          <w:sz w:val="32"/>
          <w:szCs w:val="32"/>
        </w:rPr>
      </w:pPr>
      <w:bookmarkStart w:id="0" w:name="_GoBack"/>
      <w:r>
        <w:rPr>
          <w:rFonts w:hint="eastAsia" w:ascii="方正小标宋简体" w:hAnsi="方正小标宋简体" w:eastAsia="方正小标宋简体" w:cs="方正小标宋简体"/>
          <w:b w:val="0"/>
          <w:bCs w:val="0"/>
          <w:color w:val="auto"/>
          <w:spacing w:val="-16"/>
          <w:sz w:val="32"/>
          <w:szCs w:val="32"/>
        </w:rPr>
        <w:t>“双通道”</w:t>
      </w:r>
      <w:r>
        <w:rPr>
          <w:rFonts w:hint="eastAsia" w:ascii="方正小标宋简体" w:hAnsi="方正小标宋简体" w:eastAsia="方正小标宋简体" w:cs="方正小标宋简体"/>
          <w:b w:val="0"/>
          <w:bCs w:val="0"/>
          <w:color w:val="auto"/>
          <w:spacing w:val="-16"/>
          <w:sz w:val="32"/>
          <w:szCs w:val="32"/>
          <w:lang w:eastAsia="zh-CN"/>
        </w:rPr>
        <w:t>保障管理的</w:t>
      </w:r>
      <w:r>
        <w:rPr>
          <w:rFonts w:hint="eastAsia" w:ascii="方正小标宋简体" w:hAnsi="方正小标宋简体" w:eastAsia="方正小标宋简体" w:cs="方正小标宋简体"/>
          <w:b w:val="0"/>
          <w:bCs w:val="0"/>
          <w:color w:val="auto"/>
          <w:spacing w:val="-16"/>
          <w:sz w:val="32"/>
          <w:szCs w:val="32"/>
          <w:lang w:val="en-US" w:eastAsia="zh-CN"/>
        </w:rPr>
        <w:t>门诊特殊慢性病</w:t>
      </w:r>
      <w:r>
        <w:rPr>
          <w:rFonts w:hint="eastAsia" w:ascii="方正小标宋简体" w:hAnsi="方正小标宋简体" w:eastAsia="方正小标宋简体" w:cs="方正小标宋简体"/>
          <w:b w:val="0"/>
          <w:bCs w:val="0"/>
          <w:color w:val="auto"/>
          <w:spacing w:val="-16"/>
          <w:sz w:val="32"/>
          <w:szCs w:val="32"/>
        </w:rPr>
        <w:t>药品名单</w:t>
      </w:r>
    </w:p>
    <w:bookmarkEnd w:id="0"/>
    <w:p>
      <w:pPr>
        <w:rPr>
          <w:b w:val="0"/>
          <w:bCs w:val="0"/>
          <w:color w:val="auto"/>
        </w:rPr>
      </w:pPr>
    </w:p>
    <w:p>
      <w:pPr>
        <w:spacing w:line="157" w:lineRule="exact"/>
        <w:rPr>
          <w:color w:val="auto"/>
        </w:rPr>
      </w:pPr>
    </w:p>
    <w:tbl>
      <w:tblPr>
        <w:tblStyle w:val="6"/>
        <w:tblW w:w="14602" w:type="dxa"/>
        <w:tblInd w:w="2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2308"/>
        <w:gridCol w:w="2880"/>
        <w:gridCol w:w="8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4" w:hRule="atLeast"/>
        </w:trPr>
        <w:tc>
          <w:tcPr>
            <w:tcW w:w="754" w:type="dxa"/>
            <w:vAlign w:val="top"/>
          </w:tcPr>
          <w:p>
            <w:pPr>
              <w:spacing w:before="152" w:line="221" w:lineRule="auto"/>
              <w:ind w:left="218"/>
              <w:rPr>
                <w:rFonts w:hint="eastAsia" w:ascii="楷体_GB2312" w:hAnsi="楷体_GB2312" w:eastAsia="楷体_GB2312" w:cs="楷体_GB2312"/>
                <w:b w:val="0"/>
                <w:bCs w:val="0"/>
                <w:color w:val="auto"/>
                <w:sz w:val="24"/>
                <w:szCs w:val="24"/>
              </w:rPr>
            </w:pPr>
            <w:r>
              <w:rPr>
                <w:rFonts w:hint="eastAsia" w:ascii="楷体_GB2312" w:hAnsi="楷体_GB2312" w:eastAsia="楷体_GB2312" w:cs="楷体_GB2312"/>
                <w:b w:val="0"/>
                <w:bCs w:val="0"/>
                <w:color w:val="auto"/>
                <w:spacing w:val="-5"/>
                <w:sz w:val="24"/>
                <w:szCs w:val="24"/>
              </w:rPr>
              <w:t>序号</w:t>
            </w:r>
          </w:p>
        </w:tc>
        <w:tc>
          <w:tcPr>
            <w:tcW w:w="2308" w:type="dxa"/>
            <w:vAlign w:val="top"/>
          </w:tcPr>
          <w:p>
            <w:pPr>
              <w:spacing w:before="151" w:line="220" w:lineRule="auto"/>
              <w:ind w:left="704"/>
              <w:rPr>
                <w:rFonts w:hint="eastAsia" w:ascii="楷体_GB2312" w:hAnsi="楷体_GB2312" w:eastAsia="楷体_GB2312" w:cs="楷体_GB2312"/>
                <w:b w:val="0"/>
                <w:bCs w:val="0"/>
                <w:color w:val="auto"/>
                <w:sz w:val="24"/>
                <w:szCs w:val="24"/>
              </w:rPr>
            </w:pPr>
            <w:r>
              <w:rPr>
                <w:rFonts w:hint="eastAsia" w:ascii="楷体_GB2312" w:hAnsi="楷体_GB2312" w:eastAsia="楷体_GB2312" w:cs="楷体_GB2312"/>
                <w:b w:val="0"/>
                <w:bCs w:val="0"/>
                <w:color w:val="auto"/>
                <w:spacing w:val="-5"/>
                <w:sz w:val="24"/>
                <w:szCs w:val="24"/>
              </w:rPr>
              <w:t>药品名称</w:t>
            </w:r>
          </w:p>
        </w:tc>
        <w:tc>
          <w:tcPr>
            <w:tcW w:w="2880" w:type="dxa"/>
            <w:vAlign w:val="top"/>
          </w:tcPr>
          <w:p>
            <w:pPr>
              <w:spacing w:before="151" w:line="219" w:lineRule="auto"/>
              <w:ind w:left="156"/>
              <w:rPr>
                <w:rFonts w:hint="eastAsia" w:ascii="楷体_GB2312" w:hAnsi="楷体_GB2312" w:eastAsia="楷体_GB2312" w:cs="楷体_GB2312"/>
                <w:b w:val="0"/>
                <w:bCs w:val="0"/>
                <w:color w:val="auto"/>
                <w:sz w:val="24"/>
                <w:szCs w:val="24"/>
              </w:rPr>
            </w:pPr>
            <w:r>
              <w:rPr>
                <w:rFonts w:hint="eastAsia" w:ascii="楷体_GB2312" w:hAnsi="楷体_GB2312" w:eastAsia="楷体_GB2312" w:cs="楷体_GB2312"/>
                <w:b w:val="0"/>
                <w:bCs w:val="0"/>
                <w:color w:val="auto"/>
                <w:spacing w:val="-3"/>
                <w:sz w:val="24"/>
                <w:szCs w:val="24"/>
              </w:rPr>
              <w:t>对应门诊特殊慢性病病种</w:t>
            </w:r>
          </w:p>
        </w:tc>
        <w:tc>
          <w:tcPr>
            <w:tcW w:w="8660" w:type="dxa"/>
            <w:vAlign w:val="top"/>
          </w:tcPr>
          <w:p>
            <w:pPr>
              <w:spacing w:before="152" w:line="221" w:lineRule="auto"/>
              <w:ind w:left="3868"/>
              <w:rPr>
                <w:rFonts w:hint="eastAsia" w:ascii="楷体_GB2312" w:hAnsi="楷体_GB2312" w:eastAsia="楷体_GB2312" w:cs="楷体_GB2312"/>
                <w:b w:val="0"/>
                <w:bCs w:val="0"/>
                <w:color w:val="auto"/>
                <w:sz w:val="24"/>
                <w:szCs w:val="24"/>
                <w:lang w:eastAsia="zh-CN"/>
              </w:rPr>
            </w:pPr>
            <w:r>
              <w:rPr>
                <w:rFonts w:hint="eastAsia" w:ascii="楷体_GB2312" w:hAnsi="楷体_GB2312" w:eastAsia="楷体_GB2312" w:cs="楷体_GB2312"/>
                <w:b w:val="0"/>
                <w:bCs w:val="0"/>
                <w:color w:val="auto"/>
                <w:spacing w:val="-8"/>
                <w:sz w:val="24"/>
                <w:szCs w:val="24"/>
                <w:lang w:val="en-US" w:eastAsia="zh-CN"/>
              </w:rPr>
              <w:t>限定支付范围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709" w:hRule="atLeast"/>
        </w:trPr>
        <w:tc>
          <w:tcPr>
            <w:tcW w:w="754" w:type="dxa"/>
            <w:vAlign w:val="top"/>
          </w:tcPr>
          <w:p>
            <w:pPr>
              <w:spacing w:before="305" w:line="184" w:lineRule="auto"/>
              <w:ind w:left="21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1</w:t>
            </w:r>
          </w:p>
        </w:tc>
        <w:tc>
          <w:tcPr>
            <w:tcW w:w="2308" w:type="dxa"/>
            <w:vAlign w:val="top"/>
          </w:tcPr>
          <w:p>
            <w:pPr>
              <w:spacing w:before="250" w:line="219" w:lineRule="auto"/>
              <w:ind w:left="26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1"/>
                <w:sz w:val="24"/>
                <w:szCs w:val="24"/>
              </w:rPr>
              <w:t>盐酸阿来替尼胶囊</w:t>
            </w:r>
          </w:p>
        </w:tc>
        <w:tc>
          <w:tcPr>
            <w:tcW w:w="2880" w:type="dxa"/>
            <w:vAlign w:val="top"/>
          </w:tcPr>
          <w:p>
            <w:pPr>
              <w:spacing w:before="120" w:line="220" w:lineRule="auto"/>
              <w:ind w:left="63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60" w:line="222" w:lineRule="auto"/>
              <w:ind w:left="107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660" w:type="dxa"/>
            <w:vAlign w:val="top"/>
          </w:tcPr>
          <w:p>
            <w:pPr>
              <w:spacing w:before="248" w:line="218" w:lineRule="auto"/>
              <w:ind w:left="12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限间变性淋巴瘤激酶(</w:t>
            </w:r>
            <w:r>
              <w:rPr>
                <w:rFonts w:hint="default" w:ascii="Times New Roman" w:hAnsi="Times New Roman" w:eastAsia="仿宋_GB2312" w:cs="Times New Roman"/>
                <w:b w:val="0"/>
                <w:bCs w:val="0"/>
                <w:color w:val="auto"/>
                <w:sz w:val="24"/>
                <w:szCs w:val="24"/>
              </w:rPr>
              <w:t>ALK</w:t>
            </w:r>
            <w:r>
              <w:rPr>
                <w:rFonts w:hint="default" w:ascii="Times New Roman" w:hAnsi="Times New Roman" w:eastAsia="仿宋_GB2312" w:cs="Times New Roman"/>
                <w:b w:val="0"/>
                <w:bCs w:val="0"/>
                <w:color w:val="auto"/>
                <w:spacing w:val="6"/>
                <w:sz w:val="24"/>
                <w:szCs w:val="24"/>
              </w:rPr>
              <w:t>)阳性的局部晚期或转移性非小</w:t>
            </w:r>
            <w:r>
              <w:rPr>
                <w:rFonts w:hint="default" w:ascii="Times New Roman" w:hAnsi="Times New Roman" w:eastAsia="仿宋_GB2312" w:cs="Times New Roman"/>
                <w:b w:val="0"/>
                <w:bCs w:val="0"/>
                <w:color w:val="auto"/>
                <w:spacing w:val="5"/>
                <w:sz w:val="24"/>
                <w:szCs w:val="24"/>
              </w:rPr>
              <w:t>细胞肺癌患者。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88" w:hRule="atLeast"/>
        </w:trPr>
        <w:tc>
          <w:tcPr>
            <w:tcW w:w="754" w:type="dxa"/>
            <w:vAlign w:val="top"/>
          </w:tcPr>
          <w:p>
            <w:pPr>
              <w:spacing w:line="423" w:lineRule="auto"/>
              <w:rPr>
                <w:rFonts w:hint="default" w:ascii="Times New Roman" w:hAnsi="Times New Roman" w:eastAsia="仿宋_GB2312" w:cs="Times New Roman"/>
                <w:b w:val="0"/>
                <w:bCs w:val="0"/>
                <w:color w:val="auto"/>
                <w:sz w:val="24"/>
                <w:szCs w:val="24"/>
              </w:rPr>
            </w:pPr>
          </w:p>
          <w:p>
            <w:pPr>
              <w:spacing w:before="72" w:line="183" w:lineRule="auto"/>
              <w:ind w:left="21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2</w:t>
            </w:r>
          </w:p>
        </w:tc>
        <w:tc>
          <w:tcPr>
            <w:tcW w:w="2308" w:type="dxa"/>
            <w:vAlign w:val="top"/>
          </w:tcPr>
          <w:p>
            <w:pPr>
              <w:spacing w:line="367" w:lineRule="auto"/>
              <w:rPr>
                <w:rFonts w:hint="default" w:ascii="Times New Roman" w:hAnsi="Times New Roman" w:eastAsia="仿宋_GB2312" w:cs="Times New Roman"/>
                <w:b w:val="0"/>
                <w:bCs w:val="0"/>
                <w:color w:val="auto"/>
                <w:sz w:val="24"/>
                <w:szCs w:val="24"/>
              </w:rPr>
            </w:pPr>
          </w:p>
          <w:p>
            <w:pPr>
              <w:spacing w:before="72" w:line="219" w:lineRule="auto"/>
              <w:ind w:left="26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甲磺酸阿美替尼片</w:t>
            </w:r>
          </w:p>
        </w:tc>
        <w:tc>
          <w:tcPr>
            <w:tcW w:w="2880" w:type="dxa"/>
            <w:vAlign w:val="top"/>
          </w:tcPr>
          <w:p>
            <w:pPr>
              <w:spacing w:before="291" w:line="220" w:lineRule="auto"/>
              <w:ind w:left="63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80" w:line="222" w:lineRule="auto"/>
              <w:ind w:left="107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660" w:type="dxa"/>
            <w:vAlign w:val="top"/>
          </w:tcPr>
          <w:p>
            <w:pPr>
              <w:spacing w:before="119" w:line="262" w:lineRule="auto"/>
              <w:ind w:left="124" w:right="7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13"/>
                <w:sz w:val="24"/>
                <w:szCs w:val="24"/>
              </w:rPr>
              <w:t>限既往因表皮生长因子受体(</w:t>
            </w:r>
            <w:r>
              <w:rPr>
                <w:rFonts w:hint="default" w:ascii="Times New Roman" w:hAnsi="Times New Roman" w:eastAsia="仿宋_GB2312" w:cs="Times New Roman"/>
                <w:b w:val="0"/>
                <w:bCs w:val="0"/>
                <w:color w:val="auto"/>
                <w:sz w:val="24"/>
                <w:szCs w:val="24"/>
              </w:rPr>
              <w:t>EGFR</w:t>
            </w:r>
            <w:r>
              <w:rPr>
                <w:rFonts w:hint="default" w:ascii="Times New Roman" w:hAnsi="Times New Roman" w:eastAsia="仿宋_GB2312" w:cs="Times New Roman"/>
                <w:b w:val="0"/>
                <w:bCs w:val="0"/>
                <w:color w:val="auto"/>
                <w:spacing w:val="13"/>
                <w:sz w:val="24"/>
                <w:szCs w:val="24"/>
              </w:rPr>
              <w:t>)酪氨酸激酶抑制剂(</w:t>
            </w:r>
            <w:r>
              <w:rPr>
                <w:rFonts w:hint="default" w:ascii="Times New Roman" w:hAnsi="Times New Roman" w:eastAsia="仿宋_GB2312" w:cs="Times New Roman"/>
                <w:b w:val="0"/>
                <w:bCs w:val="0"/>
                <w:color w:val="auto"/>
                <w:sz w:val="24"/>
                <w:szCs w:val="24"/>
              </w:rPr>
              <w:t>TKI</w:t>
            </w:r>
            <w:r>
              <w:rPr>
                <w:rFonts w:hint="default" w:ascii="Times New Roman" w:hAnsi="Times New Roman" w:eastAsia="仿宋_GB2312" w:cs="Times New Roman"/>
                <w:b w:val="0"/>
                <w:bCs w:val="0"/>
                <w:color w:val="auto"/>
                <w:spacing w:val="13"/>
                <w:sz w:val="24"/>
                <w:szCs w:val="24"/>
              </w:rPr>
              <w:t>)治疗时或治疗后出现疾</w:t>
            </w:r>
            <w:r>
              <w:rPr>
                <w:rFonts w:hint="default" w:ascii="Times New Roman" w:hAnsi="Times New Roman" w:eastAsia="仿宋_GB2312" w:cs="Times New Roman"/>
                <w:b w:val="0"/>
                <w:bCs w:val="0"/>
                <w:color w:val="auto"/>
                <w:spacing w:val="4"/>
                <w:sz w:val="24"/>
                <w:szCs w:val="24"/>
              </w:rPr>
              <w:t>病进展，并且经检验确认存在</w:t>
            </w:r>
            <w:r>
              <w:rPr>
                <w:rFonts w:hint="default" w:ascii="Times New Roman" w:hAnsi="Times New Roman" w:eastAsia="仿宋_GB2312" w:cs="Times New Roman"/>
                <w:b w:val="0"/>
                <w:bCs w:val="0"/>
                <w:color w:val="auto"/>
                <w:sz w:val="24"/>
                <w:szCs w:val="24"/>
              </w:rPr>
              <w:t>EGFRT</w:t>
            </w:r>
            <w:r>
              <w:rPr>
                <w:rFonts w:hint="default" w:ascii="Times New Roman" w:hAnsi="Times New Roman" w:eastAsia="仿宋_GB2312" w:cs="Times New Roman"/>
                <w:b w:val="0"/>
                <w:bCs w:val="0"/>
                <w:color w:val="auto"/>
                <w:spacing w:val="4"/>
                <w:sz w:val="24"/>
                <w:szCs w:val="24"/>
              </w:rPr>
              <w:t>790M突变阳性的局部晚期或转移性非小</w:t>
            </w:r>
            <w:r>
              <w:rPr>
                <w:rFonts w:hint="default" w:ascii="Times New Roman" w:hAnsi="Times New Roman" w:eastAsia="仿宋_GB2312" w:cs="Times New Roman"/>
                <w:b w:val="0"/>
                <w:bCs w:val="0"/>
                <w:color w:val="auto"/>
                <w:spacing w:val="3"/>
                <w:sz w:val="24"/>
                <w:szCs w:val="24"/>
              </w:rPr>
              <w:t>细胞肺癌</w:t>
            </w:r>
            <w:r>
              <w:rPr>
                <w:rFonts w:hint="default" w:ascii="Times New Roman" w:hAnsi="Times New Roman" w:eastAsia="仿宋_GB2312" w:cs="Times New Roman"/>
                <w:b w:val="0"/>
                <w:bCs w:val="0"/>
                <w:color w:val="auto"/>
                <w:spacing w:val="22"/>
                <w:sz w:val="24"/>
                <w:szCs w:val="24"/>
              </w:rPr>
              <w:t>成人患者。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18" w:hRule="atLeast"/>
        </w:trPr>
        <w:tc>
          <w:tcPr>
            <w:tcW w:w="754" w:type="dxa"/>
            <w:vAlign w:val="top"/>
          </w:tcPr>
          <w:p>
            <w:pPr>
              <w:spacing w:line="435" w:lineRule="auto"/>
              <w:rPr>
                <w:rFonts w:hint="default" w:ascii="Times New Roman" w:hAnsi="Times New Roman" w:eastAsia="仿宋_GB2312" w:cs="Times New Roman"/>
                <w:b w:val="0"/>
                <w:bCs w:val="0"/>
                <w:color w:val="auto"/>
                <w:sz w:val="24"/>
                <w:szCs w:val="24"/>
              </w:rPr>
            </w:pPr>
          </w:p>
          <w:p>
            <w:pPr>
              <w:spacing w:before="72" w:line="183" w:lineRule="auto"/>
              <w:ind w:left="21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3</w:t>
            </w:r>
          </w:p>
        </w:tc>
        <w:tc>
          <w:tcPr>
            <w:tcW w:w="2308" w:type="dxa"/>
            <w:vAlign w:val="top"/>
          </w:tcPr>
          <w:p>
            <w:pPr>
              <w:spacing w:line="379" w:lineRule="auto"/>
              <w:rPr>
                <w:rFonts w:hint="default" w:ascii="Times New Roman" w:hAnsi="Times New Roman" w:eastAsia="仿宋_GB2312" w:cs="Times New Roman"/>
                <w:b w:val="0"/>
                <w:bCs w:val="0"/>
                <w:color w:val="auto"/>
                <w:sz w:val="24"/>
                <w:szCs w:val="24"/>
              </w:rPr>
            </w:pPr>
          </w:p>
          <w:p>
            <w:pPr>
              <w:spacing w:before="71" w:line="219" w:lineRule="auto"/>
              <w:ind w:left="26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甲磺酸阿帕替尼片</w:t>
            </w:r>
          </w:p>
        </w:tc>
        <w:tc>
          <w:tcPr>
            <w:tcW w:w="2880" w:type="dxa"/>
            <w:vAlign w:val="top"/>
          </w:tcPr>
          <w:p>
            <w:pPr>
              <w:rPr>
                <w:rFonts w:hint="default" w:ascii="Times New Roman" w:hAnsi="Times New Roman" w:eastAsia="仿宋_GB2312" w:cs="Times New Roman"/>
                <w:b w:val="0"/>
                <w:bCs w:val="0"/>
                <w:color w:val="auto"/>
                <w:sz w:val="24"/>
                <w:szCs w:val="24"/>
              </w:rPr>
            </w:pPr>
          </w:p>
          <w:p>
            <w:pPr>
              <w:spacing w:before="72" w:line="220" w:lineRule="auto"/>
              <w:ind w:left="63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80" w:line="222" w:lineRule="auto"/>
              <w:ind w:left="107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660" w:type="dxa"/>
            <w:vAlign w:val="top"/>
          </w:tcPr>
          <w:p>
            <w:pPr>
              <w:spacing w:before="121" w:line="267" w:lineRule="auto"/>
              <w:ind w:left="12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13"/>
                <w:sz w:val="24"/>
                <w:szCs w:val="24"/>
              </w:rPr>
              <w:t>1.本品单药用于既往至少接受过2种系统化疗后进展或复</w:t>
            </w:r>
            <w:r>
              <w:rPr>
                <w:rFonts w:hint="default" w:ascii="Times New Roman" w:hAnsi="Times New Roman" w:eastAsia="仿宋_GB2312" w:cs="Times New Roman"/>
                <w:b w:val="0"/>
                <w:bCs w:val="0"/>
                <w:color w:val="auto"/>
                <w:spacing w:val="12"/>
                <w:sz w:val="24"/>
                <w:szCs w:val="24"/>
              </w:rPr>
              <w:t>发的晚期胃腺癌或胃-食管结</w:t>
            </w:r>
            <w:r>
              <w:rPr>
                <w:rFonts w:hint="default" w:ascii="Times New Roman" w:hAnsi="Times New Roman" w:eastAsia="仿宋_GB2312" w:cs="Times New Roman"/>
                <w:b w:val="0"/>
                <w:bCs w:val="0"/>
                <w:color w:val="auto"/>
                <w:spacing w:val="10"/>
                <w:sz w:val="24"/>
                <w:szCs w:val="24"/>
              </w:rPr>
              <w:t>合部腺癌患者。患者接受治疗时应一般状况良好。2.本品单药用于既往接受过至</w:t>
            </w:r>
            <w:r>
              <w:rPr>
                <w:rFonts w:hint="default" w:ascii="Times New Roman" w:hAnsi="Times New Roman" w:eastAsia="仿宋_GB2312" w:cs="Times New Roman"/>
                <w:b w:val="0"/>
                <w:bCs w:val="0"/>
                <w:color w:val="auto"/>
                <w:spacing w:val="9"/>
                <w:sz w:val="24"/>
                <w:szCs w:val="24"/>
              </w:rPr>
              <w:t>少一线</w:t>
            </w:r>
            <w:r>
              <w:rPr>
                <w:rFonts w:hint="default" w:ascii="Times New Roman" w:hAnsi="Times New Roman" w:eastAsia="仿宋_GB2312" w:cs="Times New Roman"/>
                <w:b w:val="0"/>
                <w:bCs w:val="0"/>
                <w:color w:val="auto"/>
                <w:spacing w:val="14"/>
                <w:sz w:val="24"/>
                <w:szCs w:val="24"/>
              </w:rPr>
              <w:t>系统性治疗后失败或不可耐受的晚期肝细胞癌患者。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0" w:hRule="atLeast"/>
        </w:trPr>
        <w:tc>
          <w:tcPr>
            <w:tcW w:w="754" w:type="dxa"/>
            <w:vAlign w:val="top"/>
          </w:tcPr>
          <w:p>
            <w:pPr>
              <w:spacing w:line="266" w:lineRule="auto"/>
              <w:rPr>
                <w:rFonts w:hint="default" w:ascii="Times New Roman" w:hAnsi="Times New Roman" w:eastAsia="仿宋_GB2312" w:cs="Times New Roman"/>
                <w:b w:val="0"/>
                <w:bCs w:val="0"/>
                <w:color w:val="auto"/>
                <w:sz w:val="24"/>
                <w:szCs w:val="24"/>
              </w:rPr>
            </w:pPr>
          </w:p>
          <w:p>
            <w:pPr>
              <w:spacing w:line="267" w:lineRule="auto"/>
              <w:rPr>
                <w:rFonts w:hint="default" w:ascii="Times New Roman" w:hAnsi="Times New Roman" w:eastAsia="仿宋_GB2312" w:cs="Times New Roman"/>
                <w:b w:val="0"/>
                <w:bCs w:val="0"/>
                <w:color w:val="auto"/>
                <w:sz w:val="24"/>
                <w:szCs w:val="24"/>
              </w:rPr>
            </w:pPr>
          </w:p>
          <w:p>
            <w:pPr>
              <w:spacing w:line="267" w:lineRule="auto"/>
              <w:rPr>
                <w:rFonts w:hint="default" w:ascii="Times New Roman" w:hAnsi="Times New Roman" w:eastAsia="仿宋_GB2312" w:cs="Times New Roman"/>
                <w:b w:val="0"/>
                <w:bCs w:val="0"/>
                <w:color w:val="auto"/>
                <w:sz w:val="24"/>
                <w:szCs w:val="24"/>
              </w:rPr>
            </w:pPr>
          </w:p>
          <w:p>
            <w:pPr>
              <w:spacing w:line="267" w:lineRule="auto"/>
              <w:rPr>
                <w:rFonts w:hint="default" w:ascii="Times New Roman" w:hAnsi="Times New Roman" w:eastAsia="仿宋_GB2312" w:cs="Times New Roman"/>
                <w:b w:val="0"/>
                <w:bCs w:val="0"/>
                <w:color w:val="auto"/>
                <w:sz w:val="24"/>
                <w:szCs w:val="24"/>
              </w:rPr>
            </w:pPr>
          </w:p>
          <w:p>
            <w:pPr>
              <w:spacing w:line="267" w:lineRule="auto"/>
              <w:rPr>
                <w:rFonts w:hint="default" w:ascii="Times New Roman" w:hAnsi="Times New Roman" w:eastAsia="仿宋_GB2312" w:cs="Times New Roman"/>
                <w:b w:val="0"/>
                <w:bCs w:val="0"/>
                <w:color w:val="auto"/>
                <w:sz w:val="24"/>
                <w:szCs w:val="24"/>
              </w:rPr>
            </w:pPr>
          </w:p>
          <w:p>
            <w:pPr>
              <w:spacing w:line="267" w:lineRule="auto"/>
              <w:rPr>
                <w:rFonts w:hint="default" w:ascii="Times New Roman" w:hAnsi="Times New Roman" w:eastAsia="仿宋_GB2312" w:cs="Times New Roman"/>
                <w:b w:val="0"/>
                <w:bCs w:val="0"/>
                <w:color w:val="auto"/>
                <w:sz w:val="24"/>
                <w:szCs w:val="24"/>
              </w:rPr>
            </w:pPr>
          </w:p>
          <w:p>
            <w:pPr>
              <w:spacing w:line="267" w:lineRule="auto"/>
              <w:rPr>
                <w:rFonts w:hint="default" w:ascii="Times New Roman" w:hAnsi="Times New Roman" w:eastAsia="仿宋_GB2312" w:cs="Times New Roman"/>
                <w:b w:val="0"/>
                <w:bCs w:val="0"/>
                <w:color w:val="auto"/>
                <w:sz w:val="24"/>
                <w:szCs w:val="24"/>
              </w:rPr>
            </w:pPr>
          </w:p>
          <w:p>
            <w:pPr>
              <w:spacing w:before="72" w:line="183" w:lineRule="auto"/>
              <w:ind w:left="21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4</w:t>
            </w:r>
          </w:p>
        </w:tc>
        <w:tc>
          <w:tcPr>
            <w:tcW w:w="2308" w:type="dxa"/>
            <w:vAlign w:val="top"/>
          </w:tcPr>
          <w:p>
            <w:pPr>
              <w:spacing w:line="258" w:lineRule="auto"/>
              <w:rPr>
                <w:rFonts w:hint="default" w:ascii="Times New Roman" w:hAnsi="Times New Roman" w:eastAsia="仿宋_GB2312" w:cs="Times New Roman"/>
                <w:b w:val="0"/>
                <w:bCs w:val="0"/>
                <w:color w:val="auto"/>
                <w:sz w:val="24"/>
                <w:szCs w:val="24"/>
              </w:rPr>
            </w:pPr>
          </w:p>
          <w:p>
            <w:pPr>
              <w:spacing w:line="259" w:lineRule="auto"/>
              <w:rPr>
                <w:rFonts w:hint="default" w:ascii="Times New Roman" w:hAnsi="Times New Roman" w:eastAsia="仿宋_GB2312" w:cs="Times New Roman"/>
                <w:b w:val="0"/>
                <w:bCs w:val="0"/>
                <w:color w:val="auto"/>
                <w:sz w:val="24"/>
                <w:szCs w:val="24"/>
              </w:rPr>
            </w:pPr>
          </w:p>
          <w:p>
            <w:pPr>
              <w:spacing w:line="259" w:lineRule="auto"/>
              <w:rPr>
                <w:rFonts w:hint="default" w:ascii="Times New Roman" w:hAnsi="Times New Roman" w:eastAsia="仿宋_GB2312" w:cs="Times New Roman"/>
                <w:b w:val="0"/>
                <w:bCs w:val="0"/>
                <w:color w:val="auto"/>
                <w:sz w:val="24"/>
                <w:szCs w:val="24"/>
              </w:rPr>
            </w:pPr>
          </w:p>
          <w:p>
            <w:pPr>
              <w:spacing w:line="259" w:lineRule="auto"/>
              <w:rPr>
                <w:rFonts w:hint="default" w:ascii="Times New Roman" w:hAnsi="Times New Roman" w:eastAsia="仿宋_GB2312" w:cs="Times New Roman"/>
                <w:b w:val="0"/>
                <w:bCs w:val="0"/>
                <w:color w:val="auto"/>
                <w:sz w:val="24"/>
                <w:szCs w:val="24"/>
              </w:rPr>
            </w:pPr>
          </w:p>
          <w:p>
            <w:pPr>
              <w:spacing w:line="259" w:lineRule="auto"/>
              <w:rPr>
                <w:rFonts w:hint="default" w:ascii="Times New Roman" w:hAnsi="Times New Roman" w:eastAsia="仿宋_GB2312" w:cs="Times New Roman"/>
                <w:b w:val="0"/>
                <w:bCs w:val="0"/>
                <w:color w:val="auto"/>
                <w:sz w:val="24"/>
                <w:szCs w:val="24"/>
              </w:rPr>
            </w:pPr>
          </w:p>
          <w:p>
            <w:pPr>
              <w:spacing w:line="259" w:lineRule="auto"/>
              <w:rPr>
                <w:rFonts w:hint="default" w:ascii="Times New Roman" w:hAnsi="Times New Roman" w:eastAsia="仿宋_GB2312" w:cs="Times New Roman"/>
                <w:b w:val="0"/>
                <w:bCs w:val="0"/>
                <w:color w:val="auto"/>
                <w:sz w:val="24"/>
                <w:szCs w:val="24"/>
              </w:rPr>
            </w:pPr>
          </w:p>
          <w:p>
            <w:pPr>
              <w:spacing w:line="259" w:lineRule="auto"/>
              <w:rPr>
                <w:rFonts w:hint="default" w:ascii="Times New Roman" w:hAnsi="Times New Roman" w:eastAsia="仿宋_GB2312" w:cs="Times New Roman"/>
                <w:b w:val="0"/>
                <w:bCs w:val="0"/>
                <w:color w:val="auto"/>
                <w:sz w:val="24"/>
                <w:szCs w:val="24"/>
              </w:rPr>
            </w:pPr>
          </w:p>
          <w:p>
            <w:pPr>
              <w:spacing w:before="72" w:line="219" w:lineRule="auto"/>
              <w:ind w:left="26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1"/>
                <w:sz w:val="24"/>
                <w:szCs w:val="24"/>
              </w:rPr>
              <w:t>盐酸安罗替尼胶囊</w:t>
            </w:r>
          </w:p>
        </w:tc>
        <w:tc>
          <w:tcPr>
            <w:tcW w:w="2880" w:type="dxa"/>
            <w:vAlign w:val="top"/>
          </w:tcPr>
          <w:p>
            <w:pPr>
              <w:spacing w:line="246" w:lineRule="auto"/>
              <w:rPr>
                <w:rFonts w:hint="default" w:ascii="Times New Roman" w:hAnsi="Times New Roman" w:eastAsia="仿宋_GB2312" w:cs="Times New Roman"/>
                <w:b w:val="0"/>
                <w:bCs w:val="0"/>
                <w:color w:val="auto"/>
                <w:sz w:val="24"/>
                <w:szCs w:val="24"/>
              </w:rPr>
            </w:pPr>
          </w:p>
          <w:p>
            <w:pPr>
              <w:spacing w:line="246" w:lineRule="auto"/>
              <w:rPr>
                <w:rFonts w:hint="default" w:ascii="Times New Roman" w:hAnsi="Times New Roman" w:eastAsia="仿宋_GB2312" w:cs="Times New Roman"/>
                <w:b w:val="0"/>
                <w:bCs w:val="0"/>
                <w:color w:val="auto"/>
                <w:sz w:val="24"/>
                <w:szCs w:val="24"/>
              </w:rPr>
            </w:pPr>
          </w:p>
          <w:p>
            <w:pPr>
              <w:spacing w:line="246" w:lineRule="auto"/>
              <w:rPr>
                <w:rFonts w:hint="default" w:ascii="Times New Roman" w:hAnsi="Times New Roman" w:eastAsia="仿宋_GB2312" w:cs="Times New Roman"/>
                <w:b w:val="0"/>
                <w:bCs w:val="0"/>
                <w:color w:val="auto"/>
                <w:sz w:val="24"/>
                <w:szCs w:val="24"/>
              </w:rPr>
            </w:pPr>
          </w:p>
          <w:p>
            <w:pPr>
              <w:spacing w:line="246" w:lineRule="auto"/>
              <w:rPr>
                <w:rFonts w:hint="default" w:ascii="Times New Roman" w:hAnsi="Times New Roman" w:eastAsia="仿宋_GB2312" w:cs="Times New Roman"/>
                <w:b w:val="0"/>
                <w:bCs w:val="0"/>
                <w:color w:val="auto"/>
                <w:sz w:val="24"/>
                <w:szCs w:val="24"/>
              </w:rPr>
            </w:pPr>
          </w:p>
          <w:p>
            <w:pPr>
              <w:spacing w:line="246" w:lineRule="auto"/>
              <w:rPr>
                <w:rFonts w:hint="default" w:ascii="Times New Roman" w:hAnsi="Times New Roman" w:eastAsia="仿宋_GB2312" w:cs="Times New Roman"/>
                <w:b w:val="0"/>
                <w:bCs w:val="0"/>
                <w:color w:val="auto"/>
                <w:sz w:val="24"/>
                <w:szCs w:val="24"/>
              </w:rPr>
            </w:pPr>
          </w:p>
          <w:p>
            <w:pPr>
              <w:spacing w:line="246" w:lineRule="auto"/>
              <w:rPr>
                <w:rFonts w:hint="default" w:ascii="Times New Roman" w:hAnsi="Times New Roman" w:eastAsia="仿宋_GB2312" w:cs="Times New Roman"/>
                <w:b w:val="0"/>
                <w:bCs w:val="0"/>
                <w:color w:val="auto"/>
                <w:sz w:val="24"/>
                <w:szCs w:val="24"/>
              </w:rPr>
            </w:pPr>
          </w:p>
          <w:p>
            <w:pPr>
              <w:spacing w:line="247" w:lineRule="auto"/>
              <w:rPr>
                <w:rFonts w:hint="default" w:ascii="Times New Roman" w:hAnsi="Times New Roman" w:eastAsia="仿宋_GB2312" w:cs="Times New Roman"/>
                <w:b w:val="0"/>
                <w:bCs w:val="0"/>
                <w:color w:val="auto"/>
                <w:sz w:val="24"/>
                <w:szCs w:val="24"/>
              </w:rPr>
            </w:pPr>
          </w:p>
          <w:p>
            <w:pPr>
              <w:spacing w:before="72" w:line="220" w:lineRule="auto"/>
              <w:ind w:left="63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30" w:line="222" w:lineRule="auto"/>
              <w:ind w:left="107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660" w:type="dxa"/>
            <w:vAlign w:val="top"/>
          </w:tcPr>
          <w:p>
            <w:pPr>
              <w:tabs>
                <w:tab w:val="left" w:pos="243"/>
              </w:tabs>
              <w:spacing w:before="255" w:line="261" w:lineRule="auto"/>
              <w:ind w:left="124"/>
              <w:jc w:val="right"/>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16"/>
                <w:sz w:val="24"/>
                <w:szCs w:val="24"/>
              </w:rPr>
              <w:t>1.用于既往至少接受过2种系统化疗后出现进展或复发的局部晚期或转移性非小细胞</w:t>
            </w:r>
            <w:r>
              <w:rPr>
                <w:rFonts w:hint="default" w:ascii="Times New Roman" w:hAnsi="Times New Roman" w:eastAsia="仿宋_GB2312" w:cs="Times New Roman"/>
                <w:b w:val="0"/>
                <w:bCs w:val="0"/>
                <w:color w:val="auto"/>
                <w:spacing w:val="20"/>
                <w:sz w:val="24"/>
                <w:szCs w:val="24"/>
              </w:rPr>
              <w:t>肺癌患者的治疗。对于存在表皮生长因子受体(</w:t>
            </w:r>
            <w:r>
              <w:rPr>
                <w:rFonts w:hint="default" w:ascii="Times New Roman" w:hAnsi="Times New Roman" w:eastAsia="仿宋_GB2312" w:cs="Times New Roman"/>
                <w:b w:val="0"/>
                <w:bCs w:val="0"/>
                <w:color w:val="auto"/>
                <w:sz w:val="24"/>
                <w:szCs w:val="24"/>
              </w:rPr>
              <w:t>EGFR</w:t>
            </w:r>
            <w:r>
              <w:rPr>
                <w:rFonts w:hint="default" w:ascii="Times New Roman" w:hAnsi="Times New Roman" w:eastAsia="仿宋_GB2312" w:cs="Times New Roman"/>
                <w:b w:val="0"/>
                <w:bCs w:val="0"/>
                <w:color w:val="auto"/>
                <w:spacing w:val="20"/>
                <w:sz w:val="24"/>
                <w:szCs w:val="24"/>
              </w:rPr>
              <w:t>)基因突变或间变性淋巴瘤激酶</w:t>
            </w:r>
            <w:r>
              <w:rPr>
                <w:rFonts w:hint="default" w:ascii="Times New Roman" w:hAnsi="Times New Roman" w:eastAsia="仿宋_GB2312" w:cs="Times New Roman"/>
                <w:b w:val="0"/>
                <w:bCs w:val="0"/>
                <w:color w:val="auto"/>
                <w:sz w:val="24"/>
                <w:szCs w:val="24"/>
              </w:rPr>
              <w:tab/>
            </w:r>
            <w:r>
              <w:rPr>
                <w:rFonts w:hint="default" w:ascii="Times New Roman" w:hAnsi="Times New Roman" w:eastAsia="仿宋_GB2312" w:cs="Times New Roman"/>
                <w:b w:val="0"/>
                <w:bCs w:val="0"/>
                <w:color w:val="auto"/>
                <w:spacing w:val="14"/>
                <w:sz w:val="24"/>
                <w:szCs w:val="24"/>
              </w:rPr>
              <w:t>(</w:t>
            </w:r>
            <w:r>
              <w:rPr>
                <w:rFonts w:hint="default" w:ascii="Times New Roman" w:hAnsi="Times New Roman" w:eastAsia="仿宋_GB2312" w:cs="Times New Roman"/>
                <w:b w:val="0"/>
                <w:bCs w:val="0"/>
                <w:color w:val="auto"/>
                <w:sz w:val="24"/>
                <w:szCs w:val="24"/>
              </w:rPr>
              <w:t>ALK</w:t>
            </w:r>
            <w:r>
              <w:rPr>
                <w:rFonts w:hint="default" w:ascii="Times New Roman" w:hAnsi="Times New Roman" w:eastAsia="仿宋_GB2312" w:cs="Times New Roman"/>
                <w:b w:val="0"/>
                <w:bCs w:val="0"/>
                <w:color w:val="auto"/>
                <w:spacing w:val="14"/>
                <w:sz w:val="24"/>
                <w:szCs w:val="24"/>
              </w:rPr>
              <w:t>)阳性的患者，在开始本品治疗前应接受相应的标准靶向药物</w:t>
            </w:r>
            <w:r>
              <w:rPr>
                <w:rFonts w:hint="default" w:ascii="Times New Roman" w:hAnsi="Times New Roman" w:eastAsia="仿宋_GB2312" w:cs="Times New Roman"/>
                <w:b w:val="0"/>
                <w:bCs w:val="0"/>
                <w:color w:val="auto"/>
                <w:spacing w:val="13"/>
                <w:sz w:val="24"/>
                <w:szCs w:val="24"/>
              </w:rPr>
              <w:t>治疗后进展、且至</w:t>
            </w:r>
            <w:r>
              <w:rPr>
                <w:rFonts w:hint="default" w:ascii="Times New Roman" w:hAnsi="Times New Roman" w:eastAsia="仿宋_GB2312" w:cs="Times New Roman"/>
                <w:b w:val="0"/>
                <w:bCs w:val="0"/>
                <w:color w:val="auto"/>
                <w:spacing w:val="10"/>
                <w:sz w:val="24"/>
                <w:szCs w:val="24"/>
              </w:rPr>
              <w:t>少接受过2种系统化疗后出现进展或复发。2.用于腺泡状软组织肉瘤、透明细胞肉瘤以</w:t>
            </w:r>
            <w:r>
              <w:rPr>
                <w:rFonts w:hint="default" w:ascii="Times New Roman" w:hAnsi="Times New Roman" w:eastAsia="仿宋_GB2312" w:cs="Times New Roman"/>
                <w:b w:val="0"/>
                <w:bCs w:val="0"/>
                <w:color w:val="auto"/>
                <w:spacing w:val="13"/>
                <w:sz w:val="24"/>
                <w:szCs w:val="24"/>
              </w:rPr>
              <w:t>及既往至少接受过含蒽环类化疗方案治疗后进展或复发的其他晚期软组织肉瘤患者的</w:t>
            </w:r>
            <w:r>
              <w:rPr>
                <w:rFonts w:hint="default" w:ascii="Times New Roman" w:hAnsi="Times New Roman" w:eastAsia="仿宋_GB2312" w:cs="Times New Roman"/>
                <w:b w:val="0"/>
                <w:bCs w:val="0"/>
                <w:color w:val="auto"/>
                <w:spacing w:val="16"/>
                <w:sz w:val="24"/>
                <w:szCs w:val="24"/>
              </w:rPr>
              <w:t>治疗。3.用于既往至少接受过2种化疗方案治疗后进展或复发的小细胞肺</w:t>
            </w:r>
            <w:r>
              <w:rPr>
                <w:rFonts w:hint="default" w:ascii="Times New Roman" w:hAnsi="Times New Roman" w:eastAsia="仿宋_GB2312" w:cs="Times New Roman"/>
                <w:b w:val="0"/>
                <w:bCs w:val="0"/>
                <w:color w:val="auto"/>
                <w:spacing w:val="15"/>
                <w:sz w:val="24"/>
                <w:szCs w:val="24"/>
              </w:rPr>
              <w:t>癌患者的治</w:t>
            </w:r>
            <w:r>
              <w:rPr>
                <w:rFonts w:hint="default" w:ascii="Times New Roman" w:hAnsi="Times New Roman" w:eastAsia="仿宋_GB2312" w:cs="Times New Roman"/>
                <w:b w:val="0"/>
                <w:bCs w:val="0"/>
                <w:color w:val="auto"/>
                <w:spacing w:val="13"/>
                <w:sz w:val="24"/>
                <w:szCs w:val="24"/>
              </w:rPr>
              <w:t>疗。该适应症是基于一项包括119例既往至少接受过2种化疗方案治疗后进展或复发的</w:t>
            </w:r>
            <w:r>
              <w:rPr>
                <w:rFonts w:hint="default" w:ascii="Times New Roman" w:hAnsi="Times New Roman" w:eastAsia="仿宋_GB2312" w:cs="Times New Roman"/>
                <w:b w:val="0"/>
                <w:bCs w:val="0"/>
                <w:color w:val="auto"/>
                <w:spacing w:val="14"/>
                <w:sz w:val="24"/>
                <w:szCs w:val="24"/>
              </w:rPr>
              <w:t>小细胞肺癌患者的</w:t>
            </w:r>
            <w:r>
              <w:rPr>
                <w:rFonts w:hint="default" w:ascii="Times New Roman" w:hAnsi="Times New Roman" w:eastAsia="仿宋_GB2312" w:cs="Times New Roman"/>
                <w:b w:val="0"/>
                <w:bCs w:val="0"/>
                <w:color w:val="auto"/>
                <w:sz w:val="24"/>
                <w:szCs w:val="24"/>
              </w:rPr>
              <w:t>II</w:t>
            </w:r>
            <w:r>
              <w:rPr>
                <w:rFonts w:hint="default" w:ascii="Times New Roman" w:hAnsi="Times New Roman" w:eastAsia="仿宋_GB2312" w:cs="Times New Roman"/>
                <w:b w:val="0"/>
                <w:bCs w:val="0"/>
                <w:color w:val="auto"/>
                <w:spacing w:val="14"/>
                <w:sz w:val="24"/>
                <w:szCs w:val="24"/>
              </w:rPr>
              <w:t>期临床试验的结果给予的附条件批准。该适应症的完全批准将取</w:t>
            </w:r>
            <w:r>
              <w:rPr>
                <w:rFonts w:hint="default" w:ascii="Times New Roman" w:hAnsi="Times New Roman" w:eastAsia="仿宋_GB2312" w:cs="Times New Roman"/>
                <w:b w:val="0"/>
                <w:bCs w:val="0"/>
                <w:color w:val="auto"/>
                <w:spacing w:val="10"/>
                <w:sz w:val="24"/>
                <w:szCs w:val="24"/>
              </w:rPr>
              <w:t>决于正在进行的确证性试验证实本品在该人群的临床获益。4.用于具有临床症状</w:t>
            </w:r>
            <w:r>
              <w:rPr>
                <w:rFonts w:hint="default" w:ascii="Times New Roman" w:hAnsi="Times New Roman" w:eastAsia="仿宋_GB2312" w:cs="Times New Roman"/>
                <w:b w:val="0"/>
                <w:bCs w:val="0"/>
                <w:color w:val="auto"/>
                <w:spacing w:val="9"/>
                <w:sz w:val="24"/>
                <w:szCs w:val="24"/>
              </w:rPr>
              <w:t>或明确</w:t>
            </w:r>
            <w:r>
              <w:rPr>
                <w:rFonts w:hint="default" w:ascii="Times New Roman" w:hAnsi="Times New Roman" w:eastAsia="仿宋_GB2312" w:cs="Times New Roman"/>
                <w:b w:val="0"/>
                <w:bCs w:val="0"/>
                <w:color w:val="auto"/>
                <w:spacing w:val="10"/>
                <w:sz w:val="24"/>
                <w:szCs w:val="24"/>
              </w:rPr>
              <w:t>疾病进展的、不可切除的局部晚期或转移性甲状腺髓样癌患者的治疗。该适应症是基于</w:t>
            </w:r>
          </w:p>
          <w:p>
            <w:pPr>
              <w:spacing w:before="30" w:line="239" w:lineRule="auto"/>
              <w:ind w:left="124" w:right="96"/>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7"/>
                <w:sz w:val="24"/>
                <w:szCs w:val="24"/>
              </w:rPr>
              <w:t>一项包括91例晚期甲状腺髓样癌的</w:t>
            </w:r>
            <w:r>
              <w:rPr>
                <w:rFonts w:hint="default" w:ascii="Times New Roman" w:hAnsi="Times New Roman" w:eastAsia="仿宋_GB2312" w:cs="Times New Roman"/>
                <w:b w:val="0"/>
                <w:bCs w:val="0"/>
                <w:color w:val="auto"/>
                <w:sz w:val="24"/>
                <w:szCs w:val="24"/>
              </w:rPr>
              <w:t>IIB</w:t>
            </w:r>
            <w:r>
              <w:rPr>
                <w:rFonts w:hint="default" w:ascii="Times New Roman" w:hAnsi="Times New Roman" w:eastAsia="仿宋_GB2312" w:cs="Times New Roman"/>
                <w:b w:val="0"/>
                <w:bCs w:val="0"/>
                <w:color w:val="auto"/>
                <w:spacing w:val="7"/>
                <w:sz w:val="24"/>
                <w:szCs w:val="24"/>
              </w:rPr>
              <w:t>期临床试验结果给</w:t>
            </w:r>
            <w:r>
              <w:rPr>
                <w:rFonts w:hint="default" w:ascii="Times New Roman" w:hAnsi="Times New Roman" w:eastAsia="仿宋_GB2312" w:cs="Times New Roman"/>
                <w:b w:val="0"/>
                <w:bCs w:val="0"/>
                <w:color w:val="auto"/>
                <w:spacing w:val="6"/>
                <w:sz w:val="24"/>
                <w:szCs w:val="24"/>
              </w:rPr>
              <w:t>予的附条件批准。该适应症</w:t>
            </w:r>
            <w:r>
              <w:rPr>
                <w:rFonts w:hint="default" w:ascii="Times New Roman" w:hAnsi="Times New Roman" w:eastAsia="仿宋_GB2312" w:cs="Times New Roman"/>
                <w:b w:val="0"/>
                <w:bCs w:val="0"/>
                <w:color w:val="auto"/>
                <w:spacing w:val="3"/>
                <w:sz w:val="24"/>
                <w:szCs w:val="24"/>
              </w:rPr>
              <w:t>的完全批准将取决于正在进行的确证性试验证实本品在该人群的临床获益。</w:t>
            </w:r>
          </w:p>
        </w:tc>
      </w:tr>
    </w:tbl>
    <w:p>
      <w:pPr>
        <w:rPr>
          <w:rFonts w:hint="default" w:ascii="Times New Roman" w:hAnsi="Times New Roman" w:eastAsia="仿宋_GB2312" w:cs="Times New Roman"/>
          <w:b w:val="0"/>
          <w:bCs w:val="0"/>
          <w:color w:val="auto"/>
          <w:sz w:val="24"/>
          <w:szCs w:val="24"/>
        </w:rPr>
      </w:pPr>
    </w:p>
    <w:p>
      <w:pPr>
        <w:rPr>
          <w:rFonts w:hint="default" w:ascii="Times New Roman" w:hAnsi="Times New Roman" w:eastAsia="仿宋_GB2312" w:cs="Times New Roman"/>
          <w:b w:val="0"/>
          <w:bCs w:val="0"/>
          <w:color w:val="auto"/>
          <w:sz w:val="24"/>
          <w:szCs w:val="24"/>
        </w:rPr>
        <w:sectPr>
          <w:footerReference r:id="rId3" w:type="default"/>
          <w:pgSz w:w="16830" w:h="11900"/>
          <w:pgMar w:top="1440" w:right="1080" w:bottom="1440" w:left="1080" w:header="0" w:footer="825" w:gutter="0"/>
          <w:pgNumType w:fmt="decimal"/>
          <w:cols w:space="720" w:num="1"/>
        </w:sectPr>
      </w:pPr>
    </w:p>
    <w:p>
      <w:pPr>
        <w:spacing w:line="83" w:lineRule="exact"/>
        <w:rPr>
          <w:rFonts w:hint="default" w:ascii="Times New Roman" w:hAnsi="Times New Roman" w:eastAsia="仿宋_GB2312" w:cs="Times New Roman"/>
          <w:b w:val="0"/>
          <w:bCs w:val="0"/>
          <w:color w:val="auto"/>
          <w:sz w:val="24"/>
          <w:szCs w:val="24"/>
        </w:rPr>
      </w:pPr>
    </w:p>
    <w:tbl>
      <w:tblPr>
        <w:tblStyle w:val="6"/>
        <w:tblW w:w="146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2318"/>
        <w:gridCol w:w="2653"/>
        <w:gridCol w:w="8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4" w:hRule="atLeast"/>
        </w:trPr>
        <w:tc>
          <w:tcPr>
            <w:tcW w:w="755" w:type="dxa"/>
            <w:vAlign w:val="top"/>
          </w:tcPr>
          <w:p>
            <w:pPr>
              <w:spacing w:before="132" w:line="221" w:lineRule="auto"/>
              <w:ind w:left="238"/>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5"/>
                <w:sz w:val="24"/>
                <w:szCs w:val="24"/>
              </w:rPr>
              <w:t>序号</w:t>
            </w:r>
          </w:p>
        </w:tc>
        <w:tc>
          <w:tcPr>
            <w:tcW w:w="2318" w:type="dxa"/>
            <w:vAlign w:val="top"/>
          </w:tcPr>
          <w:p>
            <w:pPr>
              <w:spacing w:before="131" w:line="220" w:lineRule="auto"/>
              <w:ind w:left="71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5"/>
                <w:sz w:val="24"/>
                <w:szCs w:val="24"/>
              </w:rPr>
              <w:t>药品名称</w:t>
            </w:r>
          </w:p>
        </w:tc>
        <w:tc>
          <w:tcPr>
            <w:tcW w:w="2653" w:type="dxa"/>
            <w:vAlign w:val="top"/>
          </w:tcPr>
          <w:p>
            <w:pPr>
              <w:spacing w:before="131" w:line="219" w:lineRule="auto"/>
              <w:ind w:left="31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对应门诊特殊慢性病病种</w:t>
            </w:r>
          </w:p>
        </w:tc>
        <w:tc>
          <w:tcPr>
            <w:tcW w:w="8924" w:type="dxa"/>
            <w:vAlign w:val="top"/>
          </w:tcPr>
          <w:p>
            <w:pPr>
              <w:spacing w:before="132" w:line="221" w:lineRule="auto"/>
              <w:ind w:left="3877"/>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8"/>
                <w:sz w:val="24"/>
                <w:szCs w:val="24"/>
                <w:lang w:val="en-US" w:eastAsia="zh-CN"/>
              </w:rPr>
              <w:t>限定支付范围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06" w:hRule="atLeast"/>
        </w:trPr>
        <w:tc>
          <w:tcPr>
            <w:tcW w:w="755" w:type="dxa"/>
            <w:vAlign w:val="top"/>
          </w:tcPr>
          <w:p>
            <w:pPr>
              <w:spacing w:line="291" w:lineRule="auto"/>
              <w:rPr>
                <w:rFonts w:hint="default" w:ascii="Times New Roman" w:hAnsi="Times New Roman" w:eastAsia="仿宋_GB2312" w:cs="Times New Roman"/>
                <w:b w:val="0"/>
                <w:bCs w:val="0"/>
                <w:color w:val="auto"/>
                <w:sz w:val="24"/>
                <w:szCs w:val="24"/>
              </w:rPr>
            </w:pPr>
          </w:p>
          <w:p>
            <w:pPr>
              <w:spacing w:line="291" w:lineRule="auto"/>
              <w:rPr>
                <w:rFonts w:hint="default" w:ascii="Times New Roman" w:hAnsi="Times New Roman" w:eastAsia="仿宋_GB2312" w:cs="Times New Roman"/>
                <w:b w:val="0"/>
                <w:bCs w:val="0"/>
                <w:color w:val="auto"/>
                <w:sz w:val="24"/>
                <w:szCs w:val="24"/>
              </w:rPr>
            </w:pPr>
          </w:p>
          <w:p>
            <w:pPr>
              <w:spacing w:before="72" w:line="182" w:lineRule="auto"/>
              <w:ind w:left="23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5</w:t>
            </w:r>
          </w:p>
        </w:tc>
        <w:tc>
          <w:tcPr>
            <w:tcW w:w="2318" w:type="dxa"/>
            <w:vAlign w:val="top"/>
          </w:tcPr>
          <w:p>
            <w:pPr>
              <w:spacing w:line="261" w:lineRule="auto"/>
              <w:rPr>
                <w:rFonts w:hint="default" w:ascii="Times New Roman" w:hAnsi="Times New Roman" w:eastAsia="仿宋_GB2312" w:cs="Times New Roman"/>
                <w:b w:val="0"/>
                <w:bCs w:val="0"/>
                <w:color w:val="auto"/>
                <w:sz w:val="24"/>
                <w:szCs w:val="24"/>
              </w:rPr>
            </w:pPr>
          </w:p>
          <w:p>
            <w:pPr>
              <w:spacing w:line="262" w:lineRule="auto"/>
              <w:rPr>
                <w:rFonts w:hint="default" w:ascii="Times New Roman" w:hAnsi="Times New Roman" w:eastAsia="仿宋_GB2312" w:cs="Times New Roman"/>
                <w:b w:val="0"/>
                <w:bCs w:val="0"/>
                <w:color w:val="auto"/>
                <w:sz w:val="24"/>
                <w:szCs w:val="24"/>
              </w:rPr>
            </w:pPr>
          </w:p>
          <w:p>
            <w:pPr>
              <w:spacing w:before="71" w:line="218" w:lineRule="auto"/>
              <w:ind w:left="60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奥拉帕利片</w:t>
            </w:r>
          </w:p>
        </w:tc>
        <w:tc>
          <w:tcPr>
            <w:tcW w:w="2653" w:type="dxa"/>
            <w:vAlign w:val="top"/>
          </w:tcPr>
          <w:p>
            <w:pPr>
              <w:spacing w:line="396" w:lineRule="auto"/>
              <w:rPr>
                <w:rFonts w:hint="default" w:ascii="Times New Roman" w:hAnsi="Times New Roman" w:eastAsia="仿宋_GB2312" w:cs="Times New Roman"/>
                <w:b w:val="0"/>
                <w:bCs w:val="0"/>
                <w:color w:val="auto"/>
                <w:sz w:val="24"/>
                <w:szCs w:val="24"/>
              </w:rPr>
            </w:pPr>
          </w:p>
          <w:p>
            <w:pPr>
              <w:spacing w:before="72" w:line="220" w:lineRule="auto"/>
              <w:ind w:left="64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60" w:line="222" w:lineRule="auto"/>
              <w:ind w:left="108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924" w:type="dxa"/>
            <w:vAlign w:val="top"/>
          </w:tcPr>
          <w:p>
            <w:pPr>
              <w:spacing w:line="252" w:lineRule="auto"/>
              <w:rPr>
                <w:rFonts w:hint="default" w:ascii="Times New Roman" w:hAnsi="Times New Roman" w:eastAsia="仿宋_GB2312" w:cs="Times New Roman"/>
                <w:b w:val="0"/>
                <w:bCs w:val="0"/>
                <w:color w:val="auto"/>
                <w:sz w:val="24"/>
                <w:szCs w:val="24"/>
              </w:rPr>
            </w:pPr>
          </w:p>
          <w:p>
            <w:pPr>
              <w:spacing w:before="69" w:line="251" w:lineRule="auto"/>
              <w:ind w:left="13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5"/>
                <w:sz w:val="24"/>
                <w:szCs w:val="24"/>
              </w:rPr>
              <w:t>限携带胚系或体细胞</w:t>
            </w:r>
            <w:r>
              <w:rPr>
                <w:rFonts w:hint="default" w:ascii="Times New Roman" w:hAnsi="Times New Roman" w:eastAsia="仿宋_GB2312" w:cs="Times New Roman"/>
                <w:b w:val="0"/>
                <w:bCs w:val="0"/>
                <w:color w:val="auto"/>
                <w:sz w:val="24"/>
                <w:szCs w:val="24"/>
              </w:rPr>
              <w:t>BRCA</w:t>
            </w:r>
            <w:r>
              <w:rPr>
                <w:rFonts w:hint="default" w:ascii="Times New Roman" w:hAnsi="Times New Roman" w:eastAsia="仿宋_GB2312" w:cs="Times New Roman"/>
                <w:b w:val="0"/>
                <w:bCs w:val="0"/>
                <w:color w:val="auto"/>
                <w:spacing w:val="25"/>
                <w:sz w:val="24"/>
                <w:szCs w:val="24"/>
              </w:rPr>
              <w:t>突变的(</w:t>
            </w:r>
            <w:r>
              <w:rPr>
                <w:rFonts w:hint="default" w:ascii="Times New Roman" w:hAnsi="Times New Roman" w:eastAsia="仿宋_GB2312" w:cs="Times New Roman"/>
                <w:b w:val="0"/>
                <w:bCs w:val="0"/>
                <w:color w:val="auto"/>
                <w:sz w:val="24"/>
                <w:szCs w:val="24"/>
              </w:rPr>
              <w:t>gBRCAm</w:t>
            </w:r>
            <w:r>
              <w:rPr>
                <w:rFonts w:hint="default" w:ascii="Times New Roman" w:hAnsi="Times New Roman" w:eastAsia="仿宋_GB2312" w:cs="Times New Roman"/>
                <w:b w:val="0"/>
                <w:bCs w:val="0"/>
                <w:color w:val="auto"/>
                <w:spacing w:val="25"/>
                <w:sz w:val="24"/>
                <w:szCs w:val="24"/>
              </w:rPr>
              <w:t>或</w:t>
            </w:r>
            <w:r>
              <w:rPr>
                <w:rFonts w:hint="default" w:ascii="Times New Roman" w:hAnsi="Times New Roman" w:eastAsia="仿宋_GB2312" w:cs="Times New Roman"/>
                <w:b w:val="0"/>
                <w:bCs w:val="0"/>
                <w:color w:val="auto"/>
                <w:sz w:val="24"/>
                <w:szCs w:val="24"/>
              </w:rPr>
              <w:t>sBRCAm</w:t>
            </w:r>
            <w:r>
              <w:rPr>
                <w:rFonts w:hint="default" w:ascii="Times New Roman" w:hAnsi="Times New Roman" w:eastAsia="仿宋_GB2312" w:cs="Times New Roman"/>
                <w:b w:val="0"/>
                <w:bCs w:val="0"/>
                <w:color w:val="auto"/>
                <w:spacing w:val="25"/>
                <w:sz w:val="24"/>
                <w:szCs w:val="24"/>
              </w:rPr>
              <w:t>)晚期上皮性卵巢癌、输卵管癌或</w:t>
            </w:r>
            <w:r>
              <w:rPr>
                <w:rFonts w:hint="default" w:ascii="Times New Roman" w:hAnsi="Times New Roman" w:eastAsia="仿宋_GB2312" w:cs="Times New Roman"/>
                <w:b w:val="0"/>
                <w:bCs w:val="0"/>
                <w:color w:val="auto"/>
                <w:spacing w:val="10"/>
                <w:sz w:val="24"/>
                <w:szCs w:val="24"/>
              </w:rPr>
              <w:t>原发性腹膜癌初治成人患者在一线含铂化疗达到完全缓解或部分缓解后的维持治疗；铂</w:t>
            </w:r>
            <w:r>
              <w:rPr>
                <w:rFonts w:hint="default" w:ascii="Times New Roman" w:hAnsi="Times New Roman" w:eastAsia="仿宋_GB2312" w:cs="Times New Roman"/>
                <w:b w:val="0"/>
                <w:bCs w:val="0"/>
                <w:color w:val="auto"/>
                <w:spacing w:val="14"/>
                <w:sz w:val="24"/>
                <w:szCs w:val="24"/>
              </w:rPr>
              <w:t>敏感的复发性上皮性卵巢癌、输卵管癌或原发性腹</w:t>
            </w:r>
            <w:r>
              <w:rPr>
                <w:rFonts w:hint="default" w:ascii="Times New Roman" w:hAnsi="Times New Roman" w:eastAsia="仿宋_GB2312" w:cs="Times New Roman"/>
                <w:b w:val="0"/>
                <w:bCs w:val="0"/>
                <w:color w:val="auto"/>
                <w:spacing w:val="13"/>
                <w:sz w:val="24"/>
                <w:szCs w:val="24"/>
              </w:rPr>
              <w:t>膜癌患者。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9" w:hRule="atLeast"/>
        </w:trPr>
        <w:tc>
          <w:tcPr>
            <w:tcW w:w="755" w:type="dxa"/>
            <w:vAlign w:val="top"/>
          </w:tcPr>
          <w:p>
            <w:pPr>
              <w:spacing w:before="298" w:line="183" w:lineRule="auto"/>
              <w:ind w:left="23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6</w:t>
            </w:r>
          </w:p>
        </w:tc>
        <w:tc>
          <w:tcPr>
            <w:tcW w:w="2318" w:type="dxa"/>
            <w:vAlign w:val="top"/>
          </w:tcPr>
          <w:p>
            <w:pPr>
              <w:spacing w:before="242" w:line="219" w:lineRule="auto"/>
              <w:ind w:left="269"/>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马来酸吡咯替尼片</w:t>
            </w:r>
          </w:p>
        </w:tc>
        <w:tc>
          <w:tcPr>
            <w:tcW w:w="2653" w:type="dxa"/>
            <w:vAlign w:val="top"/>
          </w:tcPr>
          <w:p>
            <w:pPr>
              <w:spacing w:before="112" w:line="220" w:lineRule="auto"/>
              <w:ind w:left="64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40" w:line="222" w:lineRule="auto"/>
              <w:ind w:left="108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924" w:type="dxa"/>
            <w:vAlign w:val="top"/>
          </w:tcPr>
          <w:p>
            <w:pPr>
              <w:spacing w:before="242" w:line="220" w:lineRule="auto"/>
              <w:ind w:left="13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7"/>
                <w:sz w:val="24"/>
                <w:szCs w:val="24"/>
              </w:rPr>
              <w:t>限表皮生长因子受体2(</w:t>
            </w:r>
            <w:r>
              <w:rPr>
                <w:rFonts w:hint="default" w:ascii="Times New Roman" w:hAnsi="Times New Roman" w:eastAsia="仿宋_GB2312" w:cs="Times New Roman"/>
                <w:b w:val="0"/>
                <w:bCs w:val="0"/>
                <w:color w:val="auto"/>
                <w:sz w:val="24"/>
                <w:szCs w:val="24"/>
              </w:rPr>
              <w:t>HER</w:t>
            </w:r>
            <w:r>
              <w:rPr>
                <w:rFonts w:hint="default" w:ascii="Times New Roman" w:hAnsi="Times New Roman" w:eastAsia="仿宋_GB2312" w:cs="Times New Roman"/>
                <w:b w:val="0"/>
                <w:bCs w:val="0"/>
                <w:color w:val="auto"/>
                <w:spacing w:val="7"/>
                <w:sz w:val="24"/>
                <w:szCs w:val="24"/>
              </w:rPr>
              <w:t>2)阳性的复发或转移</w:t>
            </w:r>
            <w:r>
              <w:rPr>
                <w:rFonts w:hint="default" w:ascii="Times New Roman" w:hAnsi="Times New Roman" w:eastAsia="仿宋_GB2312" w:cs="Times New Roman"/>
                <w:b w:val="0"/>
                <w:bCs w:val="0"/>
                <w:color w:val="auto"/>
                <w:spacing w:val="6"/>
                <w:sz w:val="24"/>
                <w:szCs w:val="24"/>
              </w:rPr>
              <w:t>性乳腺癌患者的二线治疗。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79" w:hRule="atLeast"/>
        </w:trPr>
        <w:tc>
          <w:tcPr>
            <w:tcW w:w="755" w:type="dxa"/>
            <w:vAlign w:val="top"/>
          </w:tcPr>
          <w:p>
            <w:pPr>
              <w:spacing w:line="282" w:lineRule="auto"/>
              <w:rPr>
                <w:rFonts w:hint="default" w:ascii="Times New Roman" w:hAnsi="Times New Roman" w:eastAsia="仿宋_GB2312" w:cs="Times New Roman"/>
                <w:b w:val="0"/>
                <w:bCs w:val="0"/>
                <w:color w:val="auto"/>
                <w:sz w:val="24"/>
                <w:szCs w:val="24"/>
              </w:rPr>
            </w:pPr>
          </w:p>
          <w:p>
            <w:pPr>
              <w:spacing w:line="283" w:lineRule="auto"/>
              <w:rPr>
                <w:rFonts w:hint="default" w:ascii="Times New Roman" w:hAnsi="Times New Roman" w:eastAsia="仿宋_GB2312" w:cs="Times New Roman"/>
                <w:b w:val="0"/>
                <w:bCs w:val="0"/>
                <w:color w:val="auto"/>
                <w:sz w:val="24"/>
                <w:szCs w:val="24"/>
              </w:rPr>
            </w:pPr>
          </w:p>
          <w:p>
            <w:pPr>
              <w:spacing w:before="72" w:line="182" w:lineRule="auto"/>
              <w:ind w:left="23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7</w:t>
            </w:r>
          </w:p>
        </w:tc>
        <w:tc>
          <w:tcPr>
            <w:tcW w:w="2318" w:type="dxa"/>
            <w:vAlign w:val="top"/>
          </w:tcPr>
          <w:p>
            <w:pPr>
              <w:spacing w:line="370" w:lineRule="auto"/>
              <w:rPr>
                <w:rFonts w:hint="default" w:ascii="Times New Roman" w:hAnsi="Times New Roman" w:eastAsia="仿宋_GB2312" w:cs="Times New Roman"/>
                <w:b w:val="0"/>
                <w:bCs w:val="0"/>
                <w:color w:val="auto"/>
                <w:sz w:val="24"/>
                <w:szCs w:val="24"/>
              </w:rPr>
            </w:pPr>
          </w:p>
          <w:p>
            <w:pPr>
              <w:spacing w:before="71" w:line="235" w:lineRule="auto"/>
              <w:ind w:left="930" w:right="369" w:hanging="55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甲磺酸达拉非尼</w:t>
            </w:r>
            <w:r>
              <w:rPr>
                <w:rFonts w:hint="default" w:ascii="Times New Roman" w:hAnsi="Times New Roman" w:eastAsia="仿宋_GB2312" w:cs="Times New Roman"/>
                <w:b w:val="0"/>
                <w:bCs w:val="0"/>
                <w:color w:val="auto"/>
                <w:spacing w:val="-2"/>
                <w:sz w:val="24"/>
                <w:szCs w:val="24"/>
              </w:rPr>
              <w:t>胶囊</w:t>
            </w:r>
          </w:p>
        </w:tc>
        <w:tc>
          <w:tcPr>
            <w:tcW w:w="2653" w:type="dxa"/>
            <w:vAlign w:val="top"/>
          </w:tcPr>
          <w:p>
            <w:pPr>
              <w:spacing w:line="379" w:lineRule="auto"/>
              <w:rPr>
                <w:rFonts w:hint="default" w:ascii="Times New Roman" w:hAnsi="Times New Roman" w:eastAsia="仿宋_GB2312" w:cs="Times New Roman"/>
                <w:b w:val="0"/>
                <w:bCs w:val="0"/>
                <w:color w:val="auto"/>
                <w:sz w:val="24"/>
                <w:szCs w:val="24"/>
              </w:rPr>
            </w:pPr>
          </w:p>
          <w:p>
            <w:pPr>
              <w:spacing w:before="72" w:line="220" w:lineRule="auto"/>
              <w:ind w:left="64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40" w:line="222" w:lineRule="auto"/>
              <w:ind w:left="108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924" w:type="dxa"/>
            <w:vAlign w:val="top"/>
          </w:tcPr>
          <w:p>
            <w:pPr>
              <w:spacing w:before="151" w:line="244" w:lineRule="auto"/>
              <w:ind w:left="134" w:right="77"/>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限1.</w:t>
            </w:r>
            <w:r>
              <w:rPr>
                <w:rFonts w:hint="default" w:ascii="Times New Roman" w:hAnsi="Times New Roman" w:eastAsia="仿宋_GB2312" w:cs="Times New Roman"/>
                <w:b w:val="0"/>
                <w:bCs w:val="0"/>
                <w:color w:val="auto"/>
                <w:sz w:val="24"/>
                <w:szCs w:val="24"/>
              </w:rPr>
              <w:t>BRAFV</w:t>
            </w:r>
            <w:r>
              <w:rPr>
                <w:rFonts w:hint="default" w:ascii="Times New Roman" w:hAnsi="Times New Roman" w:eastAsia="仿宋_GB2312" w:cs="Times New Roman"/>
                <w:b w:val="0"/>
                <w:bCs w:val="0"/>
                <w:color w:val="auto"/>
                <w:spacing w:val="6"/>
                <w:sz w:val="24"/>
                <w:szCs w:val="24"/>
              </w:rPr>
              <w:t>600突变阳性不可切除或转移性黑色素瘤：联合曲美替尼适用于治疗</w:t>
            </w:r>
            <w:r>
              <w:rPr>
                <w:rFonts w:hint="default" w:ascii="Times New Roman" w:hAnsi="Times New Roman" w:eastAsia="仿宋_GB2312" w:cs="Times New Roman"/>
                <w:b w:val="0"/>
                <w:bCs w:val="0"/>
                <w:color w:val="auto"/>
                <w:sz w:val="24"/>
                <w:szCs w:val="24"/>
              </w:rPr>
              <w:t xml:space="preserve">BRAF </w:t>
            </w:r>
            <w:r>
              <w:rPr>
                <w:rFonts w:hint="default" w:ascii="Times New Roman" w:hAnsi="Times New Roman" w:eastAsia="仿宋_GB2312" w:cs="Times New Roman"/>
                <w:b w:val="0"/>
                <w:bCs w:val="0"/>
                <w:color w:val="auto"/>
                <w:spacing w:val="7"/>
                <w:sz w:val="24"/>
                <w:szCs w:val="24"/>
              </w:rPr>
              <w:t>V600突变阳性的不可切除或转移性黑色素瘤患者</w:t>
            </w:r>
            <w:r>
              <w:rPr>
                <w:rFonts w:hint="default" w:ascii="Times New Roman" w:hAnsi="Times New Roman" w:eastAsia="仿宋_GB2312" w:cs="Times New Roman"/>
                <w:b w:val="0"/>
                <w:bCs w:val="0"/>
                <w:color w:val="auto"/>
                <w:spacing w:val="6"/>
                <w:sz w:val="24"/>
                <w:szCs w:val="24"/>
              </w:rPr>
              <w:t>。2.</w:t>
            </w:r>
            <w:r>
              <w:rPr>
                <w:rFonts w:hint="default" w:ascii="Times New Roman" w:hAnsi="Times New Roman" w:eastAsia="仿宋_GB2312" w:cs="Times New Roman"/>
                <w:b w:val="0"/>
                <w:bCs w:val="0"/>
                <w:color w:val="auto"/>
                <w:sz w:val="24"/>
                <w:szCs w:val="24"/>
              </w:rPr>
              <w:t>BRAFV</w:t>
            </w:r>
            <w:r>
              <w:rPr>
                <w:rFonts w:hint="default" w:ascii="Times New Roman" w:hAnsi="Times New Roman" w:eastAsia="仿宋_GB2312" w:cs="Times New Roman"/>
                <w:b w:val="0"/>
                <w:bCs w:val="0"/>
                <w:color w:val="auto"/>
                <w:spacing w:val="6"/>
                <w:sz w:val="24"/>
                <w:szCs w:val="24"/>
              </w:rPr>
              <w:t>600突变阳性黑色素瘤的</w:t>
            </w:r>
            <w:r>
              <w:rPr>
                <w:rFonts w:hint="default" w:ascii="Times New Roman" w:hAnsi="Times New Roman" w:eastAsia="仿宋_GB2312" w:cs="Times New Roman"/>
                <w:b w:val="0"/>
                <w:bCs w:val="0"/>
                <w:color w:val="auto"/>
                <w:spacing w:val="10"/>
                <w:sz w:val="24"/>
                <w:szCs w:val="24"/>
              </w:rPr>
              <w:t>术后辅助治疗：联合曲美替尼适用于</w:t>
            </w:r>
            <w:r>
              <w:rPr>
                <w:rFonts w:hint="default" w:ascii="Times New Roman" w:hAnsi="Times New Roman" w:eastAsia="仿宋_GB2312" w:cs="Times New Roman"/>
                <w:b w:val="0"/>
                <w:bCs w:val="0"/>
                <w:color w:val="auto"/>
                <w:sz w:val="24"/>
                <w:szCs w:val="24"/>
              </w:rPr>
              <w:t>BRAFV</w:t>
            </w:r>
            <w:r>
              <w:rPr>
                <w:rFonts w:hint="default" w:ascii="Times New Roman" w:hAnsi="Times New Roman" w:eastAsia="仿宋_GB2312" w:cs="Times New Roman"/>
                <w:b w:val="0"/>
                <w:bCs w:val="0"/>
                <w:color w:val="auto"/>
                <w:spacing w:val="10"/>
                <w:sz w:val="24"/>
                <w:szCs w:val="24"/>
              </w:rPr>
              <w:t>600突变阳性的</w:t>
            </w:r>
            <w:r>
              <w:rPr>
                <w:rFonts w:hint="default" w:ascii="Times New Roman" w:hAnsi="Times New Roman" w:eastAsia="仿宋_GB2312" w:cs="Times New Roman"/>
                <w:b w:val="0"/>
                <w:bCs w:val="0"/>
                <w:color w:val="auto"/>
                <w:sz w:val="24"/>
                <w:szCs w:val="24"/>
              </w:rPr>
              <w:t>III</w:t>
            </w:r>
            <w:r>
              <w:rPr>
                <w:rFonts w:hint="default" w:ascii="Times New Roman" w:hAnsi="Times New Roman" w:eastAsia="仿宋_GB2312" w:cs="Times New Roman"/>
                <w:b w:val="0"/>
                <w:bCs w:val="0"/>
                <w:color w:val="auto"/>
                <w:spacing w:val="10"/>
                <w:sz w:val="24"/>
                <w:szCs w:val="24"/>
              </w:rPr>
              <w:t>期黑色素瘤患者完</w:t>
            </w:r>
            <w:r>
              <w:rPr>
                <w:rFonts w:hint="default" w:ascii="Times New Roman" w:hAnsi="Times New Roman" w:eastAsia="仿宋_GB2312" w:cs="Times New Roman"/>
                <w:b w:val="0"/>
                <w:bCs w:val="0"/>
                <w:color w:val="auto"/>
                <w:spacing w:val="9"/>
                <w:sz w:val="24"/>
                <w:szCs w:val="24"/>
              </w:rPr>
              <w:t>全</w:t>
            </w:r>
            <w:r>
              <w:rPr>
                <w:rFonts w:hint="default" w:ascii="Times New Roman" w:hAnsi="Times New Roman" w:eastAsia="仿宋_GB2312" w:cs="Times New Roman"/>
                <w:b w:val="0"/>
                <w:bCs w:val="0"/>
                <w:color w:val="auto"/>
                <w:spacing w:val="12"/>
                <w:sz w:val="24"/>
                <w:szCs w:val="24"/>
              </w:rPr>
              <w:t>切除后的辅助治疗。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69" w:hRule="atLeast"/>
        </w:trPr>
        <w:tc>
          <w:tcPr>
            <w:tcW w:w="755" w:type="dxa"/>
            <w:vAlign w:val="top"/>
          </w:tcPr>
          <w:p>
            <w:pPr>
              <w:spacing w:line="466" w:lineRule="auto"/>
              <w:rPr>
                <w:rFonts w:hint="default" w:ascii="Times New Roman" w:hAnsi="Times New Roman" w:eastAsia="仿宋_GB2312" w:cs="Times New Roman"/>
                <w:b w:val="0"/>
                <w:bCs w:val="0"/>
                <w:color w:val="auto"/>
                <w:sz w:val="24"/>
                <w:szCs w:val="24"/>
              </w:rPr>
            </w:pPr>
          </w:p>
          <w:p>
            <w:pPr>
              <w:spacing w:before="71" w:line="183" w:lineRule="auto"/>
              <w:ind w:left="23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8</w:t>
            </w:r>
          </w:p>
        </w:tc>
        <w:tc>
          <w:tcPr>
            <w:tcW w:w="2318" w:type="dxa"/>
            <w:vAlign w:val="top"/>
          </w:tcPr>
          <w:p>
            <w:pPr>
              <w:spacing w:line="410" w:lineRule="auto"/>
              <w:rPr>
                <w:rFonts w:hint="default" w:ascii="Times New Roman" w:hAnsi="Times New Roman" w:eastAsia="仿宋_GB2312" w:cs="Times New Roman"/>
                <w:b w:val="0"/>
                <w:bCs w:val="0"/>
                <w:color w:val="auto"/>
                <w:sz w:val="24"/>
                <w:szCs w:val="24"/>
              </w:rPr>
            </w:pPr>
          </w:p>
          <w:p>
            <w:pPr>
              <w:spacing w:before="71" w:line="219" w:lineRule="auto"/>
              <w:ind w:left="269"/>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1"/>
                <w:sz w:val="24"/>
                <w:szCs w:val="24"/>
              </w:rPr>
              <w:t>西妥昔单抗注射液</w:t>
            </w:r>
          </w:p>
        </w:tc>
        <w:tc>
          <w:tcPr>
            <w:tcW w:w="2653" w:type="dxa"/>
            <w:vAlign w:val="top"/>
          </w:tcPr>
          <w:p>
            <w:pPr>
              <w:spacing w:line="291" w:lineRule="auto"/>
              <w:rPr>
                <w:rFonts w:hint="default" w:ascii="Times New Roman" w:hAnsi="Times New Roman" w:eastAsia="仿宋_GB2312" w:cs="Times New Roman"/>
                <w:b w:val="0"/>
                <w:bCs w:val="0"/>
                <w:color w:val="auto"/>
                <w:sz w:val="24"/>
                <w:szCs w:val="24"/>
              </w:rPr>
            </w:pPr>
          </w:p>
          <w:p>
            <w:pPr>
              <w:spacing w:before="71" w:line="220" w:lineRule="auto"/>
              <w:ind w:left="64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40" w:line="222" w:lineRule="auto"/>
              <w:ind w:left="108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924" w:type="dxa"/>
            <w:vAlign w:val="top"/>
          </w:tcPr>
          <w:p>
            <w:pPr>
              <w:spacing w:before="202" w:line="247" w:lineRule="auto"/>
              <w:ind w:left="134" w:right="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12"/>
                <w:sz w:val="24"/>
                <w:szCs w:val="24"/>
              </w:rPr>
              <w:t>1.本品用于治疗</w:t>
            </w:r>
            <w:r>
              <w:rPr>
                <w:rFonts w:hint="default" w:ascii="Times New Roman" w:hAnsi="Times New Roman" w:eastAsia="仿宋_GB2312" w:cs="Times New Roman"/>
                <w:b w:val="0"/>
                <w:bCs w:val="0"/>
                <w:color w:val="auto"/>
                <w:sz w:val="24"/>
                <w:szCs w:val="24"/>
              </w:rPr>
              <w:t>RAS</w:t>
            </w:r>
            <w:r>
              <w:rPr>
                <w:rFonts w:hint="default" w:ascii="Times New Roman" w:hAnsi="Times New Roman" w:eastAsia="仿宋_GB2312" w:cs="Times New Roman"/>
                <w:b w:val="0"/>
                <w:bCs w:val="0"/>
                <w:color w:val="auto"/>
                <w:spacing w:val="12"/>
                <w:sz w:val="24"/>
                <w:szCs w:val="24"/>
              </w:rPr>
              <w:t>基因野生型的转移性结直肠癌：与</w:t>
            </w:r>
            <w:r>
              <w:rPr>
                <w:rFonts w:hint="default" w:ascii="Times New Roman" w:hAnsi="Times New Roman" w:eastAsia="仿宋_GB2312" w:cs="Times New Roman"/>
                <w:b w:val="0"/>
                <w:bCs w:val="0"/>
                <w:color w:val="auto"/>
                <w:sz w:val="24"/>
                <w:szCs w:val="24"/>
              </w:rPr>
              <w:t>FOLFOX</w:t>
            </w:r>
            <w:r>
              <w:rPr>
                <w:rFonts w:hint="default" w:ascii="Times New Roman" w:hAnsi="Times New Roman" w:eastAsia="仿宋_GB2312" w:cs="Times New Roman"/>
                <w:b w:val="0"/>
                <w:bCs w:val="0"/>
                <w:color w:val="auto"/>
                <w:spacing w:val="12"/>
                <w:sz w:val="24"/>
                <w:szCs w:val="24"/>
              </w:rPr>
              <w:t>或</w:t>
            </w:r>
            <w:r>
              <w:rPr>
                <w:rFonts w:hint="default" w:ascii="Times New Roman" w:hAnsi="Times New Roman" w:eastAsia="仿宋_GB2312" w:cs="Times New Roman"/>
                <w:b w:val="0"/>
                <w:bCs w:val="0"/>
                <w:color w:val="auto"/>
                <w:sz w:val="24"/>
                <w:szCs w:val="24"/>
              </w:rPr>
              <w:t>FOLFIRI</w:t>
            </w:r>
            <w:r>
              <w:rPr>
                <w:rFonts w:hint="default" w:ascii="Times New Roman" w:hAnsi="Times New Roman" w:eastAsia="仿宋_GB2312" w:cs="Times New Roman"/>
                <w:b w:val="0"/>
                <w:bCs w:val="0"/>
                <w:color w:val="auto"/>
                <w:spacing w:val="12"/>
                <w:sz w:val="24"/>
                <w:szCs w:val="24"/>
              </w:rPr>
              <w:t>方案联合用</w:t>
            </w:r>
            <w:r>
              <w:rPr>
                <w:rFonts w:hint="default" w:ascii="Times New Roman" w:hAnsi="Times New Roman" w:eastAsia="仿宋_GB2312" w:cs="Times New Roman"/>
                <w:b w:val="0"/>
                <w:bCs w:val="0"/>
                <w:color w:val="auto"/>
                <w:sz w:val="24"/>
                <w:szCs w:val="24"/>
              </w:rPr>
              <w:t>于一线治疗；与伊立替康联合用于经含伊立替康治疗失败后的患者。2.本品用于治疗头</w:t>
            </w:r>
            <w:r>
              <w:rPr>
                <w:rFonts w:hint="default" w:ascii="Times New Roman" w:hAnsi="Times New Roman" w:eastAsia="仿宋_GB2312" w:cs="Times New Roman"/>
                <w:b w:val="0"/>
                <w:bCs w:val="0"/>
                <w:color w:val="auto"/>
                <w:spacing w:val="3"/>
                <w:sz w:val="24"/>
                <w:szCs w:val="24"/>
              </w:rPr>
              <w:t>颈部鳞状细胞癌：与铂类和氟尿嘧啶化疗联合用于一线治疗复发和/或转移性疾</w:t>
            </w:r>
            <w:r>
              <w:rPr>
                <w:rFonts w:hint="default" w:ascii="Times New Roman" w:hAnsi="Times New Roman" w:eastAsia="仿宋_GB2312" w:cs="Times New Roman"/>
                <w:b w:val="0"/>
                <w:bCs w:val="0"/>
                <w:color w:val="auto"/>
                <w:spacing w:val="2"/>
                <w:sz w:val="24"/>
                <w:szCs w:val="24"/>
              </w:rPr>
              <w:t>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755" w:type="dxa"/>
            <w:vAlign w:val="top"/>
          </w:tcPr>
          <w:p>
            <w:pPr>
              <w:spacing w:before="301" w:line="183" w:lineRule="auto"/>
              <w:ind w:left="23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9</w:t>
            </w:r>
          </w:p>
        </w:tc>
        <w:tc>
          <w:tcPr>
            <w:tcW w:w="2318" w:type="dxa"/>
            <w:vAlign w:val="top"/>
          </w:tcPr>
          <w:p>
            <w:pPr>
              <w:spacing w:before="245" w:line="219" w:lineRule="auto"/>
              <w:ind w:left="49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1"/>
                <w:sz w:val="24"/>
                <w:szCs w:val="24"/>
              </w:rPr>
              <w:t>呋喹替尼胶囊</w:t>
            </w:r>
          </w:p>
        </w:tc>
        <w:tc>
          <w:tcPr>
            <w:tcW w:w="2653" w:type="dxa"/>
            <w:vAlign w:val="top"/>
          </w:tcPr>
          <w:p>
            <w:pPr>
              <w:spacing w:before="135" w:line="220" w:lineRule="auto"/>
              <w:ind w:left="64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50" w:line="210" w:lineRule="auto"/>
              <w:ind w:left="108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924" w:type="dxa"/>
            <w:vAlign w:val="top"/>
          </w:tcPr>
          <w:p>
            <w:pPr>
              <w:spacing w:before="245" w:line="220" w:lineRule="auto"/>
              <w:ind w:left="13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限转移性结直肠癌患者的三线治疗。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9" w:hRule="atLeast"/>
        </w:trPr>
        <w:tc>
          <w:tcPr>
            <w:tcW w:w="755" w:type="dxa"/>
            <w:vAlign w:val="top"/>
          </w:tcPr>
          <w:p>
            <w:pPr>
              <w:spacing w:before="301" w:line="184" w:lineRule="auto"/>
              <w:ind w:left="23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7"/>
                <w:sz w:val="24"/>
                <w:szCs w:val="24"/>
              </w:rPr>
              <w:t>10</w:t>
            </w:r>
          </w:p>
        </w:tc>
        <w:tc>
          <w:tcPr>
            <w:tcW w:w="2318" w:type="dxa"/>
            <w:vAlign w:val="top"/>
          </w:tcPr>
          <w:p>
            <w:pPr>
              <w:spacing w:before="246" w:line="219" w:lineRule="auto"/>
              <w:ind w:left="269"/>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甲磺酸氟马替尼片</w:t>
            </w:r>
          </w:p>
        </w:tc>
        <w:tc>
          <w:tcPr>
            <w:tcW w:w="2653" w:type="dxa"/>
            <w:vAlign w:val="top"/>
          </w:tcPr>
          <w:p>
            <w:pPr>
              <w:spacing w:before="136" w:line="220" w:lineRule="auto"/>
              <w:ind w:left="64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39" w:line="210" w:lineRule="auto"/>
              <w:ind w:left="108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924" w:type="dxa"/>
            <w:vAlign w:val="top"/>
          </w:tcPr>
          <w:p>
            <w:pPr>
              <w:spacing w:before="246" w:line="219" w:lineRule="auto"/>
              <w:ind w:left="13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5"/>
                <w:sz w:val="24"/>
                <w:szCs w:val="24"/>
              </w:rPr>
              <w:t>限费城染色体阳性的慢性髓性白血病(</w:t>
            </w:r>
            <w:r>
              <w:rPr>
                <w:rFonts w:hint="default" w:ascii="Times New Roman" w:hAnsi="Times New Roman" w:eastAsia="仿宋_GB2312" w:cs="Times New Roman"/>
                <w:b w:val="0"/>
                <w:bCs w:val="0"/>
                <w:color w:val="auto"/>
                <w:sz w:val="24"/>
                <w:szCs w:val="24"/>
              </w:rPr>
              <w:t>Ph</w:t>
            </w:r>
            <w:r>
              <w:rPr>
                <w:rFonts w:hint="default" w:ascii="Times New Roman" w:hAnsi="Times New Roman" w:eastAsia="仿宋_GB2312" w:cs="Times New Roman"/>
                <w:b w:val="0"/>
                <w:bCs w:val="0"/>
                <w:color w:val="auto"/>
                <w:spacing w:val="5"/>
                <w:sz w:val="24"/>
                <w:szCs w:val="24"/>
              </w:rPr>
              <w:t>+</w:t>
            </w:r>
            <w:r>
              <w:rPr>
                <w:rFonts w:hint="default" w:ascii="Times New Roman" w:hAnsi="Times New Roman" w:eastAsia="仿宋_GB2312" w:cs="Times New Roman"/>
                <w:b w:val="0"/>
                <w:bCs w:val="0"/>
                <w:color w:val="auto"/>
                <w:sz w:val="24"/>
                <w:szCs w:val="24"/>
              </w:rPr>
              <w:t>CML</w:t>
            </w:r>
            <w:r>
              <w:rPr>
                <w:rFonts w:hint="default" w:ascii="Times New Roman" w:hAnsi="Times New Roman" w:eastAsia="仿宋_GB2312" w:cs="Times New Roman"/>
                <w:b w:val="0"/>
                <w:bCs w:val="0"/>
                <w:color w:val="auto"/>
                <w:spacing w:val="5"/>
                <w:sz w:val="24"/>
                <w:szCs w:val="24"/>
              </w:rPr>
              <w:t>)慢性期成人患者。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9" w:hRule="atLeast"/>
        </w:trPr>
        <w:tc>
          <w:tcPr>
            <w:tcW w:w="755" w:type="dxa"/>
            <w:vAlign w:val="top"/>
          </w:tcPr>
          <w:p>
            <w:pPr>
              <w:spacing w:line="249" w:lineRule="auto"/>
              <w:rPr>
                <w:rFonts w:hint="default" w:ascii="Times New Roman" w:hAnsi="Times New Roman" w:eastAsia="仿宋_GB2312" w:cs="Times New Roman"/>
                <w:b w:val="0"/>
                <w:bCs w:val="0"/>
                <w:color w:val="auto"/>
                <w:sz w:val="24"/>
                <w:szCs w:val="24"/>
              </w:rPr>
            </w:pPr>
          </w:p>
          <w:p>
            <w:pPr>
              <w:spacing w:before="71" w:line="184" w:lineRule="auto"/>
              <w:ind w:left="23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7"/>
                <w:sz w:val="24"/>
                <w:szCs w:val="24"/>
              </w:rPr>
              <w:t>11</w:t>
            </w:r>
          </w:p>
        </w:tc>
        <w:tc>
          <w:tcPr>
            <w:tcW w:w="2318" w:type="dxa"/>
            <w:vAlign w:val="top"/>
          </w:tcPr>
          <w:p>
            <w:pPr>
              <w:spacing w:before="267" w:line="219" w:lineRule="auto"/>
              <w:ind w:left="49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1"/>
                <w:sz w:val="24"/>
                <w:szCs w:val="24"/>
              </w:rPr>
              <w:t>克唑替尼胶囊</w:t>
            </w:r>
          </w:p>
        </w:tc>
        <w:tc>
          <w:tcPr>
            <w:tcW w:w="2653" w:type="dxa"/>
            <w:vAlign w:val="top"/>
          </w:tcPr>
          <w:p>
            <w:pPr>
              <w:spacing w:before="167" w:line="220" w:lineRule="auto"/>
              <w:ind w:left="64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30" w:line="222" w:lineRule="auto"/>
              <w:ind w:left="108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924" w:type="dxa"/>
            <w:vAlign w:val="top"/>
          </w:tcPr>
          <w:p>
            <w:pPr>
              <w:spacing w:before="135" w:line="241" w:lineRule="auto"/>
              <w:ind w:left="134" w:right="106"/>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13"/>
                <w:sz w:val="24"/>
                <w:szCs w:val="24"/>
              </w:rPr>
              <w:t>限间变性淋巴瘤激酶(</w:t>
            </w:r>
            <w:r>
              <w:rPr>
                <w:rFonts w:hint="default" w:ascii="Times New Roman" w:hAnsi="Times New Roman" w:eastAsia="仿宋_GB2312" w:cs="Times New Roman"/>
                <w:b w:val="0"/>
                <w:bCs w:val="0"/>
                <w:color w:val="auto"/>
                <w:sz w:val="24"/>
                <w:szCs w:val="24"/>
              </w:rPr>
              <w:t>ALK</w:t>
            </w:r>
            <w:r>
              <w:rPr>
                <w:rFonts w:hint="default" w:ascii="Times New Roman" w:hAnsi="Times New Roman" w:eastAsia="仿宋_GB2312" w:cs="Times New Roman"/>
                <w:b w:val="0"/>
                <w:bCs w:val="0"/>
                <w:color w:val="auto"/>
                <w:spacing w:val="13"/>
                <w:sz w:val="24"/>
                <w:szCs w:val="24"/>
              </w:rPr>
              <w:t>)阳性的局部晚期或转移性非小细胞肺癌患者或</w:t>
            </w:r>
            <w:r>
              <w:rPr>
                <w:rFonts w:hint="default" w:ascii="Times New Roman" w:hAnsi="Times New Roman" w:eastAsia="仿宋_GB2312" w:cs="Times New Roman"/>
                <w:b w:val="0"/>
                <w:bCs w:val="0"/>
                <w:color w:val="auto"/>
                <w:sz w:val="24"/>
                <w:szCs w:val="24"/>
              </w:rPr>
              <w:t>ROS</w:t>
            </w:r>
            <w:r>
              <w:rPr>
                <w:rFonts w:hint="default" w:ascii="Times New Roman" w:hAnsi="Times New Roman" w:eastAsia="仿宋_GB2312" w:cs="Times New Roman"/>
                <w:b w:val="0"/>
                <w:bCs w:val="0"/>
                <w:color w:val="auto"/>
                <w:spacing w:val="13"/>
                <w:sz w:val="24"/>
                <w:szCs w:val="24"/>
              </w:rPr>
              <w:t>1阳性</w:t>
            </w:r>
            <w:r>
              <w:rPr>
                <w:rFonts w:hint="default" w:ascii="Times New Roman" w:hAnsi="Times New Roman" w:eastAsia="仿宋_GB2312" w:cs="Times New Roman"/>
                <w:b w:val="0"/>
                <w:bCs w:val="0"/>
                <w:color w:val="auto"/>
                <w:spacing w:val="9"/>
                <w:sz w:val="24"/>
                <w:szCs w:val="24"/>
              </w:rPr>
              <w:t>的晚期非小细胞肺癌患者。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9" w:hRule="atLeast"/>
        </w:trPr>
        <w:tc>
          <w:tcPr>
            <w:tcW w:w="755" w:type="dxa"/>
            <w:vAlign w:val="top"/>
          </w:tcPr>
          <w:p>
            <w:pPr>
              <w:spacing w:line="270" w:lineRule="auto"/>
              <w:rPr>
                <w:rFonts w:hint="default" w:ascii="Times New Roman" w:hAnsi="Times New Roman" w:eastAsia="仿宋_GB2312" w:cs="Times New Roman"/>
                <w:b w:val="0"/>
                <w:bCs w:val="0"/>
                <w:color w:val="auto"/>
                <w:sz w:val="24"/>
                <w:szCs w:val="24"/>
              </w:rPr>
            </w:pPr>
          </w:p>
          <w:p>
            <w:pPr>
              <w:spacing w:before="71" w:line="184" w:lineRule="auto"/>
              <w:ind w:left="23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7"/>
                <w:sz w:val="24"/>
                <w:szCs w:val="24"/>
              </w:rPr>
              <w:t>12</w:t>
            </w:r>
          </w:p>
        </w:tc>
        <w:tc>
          <w:tcPr>
            <w:tcW w:w="2318" w:type="dxa"/>
            <w:vAlign w:val="top"/>
          </w:tcPr>
          <w:p>
            <w:pPr>
              <w:spacing w:before="286" w:line="219" w:lineRule="auto"/>
              <w:ind w:left="38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磷酸芦可替尼片</w:t>
            </w:r>
          </w:p>
        </w:tc>
        <w:tc>
          <w:tcPr>
            <w:tcW w:w="2653" w:type="dxa"/>
            <w:vAlign w:val="top"/>
          </w:tcPr>
          <w:p>
            <w:pPr>
              <w:spacing w:before="168" w:line="220" w:lineRule="auto"/>
              <w:ind w:left="64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30" w:line="222" w:lineRule="auto"/>
              <w:ind w:left="108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924" w:type="dxa"/>
            <w:vAlign w:val="top"/>
          </w:tcPr>
          <w:p>
            <w:pPr>
              <w:spacing w:before="138" w:line="247" w:lineRule="auto"/>
              <w:ind w:left="134" w:right="10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0"/>
                <w:sz w:val="24"/>
                <w:szCs w:val="24"/>
              </w:rPr>
              <w:t>限中危或高危的原发性骨髓纤维化(</w:t>
            </w:r>
            <w:r>
              <w:rPr>
                <w:rFonts w:hint="default" w:ascii="Times New Roman" w:hAnsi="Times New Roman" w:eastAsia="仿宋_GB2312" w:cs="Times New Roman"/>
                <w:b w:val="0"/>
                <w:bCs w:val="0"/>
                <w:color w:val="auto"/>
                <w:sz w:val="24"/>
                <w:szCs w:val="24"/>
              </w:rPr>
              <w:t>PMF</w:t>
            </w:r>
            <w:r>
              <w:rPr>
                <w:rFonts w:hint="default" w:ascii="Times New Roman" w:hAnsi="Times New Roman" w:eastAsia="仿宋_GB2312" w:cs="Times New Roman"/>
                <w:b w:val="0"/>
                <w:bCs w:val="0"/>
                <w:color w:val="auto"/>
                <w:spacing w:val="20"/>
                <w:sz w:val="24"/>
                <w:szCs w:val="24"/>
              </w:rPr>
              <w:t>)、真性红细胞增多症继发的骨髓纤维</w:t>
            </w:r>
            <w:r>
              <w:rPr>
                <w:rFonts w:hint="default" w:ascii="Times New Roman" w:hAnsi="Times New Roman" w:eastAsia="仿宋_GB2312" w:cs="Times New Roman"/>
                <w:b w:val="0"/>
                <w:bCs w:val="0"/>
                <w:color w:val="auto"/>
                <w:spacing w:val="19"/>
                <w:sz w:val="24"/>
                <w:szCs w:val="24"/>
              </w:rPr>
              <w:t>化</w:t>
            </w:r>
            <w:r>
              <w:rPr>
                <w:rFonts w:hint="default" w:ascii="Times New Roman" w:hAnsi="Times New Roman" w:eastAsia="仿宋_GB2312" w:cs="Times New Roman"/>
                <w:b w:val="0"/>
                <w:bCs w:val="0"/>
                <w:color w:val="auto"/>
                <w:spacing w:val="9"/>
                <w:sz w:val="24"/>
                <w:szCs w:val="24"/>
              </w:rPr>
              <w:t>(</w:t>
            </w:r>
            <w:r>
              <w:rPr>
                <w:rFonts w:hint="default" w:ascii="Times New Roman" w:hAnsi="Times New Roman" w:eastAsia="仿宋_GB2312" w:cs="Times New Roman"/>
                <w:b w:val="0"/>
                <w:bCs w:val="0"/>
                <w:color w:val="auto"/>
                <w:sz w:val="24"/>
                <w:szCs w:val="24"/>
              </w:rPr>
              <w:t>PPV</w:t>
            </w:r>
            <w:r>
              <w:rPr>
                <w:rFonts w:hint="default" w:ascii="Times New Roman" w:hAnsi="Times New Roman" w:eastAsia="仿宋_GB2312" w:cs="Times New Roman"/>
                <w:b w:val="0"/>
                <w:bCs w:val="0"/>
                <w:color w:val="auto"/>
                <w:spacing w:val="9"/>
                <w:sz w:val="24"/>
                <w:szCs w:val="24"/>
              </w:rPr>
              <w:t>-</w:t>
            </w:r>
            <w:r>
              <w:rPr>
                <w:rFonts w:hint="default" w:ascii="Times New Roman" w:hAnsi="Times New Roman" w:eastAsia="仿宋_GB2312" w:cs="Times New Roman"/>
                <w:b w:val="0"/>
                <w:bCs w:val="0"/>
                <w:color w:val="auto"/>
                <w:sz w:val="24"/>
                <w:szCs w:val="24"/>
              </w:rPr>
              <w:t>MF</w:t>
            </w:r>
            <w:r>
              <w:rPr>
                <w:rFonts w:hint="default" w:ascii="Times New Roman" w:hAnsi="Times New Roman" w:eastAsia="仿宋_GB2312" w:cs="Times New Roman"/>
                <w:b w:val="0"/>
                <w:bCs w:val="0"/>
                <w:color w:val="auto"/>
                <w:spacing w:val="9"/>
                <w:sz w:val="24"/>
                <w:szCs w:val="24"/>
              </w:rPr>
              <w:t>)或原发性血小板增多症继发的骨髓纤维化(</w:t>
            </w:r>
            <w:r>
              <w:rPr>
                <w:rFonts w:hint="default" w:ascii="Times New Roman" w:hAnsi="Times New Roman" w:eastAsia="仿宋_GB2312" w:cs="Times New Roman"/>
                <w:b w:val="0"/>
                <w:bCs w:val="0"/>
                <w:color w:val="auto"/>
                <w:sz w:val="24"/>
                <w:szCs w:val="24"/>
              </w:rPr>
              <w:t>PET</w:t>
            </w:r>
            <w:r>
              <w:rPr>
                <w:rFonts w:hint="default" w:ascii="Times New Roman" w:hAnsi="Times New Roman" w:eastAsia="仿宋_GB2312" w:cs="Times New Roman"/>
                <w:b w:val="0"/>
                <w:bCs w:val="0"/>
                <w:color w:val="auto"/>
                <w:spacing w:val="9"/>
                <w:sz w:val="24"/>
                <w:szCs w:val="24"/>
              </w:rPr>
              <w:t>-</w:t>
            </w:r>
            <w:r>
              <w:rPr>
                <w:rFonts w:hint="default" w:ascii="Times New Roman" w:hAnsi="Times New Roman" w:eastAsia="仿宋_GB2312" w:cs="Times New Roman"/>
                <w:b w:val="0"/>
                <w:bCs w:val="0"/>
                <w:color w:val="auto"/>
                <w:sz w:val="24"/>
                <w:szCs w:val="24"/>
              </w:rPr>
              <w:t>MF</w:t>
            </w:r>
            <w:r>
              <w:rPr>
                <w:rFonts w:hint="default" w:ascii="Times New Roman" w:hAnsi="Times New Roman" w:eastAsia="仿宋_GB2312" w:cs="Times New Roman"/>
                <w:b w:val="0"/>
                <w:bCs w:val="0"/>
                <w:color w:val="auto"/>
                <w:spacing w:val="9"/>
                <w:sz w:val="24"/>
                <w:szCs w:val="24"/>
              </w:rPr>
              <w:t>)的患者。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84" w:hRule="atLeast"/>
        </w:trPr>
        <w:tc>
          <w:tcPr>
            <w:tcW w:w="755" w:type="dxa"/>
            <w:vAlign w:val="top"/>
          </w:tcPr>
          <w:p>
            <w:pPr>
              <w:spacing w:line="470" w:lineRule="auto"/>
              <w:rPr>
                <w:rFonts w:hint="default" w:ascii="Times New Roman" w:hAnsi="Times New Roman" w:eastAsia="仿宋_GB2312" w:cs="Times New Roman"/>
                <w:b w:val="0"/>
                <w:bCs w:val="0"/>
                <w:color w:val="auto"/>
                <w:sz w:val="24"/>
                <w:szCs w:val="24"/>
              </w:rPr>
            </w:pPr>
          </w:p>
          <w:p>
            <w:pPr>
              <w:spacing w:before="71" w:line="184" w:lineRule="auto"/>
              <w:ind w:left="23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7"/>
                <w:sz w:val="24"/>
                <w:szCs w:val="24"/>
              </w:rPr>
              <w:t>13</w:t>
            </w:r>
          </w:p>
        </w:tc>
        <w:tc>
          <w:tcPr>
            <w:tcW w:w="2318" w:type="dxa"/>
            <w:vAlign w:val="top"/>
          </w:tcPr>
          <w:p>
            <w:pPr>
              <w:spacing w:line="303" w:lineRule="auto"/>
              <w:rPr>
                <w:rFonts w:hint="default" w:ascii="Times New Roman" w:hAnsi="Times New Roman" w:eastAsia="仿宋_GB2312" w:cs="Times New Roman"/>
                <w:b w:val="0"/>
                <w:bCs w:val="0"/>
                <w:color w:val="auto"/>
                <w:sz w:val="24"/>
                <w:szCs w:val="24"/>
              </w:rPr>
            </w:pPr>
          </w:p>
          <w:p>
            <w:pPr>
              <w:spacing w:before="72" w:line="232" w:lineRule="auto"/>
              <w:ind w:left="1040" w:right="155" w:hanging="88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1"/>
                <w:sz w:val="24"/>
                <w:szCs w:val="24"/>
              </w:rPr>
              <w:t>甲苯磺酸尼拉帕利胶</w:t>
            </w:r>
            <w:r>
              <w:rPr>
                <w:rFonts w:hint="default" w:ascii="Times New Roman" w:hAnsi="Times New Roman" w:eastAsia="仿宋_GB2312" w:cs="Times New Roman"/>
                <w:b w:val="0"/>
                <w:bCs w:val="0"/>
                <w:color w:val="auto"/>
                <w:sz w:val="24"/>
                <w:szCs w:val="24"/>
              </w:rPr>
              <w:t>囊</w:t>
            </w:r>
          </w:p>
        </w:tc>
        <w:tc>
          <w:tcPr>
            <w:tcW w:w="2653" w:type="dxa"/>
            <w:vAlign w:val="top"/>
          </w:tcPr>
          <w:p>
            <w:pPr>
              <w:spacing w:line="316" w:lineRule="auto"/>
              <w:rPr>
                <w:rFonts w:hint="default" w:ascii="Times New Roman" w:hAnsi="Times New Roman" w:eastAsia="仿宋_GB2312" w:cs="Times New Roman"/>
                <w:b w:val="0"/>
                <w:bCs w:val="0"/>
                <w:color w:val="auto"/>
                <w:sz w:val="24"/>
                <w:szCs w:val="24"/>
              </w:rPr>
            </w:pPr>
          </w:p>
          <w:p>
            <w:pPr>
              <w:spacing w:before="71" w:line="220" w:lineRule="auto"/>
              <w:ind w:left="64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50" w:line="222" w:lineRule="auto"/>
              <w:ind w:left="108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924" w:type="dxa"/>
            <w:vAlign w:val="top"/>
          </w:tcPr>
          <w:p>
            <w:pPr>
              <w:spacing w:before="208" w:line="241" w:lineRule="auto"/>
              <w:ind w:left="134" w:right="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1.本品适用于晚期上皮性卵巢癌、输卵管癌或原发性腹膜癌成人患者对一线含铂化疗达到完全缓解或部分缓解后的维持治疗。2.本品适用于铂敏感的复发性上皮性卵巢癌、输</w:t>
            </w:r>
            <w:r>
              <w:rPr>
                <w:rFonts w:hint="default" w:ascii="Times New Roman" w:hAnsi="Times New Roman" w:eastAsia="仿宋_GB2312" w:cs="Times New Roman"/>
                <w:b w:val="0"/>
                <w:bCs w:val="0"/>
                <w:color w:val="auto"/>
                <w:spacing w:val="3"/>
                <w:sz w:val="24"/>
                <w:szCs w:val="24"/>
              </w:rPr>
              <w:t>卵管癌或原发性腹膜癌成人患者在含铂化疗达到完全缓解或部分缓解后的维持治</w:t>
            </w:r>
            <w:r>
              <w:rPr>
                <w:rFonts w:hint="default" w:ascii="Times New Roman" w:hAnsi="Times New Roman" w:eastAsia="仿宋_GB2312" w:cs="Times New Roman"/>
                <w:b w:val="0"/>
                <w:bCs w:val="0"/>
                <w:color w:val="auto"/>
                <w:spacing w:val="2"/>
                <w:sz w:val="24"/>
                <w:szCs w:val="24"/>
              </w:rPr>
              <w:t>疗。</w:t>
            </w:r>
          </w:p>
        </w:tc>
      </w:tr>
    </w:tbl>
    <w:p>
      <w:pPr>
        <w:spacing w:before="280" w:line="184" w:lineRule="auto"/>
        <w:ind w:left="2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11"/>
          <w:sz w:val="24"/>
          <w:szCs w:val="24"/>
        </w:rPr>
        <w:t>—10—</w:t>
      </w:r>
    </w:p>
    <w:p>
      <w:pPr>
        <w:rPr>
          <w:rFonts w:hint="default" w:ascii="Times New Roman" w:hAnsi="Times New Roman" w:eastAsia="仿宋_GB2312" w:cs="Times New Roman"/>
          <w:b w:val="0"/>
          <w:bCs w:val="0"/>
          <w:color w:val="auto"/>
          <w:sz w:val="24"/>
          <w:szCs w:val="24"/>
        </w:rPr>
        <w:sectPr>
          <w:footerReference r:id="rId4" w:type="default"/>
          <w:pgSz w:w="16832" w:h="11900" w:orient="landscape"/>
          <w:pgMar w:top="1440" w:right="1083" w:bottom="1327" w:left="1083" w:header="0" w:footer="0" w:gutter="0"/>
          <w:paperSrc/>
          <w:pgNumType w:fmt="decimal"/>
          <w:cols w:space="0" w:num="1"/>
          <w:rtlGutter w:val="0"/>
          <w:docGrid w:linePitch="0" w:charSpace="0"/>
        </w:sectPr>
      </w:pPr>
    </w:p>
    <w:p>
      <w:pPr>
        <w:spacing w:line="103" w:lineRule="exact"/>
        <w:rPr>
          <w:rFonts w:hint="default" w:ascii="Times New Roman" w:hAnsi="Times New Roman" w:eastAsia="仿宋_GB2312" w:cs="Times New Roman"/>
          <w:b w:val="0"/>
          <w:bCs w:val="0"/>
          <w:color w:val="auto"/>
          <w:sz w:val="24"/>
          <w:szCs w:val="24"/>
        </w:rPr>
      </w:pPr>
    </w:p>
    <w:tbl>
      <w:tblPr>
        <w:tblStyle w:val="6"/>
        <w:tblW w:w="145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2308"/>
        <w:gridCol w:w="3048"/>
        <w:gridCol w:w="8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5" w:hRule="atLeast"/>
        </w:trPr>
        <w:tc>
          <w:tcPr>
            <w:tcW w:w="734" w:type="dxa"/>
            <w:vAlign w:val="top"/>
          </w:tcPr>
          <w:p>
            <w:pPr>
              <w:spacing w:before="152" w:line="221" w:lineRule="auto"/>
              <w:ind w:left="138"/>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5"/>
                <w:sz w:val="24"/>
                <w:szCs w:val="24"/>
              </w:rPr>
              <w:t>序号</w:t>
            </w:r>
          </w:p>
        </w:tc>
        <w:tc>
          <w:tcPr>
            <w:tcW w:w="2308" w:type="dxa"/>
            <w:vAlign w:val="top"/>
          </w:tcPr>
          <w:p>
            <w:pPr>
              <w:spacing w:before="151" w:line="220" w:lineRule="auto"/>
              <w:ind w:left="70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5"/>
                <w:sz w:val="24"/>
                <w:szCs w:val="24"/>
              </w:rPr>
              <w:t>药品名称</w:t>
            </w:r>
          </w:p>
        </w:tc>
        <w:tc>
          <w:tcPr>
            <w:tcW w:w="3048" w:type="dxa"/>
            <w:vAlign w:val="top"/>
          </w:tcPr>
          <w:p>
            <w:pPr>
              <w:spacing w:before="151" w:line="219" w:lineRule="auto"/>
              <w:ind w:left="306"/>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对应门诊特殊慢性病病种</w:t>
            </w:r>
          </w:p>
        </w:tc>
        <w:tc>
          <w:tcPr>
            <w:tcW w:w="8499" w:type="dxa"/>
            <w:vAlign w:val="top"/>
          </w:tcPr>
          <w:p>
            <w:pPr>
              <w:spacing w:before="155" w:line="221" w:lineRule="auto"/>
              <w:ind w:left="387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8"/>
                <w:sz w:val="24"/>
                <w:szCs w:val="24"/>
                <w:lang w:val="en-US" w:eastAsia="zh-CN"/>
              </w:rPr>
              <w:t>限定支付范围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48" w:hRule="atLeast"/>
        </w:trPr>
        <w:tc>
          <w:tcPr>
            <w:tcW w:w="734" w:type="dxa"/>
            <w:vAlign w:val="top"/>
          </w:tcPr>
          <w:p>
            <w:pPr>
              <w:spacing w:line="299" w:lineRule="auto"/>
              <w:rPr>
                <w:rFonts w:hint="default" w:ascii="Times New Roman" w:hAnsi="Times New Roman" w:eastAsia="仿宋_GB2312" w:cs="Times New Roman"/>
                <w:b w:val="0"/>
                <w:bCs w:val="0"/>
                <w:color w:val="auto"/>
                <w:sz w:val="24"/>
                <w:szCs w:val="24"/>
              </w:rPr>
            </w:pPr>
          </w:p>
          <w:p>
            <w:pPr>
              <w:spacing w:line="300" w:lineRule="auto"/>
              <w:rPr>
                <w:rFonts w:hint="default" w:ascii="Times New Roman" w:hAnsi="Times New Roman" w:eastAsia="仿宋_GB2312" w:cs="Times New Roman"/>
                <w:b w:val="0"/>
                <w:bCs w:val="0"/>
                <w:color w:val="auto"/>
                <w:sz w:val="24"/>
                <w:szCs w:val="24"/>
              </w:rPr>
            </w:pPr>
          </w:p>
          <w:p>
            <w:pPr>
              <w:spacing w:before="71" w:line="184" w:lineRule="auto"/>
              <w:ind w:left="24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7"/>
                <w:sz w:val="24"/>
                <w:szCs w:val="24"/>
              </w:rPr>
              <w:t>14</w:t>
            </w:r>
          </w:p>
        </w:tc>
        <w:tc>
          <w:tcPr>
            <w:tcW w:w="2308" w:type="dxa"/>
            <w:vAlign w:val="top"/>
          </w:tcPr>
          <w:p>
            <w:pPr>
              <w:spacing w:line="272" w:lineRule="auto"/>
              <w:rPr>
                <w:rFonts w:hint="default" w:ascii="Times New Roman" w:hAnsi="Times New Roman" w:eastAsia="仿宋_GB2312" w:cs="Times New Roman"/>
                <w:b w:val="0"/>
                <w:bCs w:val="0"/>
                <w:color w:val="auto"/>
                <w:sz w:val="24"/>
                <w:szCs w:val="24"/>
              </w:rPr>
            </w:pPr>
          </w:p>
          <w:p>
            <w:pPr>
              <w:spacing w:line="272" w:lineRule="auto"/>
              <w:rPr>
                <w:rFonts w:hint="default" w:ascii="Times New Roman" w:hAnsi="Times New Roman" w:eastAsia="仿宋_GB2312" w:cs="Times New Roman"/>
                <w:b w:val="0"/>
                <w:bCs w:val="0"/>
                <w:color w:val="auto"/>
                <w:sz w:val="24"/>
                <w:szCs w:val="24"/>
              </w:rPr>
            </w:pPr>
          </w:p>
          <w:p>
            <w:pPr>
              <w:spacing w:before="71" w:line="219" w:lineRule="auto"/>
              <w:ind w:left="481"/>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尼洛替尼胶囊</w:t>
            </w:r>
          </w:p>
        </w:tc>
        <w:tc>
          <w:tcPr>
            <w:tcW w:w="3048" w:type="dxa"/>
            <w:vAlign w:val="top"/>
          </w:tcPr>
          <w:p>
            <w:pPr>
              <w:spacing w:line="415" w:lineRule="auto"/>
              <w:rPr>
                <w:rFonts w:hint="default" w:ascii="Times New Roman" w:hAnsi="Times New Roman" w:eastAsia="仿宋_GB2312" w:cs="Times New Roman"/>
                <w:b w:val="0"/>
                <w:bCs w:val="0"/>
                <w:color w:val="auto"/>
                <w:sz w:val="24"/>
                <w:szCs w:val="24"/>
              </w:rPr>
            </w:pPr>
          </w:p>
          <w:p>
            <w:pPr>
              <w:spacing w:before="72" w:line="220" w:lineRule="auto"/>
              <w:ind w:left="63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50" w:line="222" w:lineRule="auto"/>
              <w:ind w:left="107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499" w:type="dxa"/>
            <w:vAlign w:val="top"/>
          </w:tcPr>
          <w:p>
            <w:pPr>
              <w:spacing w:before="179"/>
              <w:ind w:left="125" w:right="99"/>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1.用于治疗新诊断的费城染色体阳性的慢性髓性白血病(</w:t>
            </w:r>
            <w:r>
              <w:rPr>
                <w:rFonts w:hint="default" w:ascii="Times New Roman" w:hAnsi="Times New Roman" w:eastAsia="仿宋_GB2312" w:cs="Times New Roman"/>
                <w:b w:val="0"/>
                <w:bCs w:val="0"/>
                <w:color w:val="auto"/>
                <w:sz w:val="24"/>
                <w:szCs w:val="24"/>
              </w:rPr>
              <w:t>Ph</w:t>
            </w:r>
            <w:r>
              <w:rPr>
                <w:rFonts w:hint="default" w:ascii="Times New Roman" w:hAnsi="Times New Roman" w:eastAsia="仿宋_GB2312" w:cs="Times New Roman"/>
                <w:b w:val="0"/>
                <w:bCs w:val="0"/>
                <w:color w:val="auto"/>
                <w:spacing w:val="6"/>
                <w:sz w:val="24"/>
                <w:szCs w:val="24"/>
              </w:rPr>
              <w:t>+</w:t>
            </w:r>
            <w:r>
              <w:rPr>
                <w:rFonts w:hint="default" w:ascii="Times New Roman" w:hAnsi="Times New Roman" w:eastAsia="仿宋_GB2312" w:cs="Times New Roman"/>
                <w:b w:val="0"/>
                <w:bCs w:val="0"/>
                <w:color w:val="auto"/>
                <w:sz w:val="24"/>
                <w:szCs w:val="24"/>
              </w:rPr>
              <w:t>CML</w:t>
            </w:r>
            <w:r>
              <w:rPr>
                <w:rFonts w:hint="default" w:ascii="Times New Roman" w:hAnsi="Times New Roman" w:eastAsia="仿宋_GB2312" w:cs="Times New Roman"/>
                <w:b w:val="0"/>
                <w:bCs w:val="0"/>
                <w:color w:val="auto"/>
                <w:spacing w:val="6"/>
                <w:sz w:val="24"/>
                <w:szCs w:val="24"/>
              </w:rPr>
              <w:t>)慢性期成人患者及2</w:t>
            </w:r>
            <w:r>
              <w:rPr>
                <w:rFonts w:hint="default" w:ascii="Times New Roman" w:hAnsi="Times New Roman" w:eastAsia="仿宋_GB2312" w:cs="Times New Roman"/>
                <w:b w:val="0"/>
                <w:bCs w:val="0"/>
                <w:color w:val="auto"/>
                <w:spacing w:val="3"/>
                <w:sz w:val="24"/>
                <w:szCs w:val="24"/>
              </w:rPr>
              <w:t>岁以上的儿童患者；2.用于对既往治疗(包括伊马替尼)耐药或不耐受的费城染色体阳</w:t>
            </w:r>
            <w:r>
              <w:rPr>
                <w:rFonts w:hint="default" w:ascii="Times New Roman" w:hAnsi="Times New Roman" w:eastAsia="仿宋_GB2312" w:cs="Times New Roman"/>
                <w:b w:val="0"/>
                <w:bCs w:val="0"/>
                <w:color w:val="auto"/>
                <w:spacing w:val="6"/>
                <w:sz w:val="24"/>
                <w:szCs w:val="24"/>
              </w:rPr>
              <w:t xml:space="preserve"> 性的慢性髓性白血病(</w:t>
            </w:r>
            <w:r>
              <w:rPr>
                <w:rFonts w:hint="default" w:ascii="Times New Roman" w:hAnsi="Times New Roman" w:eastAsia="仿宋_GB2312" w:cs="Times New Roman"/>
                <w:b w:val="0"/>
                <w:bCs w:val="0"/>
                <w:color w:val="auto"/>
                <w:sz w:val="24"/>
                <w:szCs w:val="24"/>
              </w:rPr>
              <w:t>Ph</w:t>
            </w:r>
            <w:r>
              <w:rPr>
                <w:rFonts w:hint="default" w:ascii="Times New Roman" w:hAnsi="Times New Roman" w:eastAsia="仿宋_GB2312" w:cs="Times New Roman"/>
                <w:b w:val="0"/>
                <w:bCs w:val="0"/>
                <w:color w:val="auto"/>
                <w:spacing w:val="6"/>
                <w:sz w:val="24"/>
                <w:szCs w:val="24"/>
              </w:rPr>
              <w:t>+</w:t>
            </w:r>
            <w:r>
              <w:rPr>
                <w:rFonts w:hint="default" w:ascii="Times New Roman" w:hAnsi="Times New Roman" w:eastAsia="仿宋_GB2312" w:cs="Times New Roman"/>
                <w:b w:val="0"/>
                <w:bCs w:val="0"/>
                <w:color w:val="auto"/>
                <w:sz w:val="24"/>
                <w:szCs w:val="24"/>
              </w:rPr>
              <w:t>CML</w:t>
            </w:r>
            <w:r>
              <w:rPr>
                <w:rFonts w:hint="default" w:ascii="Times New Roman" w:hAnsi="Times New Roman" w:eastAsia="仿宋_GB2312" w:cs="Times New Roman"/>
                <w:b w:val="0"/>
                <w:bCs w:val="0"/>
                <w:color w:val="auto"/>
                <w:spacing w:val="6"/>
                <w:sz w:val="24"/>
                <w:szCs w:val="24"/>
              </w:rPr>
              <w:t>)慢性期或加速期成人患者以及慢性期2岁以上</w:t>
            </w:r>
            <w:r>
              <w:rPr>
                <w:rFonts w:hint="default" w:ascii="Times New Roman" w:hAnsi="Times New Roman" w:eastAsia="仿宋_GB2312" w:cs="Times New Roman"/>
                <w:b w:val="0"/>
                <w:bCs w:val="0"/>
                <w:color w:val="auto"/>
                <w:spacing w:val="5"/>
                <w:sz w:val="24"/>
                <w:szCs w:val="24"/>
              </w:rPr>
              <w:t>的儿童患</w:t>
            </w:r>
            <w:r>
              <w:rPr>
                <w:rFonts w:hint="default" w:ascii="Times New Roman" w:hAnsi="Times New Roman" w:eastAsia="仿宋_GB2312" w:cs="Times New Roman"/>
                <w:b w:val="0"/>
                <w:bCs w:val="0"/>
                <w:color w:val="auto"/>
                <w:spacing w:val="-6"/>
                <w:sz w:val="24"/>
                <w:szCs w:val="24"/>
              </w:rPr>
              <w:t>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734" w:type="dxa"/>
            <w:vAlign w:val="top"/>
          </w:tcPr>
          <w:p>
            <w:pPr>
              <w:spacing w:before="296" w:line="184" w:lineRule="auto"/>
              <w:ind w:left="24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7"/>
                <w:sz w:val="24"/>
                <w:szCs w:val="24"/>
              </w:rPr>
              <w:t>15</w:t>
            </w:r>
          </w:p>
        </w:tc>
        <w:tc>
          <w:tcPr>
            <w:tcW w:w="2308" w:type="dxa"/>
            <w:vAlign w:val="top"/>
          </w:tcPr>
          <w:p>
            <w:pPr>
              <w:spacing w:before="241" w:line="219" w:lineRule="auto"/>
              <w:ind w:left="591"/>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培唑帕尼片</w:t>
            </w:r>
          </w:p>
        </w:tc>
        <w:tc>
          <w:tcPr>
            <w:tcW w:w="3048" w:type="dxa"/>
            <w:vAlign w:val="top"/>
          </w:tcPr>
          <w:p>
            <w:pPr>
              <w:spacing w:before="121" w:line="220" w:lineRule="auto"/>
              <w:ind w:left="63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40" w:line="222" w:lineRule="auto"/>
              <w:ind w:left="107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499" w:type="dxa"/>
            <w:vAlign w:val="top"/>
          </w:tcPr>
          <w:p>
            <w:pPr>
              <w:spacing w:before="241" w:line="219" w:lineRule="auto"/>
              <w:ind w:left="12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限晚期肾细胞癌患者的一线治疗和曾经接受过细胞因子治疗的晚期肾细胞癌的治</w:t>
            </w:r>
            <w:r>
              <w:rPr>
                <w:rFonts w:hint="default" w:ascii="Times New Roman" w:hAnsi="Times New Roman" w:eastAsia="仿宋_GB2312" w:cs="Times New Roman"/>
                <w:b w:val="0"/>
                <w:bCs w:val="0"/>
                <w:color w:val="auto"/>
                <w:spacing w:val="2"/>
                <w:sz w:val="24"/>
                <w:szCs w:val="24"/>
              </w:rPr>
              <w:t>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99" w:hRule="atLeast"/>
        </w:trPr>
        <w:tc>
          <w:tcPr>
            <w:tcW w:w="734" w:type="dxa"/>
            <w:vAlign w:val="top"/>
          </w:tcPr>
          <w:p>
            <w:pPr>
              <w:spacing w:line="311" w:lineRule="auto"/>
              <w:rPr>
                <w:rFonts w:hint="default" w:ascii="Times New Roman" w:hAnsi="Times New Roman" w:eastAsia="仿宋_GB2312" w:cs="Times New Roman"/>
                <w:b w:val="0"/>
                <w:bCs w:val="0"/>
                <w:color w:val="auto"/>
                <w:sz w:val="24"/>
                <w:szCs w:val="24"/>
              </w:rPr>
            </w:pPr>
          </w:p>
          <w:p>
            <w:pPr>
              <w:spacing w:line="311" w:lineRule="auto"/>
              <w:rPr>
                <w:rFonts w:hint="default" w:ascii="Times New Roman" w:hAnsi="Times New Roman" w:eastAsia="仿宋_GB2312" w:cs="Times New Roman"/>
                <w:b w:val="0"/>
                <w:bCs w:val="0"/>
                <w:color w:val="auto"/>
                <w:sz w:val="24"/>
                <w:szCs w:val="24"/>
              </w:rPr>
            </w:pPr>
          </w:p>
          <w:p>
            <w:pPr>
              <w:spacing w:before="71" w:line="184" w:lineRule="auto"/>
              <w:ind w:left="24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7"/>
                <w:sz w:val="24"/>
                <w:szCs w:val="24"/>
              </w:rPr>
              <w:t>16</w:t>
            </w:r>
          </w:p>
        </w:tc>
        <w:tc>
          <w:tcPr>
            <w:tcW w:w="2308" w:type="dxa"/>
            <w:vAlign w:val="top"/>
          </w:tcPr>
          <w:p>
            <w:pPr>
              <w:spacing w:line="283" w:lineRule="auto"/>
              <w:rPr>
                <w:rFonts w:hint="default" w:ascii="Times New Roman" w:hAnsi="Times New Roman" w:eastAsia="仿宋_GB2312" w:cs="Times New Roman"/>
                <w:b w:val="0"/>
                <w:bCs w:val="0"/>
                <w:color w:val="auto"/>
                <w:sz w:val="24"/>
                <w:szCs w:val="24"/>
              </w:rPr>
            </w:pPr>
          </w:p>
          <w:p>
            <w:pPr>
              <w:spacing w:line="284" w:lineRule="auto"/>
              <w:rPr>
                <w:rFonts w:hint="default" w:ascii="Times New Roman" w:hAnsi="Times New Roman" w:eastAsia="仿宋_GB2312" w:cs="Times New Roman"/>
                <w:b w:val="0"/>
                <w:bCs w:val="0"/>
                <w:color w:val="auto"/>
                <w:sz w:val="24"/>
                <w:szCs w:val="24"/>
              </w:rPr>
            </w:pPr>
          </w:p>
          <w:p>
            <w:pPr>
              <w:spacing w:before="71" w:line="219" w:lineRule="auto"/>
              <w:ind w:left="591"/>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曲美替尼片</w:t>
            </w:r>
          </w:p>
        </w:tc>
        <w:tc>
          <w:tcPr>
            <w:tcW w:w="3048" w:type="dxa"/>
            <w:vAlign w:val="top"/>
          </w:tcPr>
          <w:p>
            <w:pPr>
              <w:spacing w:line="448" w:lineRule="auto"/>
              <w:rPr>
                <w:rFonts w:hint="default" w:ascii="Times New Roman" w:hAnsi="Times New Roman" w:eastAsia="仿宋_GB2312" w:cs="Times New Roman"/>
                <w:b w:val="0"/>
                <w:bCs w:val="0"/>
                <w:color w:val="auto"/>
                <w:sz w:val="24"/>
                <w:szCs w:val="24"/>
              </w:rPr>
            </w:pPr>
          </w:p>
          <w:p>
            <w:pPr>
              <w:spacing w:before="71" w:line="220" w:lineRule="auto"/>
              <w:ind w:left="63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60" w:line="222" w:lineRule="auto"/>
              <w:ind w:left="107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499" w:type="dxa"/>
            <w:vAlign w:val="top"/>
          </w:tcPr>
          <w:p>
            <w:pPr>
              <w:spacing w:before="181" w:line="252" w:lineRule="auto"/>
              <w:ind w:left="125" w:right="89"/>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限1.</w:t>
            </w:r>
            <w:r>
              <w:rPr>
                <w:rFonts w:hint="default" w:ascii="Times New Roman" w:hAnsi="Times New Roman" w:eastAsia="仿宋_GB2312" w:cs="Times New Roman"/>
                <w:b w:val="0"/>
                <w:bCs w:val="0"/>
                <w:color w:val="auto"/>
                <w:sz w:val="24"/>
                <w:szCs w:val="24"/>
              </w:rPr>
              <w:t>BRAFV</w:t>
            </w:r>
            <w:r>
              <w:rPr>
                <w:rFonts w:hint="default" w:ascii="Times New Roman" w:hAnsi="Times New Roman" w:eastAsia="仿宋_GB2312" w:cs="Times New Roman"/>
                <w:b w:val="0"/>
                <w:bCs w:val="0"/>
                <w:color w:val="auto"/>
                <w:spacing w:val="6"/>
                <w:sz w:val="24"/>
                <w:szCs w:val="24"/>
              </w:rPr>
              <w:t>600突变阳性不可切除或转移性黑色素瘤：联合甲磺酸达拉非尼</w:t>
            </w:r>
            <w:r>
              <w:rPr>
                <w:rFonts w:hint="default" w:ascii="Times New Roman" w:hAnsi="Times New Roman" w:eastAsia="仿宋_GB2312" w:cs="Times New Roman"/>
                <w:b w:val="0"/>
                <w:bCs w:val="0"/>
                <w:color w:val="auto"/>
                <w:spacing w:val="5"/>
                <w:sz w:val="24"/>
                <w:szCs w:val="24"/>
              </w:rPr>
              <w:t>适用于治</w:t>
            </w:r>
            <w:r>
              <w:rPr>
                <w:rFonts w:hint="default" w:ascii="Times New Roman" w:hAnsi="Times New Roman" w:eastAsia="仿宋_GB2312" w:cs="Times New Roman"/>
                <w:b w:val="0"/>
                <w:bCs w:val="0"/>
                <w:color w:val="auto"/>
                <w:spacing w:val="9"/>
                <w:sz w:val="24"/>
                <w:szCs w:val="24"/>
              </w:rPr>
              <w:t>疗</w:t>
            </w:r>
            <w:r>
              <w:rPr>
                <w:rFonts w:hint="default" w:ascii="Times New Roman" w:hAnsi="Times New Roman" w:eastAsia="仿宋_GB2312" w:cs="Times New Roman"/>
                <w:b w:val="0"/>
                <w:bCs w:val="0"/>
                <w:color w:val="auto"/>
                <w:sz w:val="24"/>
                <w:szCs w:val="24"/>
              </w:rPr>
              <w:t>BRAFV</w:t>
            </w:r>
            <w:r>
              <w:rPr>
                <w:rFonts w:hint="default" w:ascii="Times New Roman" w:hAnsi="Times New Roman" w:eastAsia="仿宋_GB2312" w:cs="Times New Roman"/>
                <w:b w:val="0"/>
                <w:bCs w:val="0"/>
                <w:color w:val="auto"/>
                <w:spacing w:val="9"/>
                <w:sz w:val="24"/>
                <w:szCs w:val="24"/>
              </w:rPr>
              <w:t>600突变阳性的不可切除或转移性黑色素瘤患者。2.</w:t>
            </w:r>
            <w:r>
              <w:rPr>
                <w:rFonts w:hint="default" w:ascii="Times New Roman" w:hAnsi="Times New Roman" w:eastAsia="仿宋_GB2312" w:cs="Times New Roman"/>
                <w:b w:val="0"/>
                <w:bCs w:val="0"/>
                <w:color w:val="auto"/>
                <w:sz w:val="24"/>
                <w:szCs w:val="24"/>
              </w:rPr>
              <w:t>BRAFV</w:t>
            </w:r>
            <w:r>
              <w:rPr>
                <w:rFonts w:hint="default" w:ascii="Times New Roman" w:hAnsi="Times New Roman" w:eastAsia="仿宋_GB2312" w:cs="Times New Roman"/>
                <w:b w:val="0"/>
                <w:bCs w:val="0"/>
                <w:color w:val="auto"/>
                <w:spacing w:val="9"/>
                <w:sz w:val="24"/>
                <w:szCs w:val="24"/>
              </w:rPr>
              <w:t>600突变阳性黑</w:t>
            </w:r>
            <w:r>
              <w:rPr>
                <w:rFonts w:hint="default" w:ascii="Times New Roman" w:hAnsi="Times New Roman" w:eastAsia="仿宋_GB2312" w:cs="Times New Roman"/>
                <w:b w:val="0"/>
                <w:bCs w:val="0"/>
                <w:color w:val="auto"/>
                <w:spacing w:val="10"/>
                <w:sz w:val="24"/>
                <w:szCs w:val="24"/>
              </w:rPr>
              <w:t>色素瘤的术后辅助治疗：联合甲磺酸达拉非尼适用于</w:t>
            </w:r>
            <w:r>
              <w:rPr>
                <w:rFonts w:hint="default" w:ascii="Times New Roman" w:hAnsi="Times New Roman" w:eastAsia="仿宋_GB2312" w:cs="Times New Roman"/>
                <w:b w:val="0"/>
                <w:bCs w:val="0"/>
                <w:color w:val="auto"/>
                <w:sz w:val="24"/>
                <w:szCs w:val="24"/>
              </w:rPr>
              <w:t>BRAFV</w:t>
            </w:r>
            <w:r>
              <w:rPr>
                <w:rFonts w:hint="default" w:ascii="Times New Roman" w:hAnsi="Times New Roman" w:eastAsia="仿宋_GB2312" w:cs="Times New Roman"/>
                <w:b w:val="0"/>
                <w:bCs w:val="0"/>
                <w:color w:val="auto"/>
                <w:spacing w:val="10"/>
                <w:sz w:val="24"/>
                <w:szCs w:val="24"/>
              </w:rPr>
              <w:t>600突变阳性的</w:t>
            </w:r>
            <w:r>
              <w:rPr>
                <w:rFonts w:hint="default" w:ascii="Times New Roman" w:hAnsi="Times New Roman" w:eastAsia="仿宋_GB2312" w:cs="Times New Roman"/>
                <w:b w:val="0"/>
                <w:bCs w:val="0"/>
                <w:color w:val="auto"/>
                <w:sz w:val="24"/>
                <w:szCs w:val="24"/>
              </w:rPr>
              <w:t>III</w:t>
            </w:r>
            <w:r>
              <w:rPr>
                <w:rFonts w:hint="default" w:ascii="Times New Roman" w:hAnsi="Times New Roman" w:eastAsia="仿宋_GB2312" w:cs="Times New Roman"/>
                <w:b w:val="0"/>
                <w:bCs w:val="0"/>
                <w:color w:val="auto"/>
                <w:spacing w:val="10"/>
                <w:sz w:val="24"/>
                <w:szCs w:val="24"/>
              </w:rPr>
              <w:t>期黑</w:t>
            </w:r>
            <w:r>
              <w:rPr>
                <w:rFonts w:hint="default" w:ascii="Times New Roman" w:hAnsi="Times New Roman" w:eastAsia="仿宋_GB2312" w:cs="Times New Roman"/>
                <w:b w:val="0"/>
                <w:bCs w:val="0"/>
                <w:color w:val="auto"/>
                <w:spacing w:val="6"/>
                <w:sz w:val="24"/>
                <w:szCs w:val="24"/>
              </w:rPr>
              <w:t>色素瘤患者完全切除后的辅助治疗。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734" w:type="dxa"/>
            <w:vAlign w:val="top"/>
          </w:tcPr>
          <w:p>
            <w:pPr>
              <w:spacing w:before="298" w:line="184" w:lineRule="auto"/>
              <w:ind w:left="24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7"/>
                <w:sz w:val="24"/>
                <w:szCs w:val="24"/>
              </w:rPr>
              <w:t>17</w:t>
            </w:r>
          </w:p>
        </w:tc>
        <w:tc>
          <w:tcPr>
            <w:tcW w:w="2308" w:type="dxa"/>
            <w:vAlign w:val="top"/>
          </w:tcPr>
          <w:p>
            <w:pPr>
              <w:spacing w:before="243" w:line="220" w:lineRule="auto"/>
              <w:ind w:left="591"/>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瑞戈非尼片</w:t>
            </w:r>
          </w:p>
        </w:tc>
        <w:tc>
          <w:tcPr>
            <w:tcW w:w="3048" w:type="dxa"/>
            <w:vAlign w:val="top"/>
          </w:tcPr>
          <w:p>
            <w:pPr>
              <w:spacing w:before="113" w:line="220" w:lineRule="auto"/>
              <w:ind w:left="63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60" w:line="220" w:lineRule="auto"/>
              <w:ind w:left="107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499" w:type="dxa"/>
            <w:vAlign w:val="top"/>
          </w:tcPr>
          <w:p>
            <w:pPr>
              <w:spacing w:before="241" w:line="219" w:lineRule="auto"/>
              <w:ind w:left="12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1.肝细胞癌二线治疗；2.转移性结直肠癌三线治疗；3.</w:t>
            </w:r>
            <w:r>
              <w:rPr>
                <w:rFonts w:hint="default" w:ascii="Times New Roman" w:hAnsi="Times New Roman" w:eastAsia="仿宋_GB2312" w:cs="Times New Roman"/>
                <w:b w:val="0"/>
                <w:bCs w:val="0"/>
                <w:color w:val="auto"/>
                <w:spacing w:val="1"/>
                <w:sz w:val="24"/>
                <w:szCs w:val="24"/>
              </w:rPr>
              <w:t>胃肠道间质瘤三线治疗。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9" w:hRule="atLeast"/>
        </w:trPr>
        <w:tc>
          <w:tcPr>
            <w:tcW w:w="734" w:type="dxa"/>
            <w:vAlign w:val="top"/>
          </w:tcPr>
          <w:p>
            <w:pPr>
              <w:spacing w:line="256" w:lineRule="auto"/>
              <w:rPr>
                <w:rFonts w:hint="default" w:ascii="Times New Roman" w:hAnsi="Times New Roman" w:eastAsia="仿宋_GB2312" w:cs="Times New Roman"/>
                <w:b w:val="0"/>
                <w:bCs w:val="0"/>
                <w:color w:val="auto"/>
                <w:sz w:val="24"/>
                <w:szCs w:val="24"/>
              </w:rPr>
            </w:pPr>
          </w:p>
          <w:p>
            <w:pPr>
              <w:spacing w:before="72" w:line="184" w:lineRule="auto"/>
              <w:ind w:left="24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7"/>
                <w:sz w:val="24"/>
                <w:szCs w:val="24"/>
              </w:rPr>
              <w:t>18</w:t>
            </w:r>
          </w:p>
        </w:tc>
        <w:tc>
          <w:tcPr>
            <w:tcW w:w="2308" w:type="dxa"/>
            <w:vAlign w:val="top"/>
          </w:tcPr>
          <w:p>
            <w:pPr>
              <w:spacing w:before="274" w:line="219" w:lineRule="auto"/>
              <w:ind w:left="481"/>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塞瑞替尼胶囊</w:t>
            </w:r>
          </w:p>
        </w:tc>
        <w:tc>
          <w:tcPr>
            <w:tcW w:w="3048" w:type="dxa"/>
            <w:vAlign w:val="top"/>
          </w:tcPr>
          <w:p>
            <w:pPr>
              <w:spacing w:before="154" w:line="220" w:lineRule="auto"/>
              <w:ind w:left="63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30" w:line="222" w:lineRule="auto"/>
              <w:ind w:left="107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499" w:type="dxa"/>
            <w:vAlign w:val="top"/>
          </w:tcPr>
          <w:p>
            <w:pPr>
              <w:spacing w:before="111" w:line="237" w:lineRule="auto"/>
              <w:ind w:left="125" w:right="8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10"/>
                <w:sz w:val="24"/>
                <w:szCs w:val="24"/>
              </w:rPr>
              <w:t>限间变性淋巴瘤激酶(</w:t>
            </w:r>
            <w:r>
              <w:rPr>
                <w:rFonts w:hint="default" w:ascii="Times New Roman" w:hAnsi="Times New Roman" w:eastAsia="仿宋_GB2312" w:cs="Times New Roman"/>
                <w:b w:val="0"/>
                <w:bCs w:val="0"/>
                <w:color w:val="auto"/>
                <w:sz w:val="24"/>
                <w:szCs w:val="24"/>
              </w:rPr>
              <w:t>ALK</w:t>
            </w:r>
            <w:r>
              <w:rPr>
                <w:rFonts w:hint="default" w:ascii="Times New Roman" w:hAnsi="Times New Roman" w:eastAsia="仿宋_GB2312" w:cs="Times New Roman"/>
                <w:b w:val="0"/>
                <w:bCs w:val="0"/>
                <w:color w:val="auto"/>
                <w:spacing w:val="10"/>
                <w:sz w:val="24"/>
                <w:szCs w:val="24"/>
              </w:rPr>
              <w:t>)阳性的局部晚期或转移性非小细胞肺癌(</w:t>
            </w:r>
            <w:r>
              <w:rPr>
                <w:rFonts w:hint="default" w:ascii="Times New Roman" w:hAnsi="Times New Roman" w:eastAsia="仿宋_GB2312" w:cs="Times New Roman"/>
                <w:b w:val="0"/>
                <w:bCs w:val="0"/>
                <w:color w:val="auto"/>
                <w:sz w:val="24"/>
                <w:szCs w:val="24"/>
              </w:rPr>
              <w:t>NSCLC</w:t>
            </w:r>
            <w:r>
              <w:rPr>
                <w:rFonts w:hint="default" w:ascii="Times New Roman" w:hAnsi="Times New Roman" w:eastAsia="仿宋_GB2312" w:cs="Times New Roman"/>
                <w:b w:val="0"/>
                <w:bCs w:val="0"/>
                <w:color w:val="auto"/>
                <w:spacing w:val="10"/>
                <w:sz w:val="24"/>
                <w:szCs w:val="24"/>
              </w:rPr>
              <w:t>)患者的治</w:t>
            </w:r>
            <w:r>
              <w:rPr>
                <w:rFonts w:hint="default" w:ascii="Times New Roman" w:hAnsi="Times New Roman" w:eastAsia="仿宋_GB2312" w:cs="Times New Roman"/>
                <w:b w:val="0"/>
                <w:bCs w:val="0"/>
                <w:color w:val="auto"/>
                <w:spacing w:val="-4"/>
                <w:sz w:val="24"/>
                <w:szCs w:val="24"/>
              </w:rPr>
              <w:t>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9" w:hRule="atLeast"/>
        </w:trPr>
        <w:tc>
          <w:tcPr>
            <w:tcW w:w="734" w:type="dxa"/>
            <w:vAlign w:val="top"/>
          </w:tcPr>
          <w:p>
            <w:pPr>
              <w:spacing w:line="257" w:lineRule="auto"/>
              <w:rPr>
                <w:rFonts w:hint="default" w:ascii="Times New Roman" w:hAnsi="Times New Roman" w:eastAsia="仿宋_GB2312" w:cs="Times New Roman"/>
                <w:b w:val="0"/>
                <w:bCs w:val="0"/>
                <w:color w:val="auto"/>
                <w:sz w:val="24"/>
                <w:szCs w:val="24"/>
              </w:rPr>
            </w:pPr>
          </w:p>
          <w:p>
            <w:pPr>
              <w:spacing w:before="71" w:line="184" w:lineRule="auto"/>
              <w:ind w:left="24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7"/>
                <w:sz w:val="24"/>
                <w:szCs w:val="24"/>
              </w:rPr>
              <w:t>19</w:t>
            </w:r>
          </w:p>
        </w:tc>
        <w:tc>
          <w:tcPr>
            <w:tcW w:w="2308" w:type="dxa"/>
            <w:vAlign w:val="top"/>
          </w:tcPr>
          <w:p>
            <w:pPr>
              <w:spacing w:before="275" w:line="219" w:lineRule="auto"/>
              <w:ind w:left="591"/>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维莫非尼片</w:t>
            </w:r>
          </w:p>
        </w:tc>
        <w:tc>
          <w:tcPr>
            <w:tcW w:w="3048" w:type="dxa"/>
            <w:vAlign w:val="top"/>
          </w:tcPr>
          <w:p>
            <w:pPr>
              <w:spacing w:before="145" w:line="220" w:lineRule="auto"/>
              <w:ind w:left="63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50" w:line="222" w:lineRule="auto"/>
              <w:ind w:left="107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499" w:type="dxa"/>
            <w:vAlign w:val="top"/>
          </w:tcPr>
          <w:p>
            <w:pPr>
              <w:spacing w:before="275" w:line="219" w:lineRule="auto"/>
              <w:ind w:left="12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治疗经</w:t>
            </w:r>
            <w:r>
              <w:rPr>
                <w:rFonts w:hint="default" w:ascii="Times New Roman" w:hAnsi="Times New Roman" w:eastAsia="仿宋_GB2312" w:cs="Times New Roman"/>
                <w:b w:val="0"/>
                <w:bCs w:val="0"/>
                <w:color w:val="auto"/>
                <w:sz w:val="24"/>
                <w:szCs w:val="24"/>
              </w:rPr>
              <w:t>CFDA</w:t>
            </w:r>
            <w:r>
              <w:rPr>
                <w:rFonts w:hint="default" w:ascii="Times New Roman" w:hAnsi="Times New Roman" w:eastAsia="仿宋_GB2312" w:cs="Times New Roman"/>
                <w:b w:val="0"/>
                <w:bCs w:val="0"/>
                <w:color w:val="auto"/>
                <w:spacing w:val="3"/>
                <w:sz w:val="24"/>
                <w:szCs w:val="24"/>
              </w:rPr>
              <w:t>批准的检测方法确定的</w:t>
            </w:r>
            <w:r>
              <w:rPr>
                <w:rFonts w:hint="default" w:ascii="Times New Roman" w:hAnsi="Times New Roman" w:eastAsia="仿宋_GB2312" w:cs="Times New Roman"/>
                <w:b w:val="0"/>
                <w:bCs w:val="0"/>
                <w:color w:val="auto"/>
                <w:sz w:val="24"/>
                <w:szCs w:val="24"/>
              </w:rPr>
              <w:t>BRAFV</w:t>
            </w:r>
            <w:r>
              <w:rPr>
                <w:rFonts w:hint="default" w:ascii="Times New Roman" w:hAnsi="Times New Roman" w:eastAsia="仿宋_GB2312" w:cs="Times New Roman"/>
                <w:b w:val="0"/>
                <w:bCs w:val="0"/>
                <w:color w:val="auto"/>
                <w:spacing w:val="3"/>
                <w:sz w:val="24"/>
                <w:szCs w:val="24"/>
              </w:rPr>
              <w:t>600突变阳性的不可切除或转移性黑色</w:t>
            </w:r>
            <w:r>
              <w:rPr>
                <w:rFonts w:hint="default" w:ascii="Times New Roman" w:hAnsi="Times New Roman" w:eastAsia="仿宋_GB2312" w:cs="Times New Roman"/>
                <w:b w:val="0"/>
                <w:bCs w:val="0"/>
                <w:color w:val="auto"/>
                <w:spacing w:val="2"/>
                <w:sz w:val="24"/>
                <w:szCs w:val="24"/>
              </w:rPr>
              <w:t>素瘤。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9" w:hRule="atLeast"/>
        </w:trPr>
        <w:tc>
          <w:tcPr>
            <w:tcW w:w="734" w:type="dxa"/>
            <w:vAlign w:val="top"/>
          </w:tcPr>
          <w:p>
            <w:pPr>
              <w:spacing w:before="292" w:line="183" w:lineRule="auto"/>
              <w:ind w:left="24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20</w:t>
            </w:r>
          </w:p>
        </w:tc>
        <w:tc>
          <w:tcPr>
            <w:tcW w:w="2308" w:type="dxa"/>
            <w:vAlign w:val="top"/>
          </w:tcPr>
          <w:p>
            <w:pPr>
              <w:spacing w:before="234" w:line="219" w:lineRule="auto"/>
              <w:ind w:left="591"/>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西达本胺片</w:t>
            </w:r>
          </w:p>
        </w:tc>
        <w:tc>
          <w:tcPr>
            <w:tcW w:w="3048" w:type="dxa"/>
            <w:vAlign w:val="top"/>
          </w:tcPr>
          <w:p>
            <w:pPr>
              <w:spacing w:before="116" w:line="220" w:lineRule="auto"/>
              <w:ind w:left="63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51" w:line="209" w:lineRule="auto"/>
              <w:ind w:left="107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499" w:type="dxa"/>
            <w:vAlign w:val="top"/>
          </w:tcPr>
          <w:p>
            <w:pPr>
              <w:spacing w:before="234" w:line="218" w:lineRule="auto"/>
              <w:ind w:left="12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11"/>
                <w:sz w:val="24"/>
                <w:szCs w:val="24"/>
              </w:rPr>
              <w:t>限既往至少接受过1次全身化疗的复发或难治的外周T细胞淋巴瘤(</w:t>
            </w:r>
            <w:r>
              <w:rPr>
                <w:rFonts w:hint="default" w:ascii="Times New Roman" w:hAnsi="Times New Roman" w:eastAsia="仿宋_GB2312" w:cs="Times New Roman"/>
                <w:b w:val="0"/>
                <w:bCs w:val="0"/>
                <w:color w:val="auto"/>
                <w:sz w:val="24"/>
                <w:szCs w:val="24"/>
              </w:rPr>
              <w:t>PTCL</w:t>
            </w:r>
            <w:r>
              <w:rPr>
                <w:rFonts w:hint="default" w:ascii="Times New Roman" w:hAnsi="Times New Roman" w:eastAsia="仿宋_GB2312" w:cs="Times New Roman"/>
                <w:b w:val="0"/>
                <w:bCs w:val="0"/>
                <w:color w:val="auto"/>
                <w:spacing w:val="11"/>
                <w:sz w:val="24"/>
                <w:szCs w:val="24"/>
              </w:rPr>
              <w:t>)患者。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9" w:hRule="atLeast"/>
        </w:trPr>
        <w:tc>
          <w:tcPr>
            <w:tcW w:w="734" w:type="dxa"/>
            <w:vAlign w:val="top"/>
          </w:tcPr>
          <w:p>
            <w:pPr>
              <w:spacing w:line="388" w:lineRule="auto"/>
              <w:rPr>
                <w:rFonts w:hint="default" w:ascii="Times New Roman" w:hAnsi="Times New Roman" w:eastAsia="仿宋_GB2312" w:cs="Times New Roman"/>
                <w:b w:val="0"/>
                <w:bCs w:val="0"/>
                <w:color w:val="auto"/>
                <w:sz w:val="24"/>
                <w:szCs w:val="24"/>
              </w:rPr>
            </w:pPr>
          </w:p>
          <w:p>
            <w:pPr>
              <w:spacing w:before="72" w:line="184" w:lineRule="auto"/>
              <w:ind w:left="24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21</w:t>
            </w:r>
          </w:p>
        </w:tc>
        <w:tc>
          <w:tcPr>
            <w:tcW w:w="2308" w:type="dxa"/>
            <w:vAlign w:val="top"/>
          </w:tcPr>
          <w:p>
            <w:pPr>
              <w:spacing w:line="332" w:lineRule="auto"/>
              <w:rPr>
                <w:rFonts w:hint="default" w:ascii="Times New Roman" w:hAnsi="Times New Roman" w:eastAsia="仿宋_GB2312" w:cs="Times New Roman"/>
                <w:b w:val="0"/>
                <w:bCs w:val="0"/>
                <w:color w:val="auto"/>
                <w:sz w:val="24"/>
                <w:szCs w:val="24"/>
              </w:rPr>
            </w:pPr>
          </w:p>
          <w:p>
            <w:pPr>
              <w:spacing w:before="71" w:line="219" w:lineRule="auto"/>
              <w:ind w:left="481"/>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伊布替尼胶囊</w:t>
            </w:r>
          </w:p>
        </w:tc>
        <w:tc>
          <w:tcPr>
            <w:tcW w:w="3048" w:type="dxa"/>
            <w:vAlign w:val="top"/>
          </w:tcPr>
          <w:p>
            <w:pPr>
              <w:spacing w:before="287" w:line="220" w:lineRule="auto"/>
              <w:ind w:left="63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50" w:line="222" w:lineRule="auto"/>
              <w:ind w:left="107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499" w:type="dxa"/>
            <w:vAlign w:val="top"/>
          </w:tcPr>
          <w:p>
            <w:pPr>
              <w:spacing w:before="103" w:line="247" w:lineRule="auto"/>
              <w:ind w:left="125" w:right="11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限1.既往至少接受过一种治疗的套细胞淋巴瘤(</w:t>
            </w:r>
            <w:r>
              <w:rPr>
                <w:rFonts w:hint="default" w:ascii="Times New Roman" w:hAnsi="Times New Roman" w:eastAsia="仿宋_GB2312" w:cs="Times New Roman"/>
                <w:b w:val="0"/>
                <w:bCs w:val="0"/>
                <w:color w:val="auto"/>
                <w:sz w:val="24"/>
                <w:szCs w:val="24"/>
              </w:rPr>
              <w:t>MCL</w:t>
            </w:r>
            <w:r>
              <w:rPr>
                <w:rFonts w:hint="default" w:ascii="Times New Roman" w:hAnsi="Times New Roman" w:eastAsia="仿宋_GB2312" w:cs="Times New Roman"/>
                <w:b w:val="0"/>
                <w:bCs w:val="0"/>
                <w:color w:val="auto"/>
                <w:spacing w:val="6"/>
                <w:sz w:val="24"/>
                <w:szCs w:val="24"/>
              </w:rPr>
              <w:t>)患者的治疗</w:t>
            </w:r>
            <w:r>
              <w:rPr>
                <w:rFonts w:hint="default" w:ascii="Times New Roman" w:hAnsi="Times New Roman" w:eastAsia="仿宋_GB2312" w:cs="Times New Roman"/>
                <w:b w:val="0"/>
                <w:bCs w:val="0"/>
                <w:color w:val="auto"/>
                <w:spacing w:val="5"/>
                <w:sz w:val="24"/>
                <w:szCs w:val="24"/>
              </w:rPr>
              <w:t>；2.慢性淋巴细胞白</w:t>
            </w:r>
            <w:r>
              <w:rPr>
                <w:rFonts w:hint="default" w:ascii="Times New Roman" w:hAnsi="Times New Roman" w:eastAsia="仿宋_GB2312" w:cs="Times New Roman"/>
                <w:b w:val="0"/>
                <w:bCs w:val="0"/>
                <w:color w:val="auto"/>
                <w:spacing w:val="2"/>
                <w:sz w:val="24"/>
                <w:szCs w:val="24"/>
              </w:rPr>
              <w:t>血病/小淋巴细胞淋巴瘤(</w:t>
            </w:r>
            <w:r>
              <w:rPr>
                <w:rFonts w:hint="default" w:ascii="Times New Roman" w:hAnsi="Times New Roman" w:eastAsia="仿宋_GB2312" w:cs="Times New Roman"/>
                <w:b w:val="0"/>
                <w:bCs w:val="0"/>
                <w:color w:val="auto"/>
                <w:sz w:val="24"/>
                <w:szCs w:val="24"/>
              </w:rPr>
              <w:t>CLL</w:t>
            </w:r>
            <w:r>
              <w:rPr>
                <w:rFonts w:hint="default" w:ascii="Times New Roman" w:hAnsi="Times New Roman" w:eastAsia="仿宋_GB2312" w:cs="Times New Roman"/>
                <w:b w:val="0"/>
                <w:bCs w:val="0"/>
                <w:color w:val="auto"/>
                <w:spacing w:val="2"/>
                <w:sz w:val="24"/>
                <w:szCs w:val="24"/>
              </w:rPr>
              <w:t>/</w:t>
            </w:r>
            <w:r>
              <w:rPr>
                <w:rFonts w:hint="default" w:ascii="Times New Roman" w:hAnsi="Times New Roman" w:eastAsia="仿宋_GB2312" w:cs="Times New Roman"/>
                <w:b w:val="0"/>
                <w:bCs w:val="0"/>
                <w:color w:val="auto"/>
                <w:sz w:val="24"/>
                <w:szCs w:val="24"/>
              </w:rPr>
              <w:t>SLL</w:t>
            </w:r>
            <w:r>
              <w:rPr>
                <w:rFonts w:hint="default" w:ascii="Times New Roman" w:hAnsi="Times New Roman" w:eastAsia="仿宋_GB2312" w:cs="Times New Roman"/>
                <w:b w:val="0"/>
                <w:bCs w:val="0"/>
                <w:color w:val="auto"/>
                <w:spacing w:val="2"/>
                <w:sz w:val="24"/>
                <w:szCs w:val="24"/>
              </w:rPr>
              <w:t>)患者的治疗；3.华氏巨球蛋白血症患者的治疗，按</w:t>
            </w:r>
            <w:r>
              <w:rPr>
                <w:rFonts w:hint="default" w:ascii="Times New Roman" w:hAnsi="Times New Roman" w:eastAsia="仿宋_GB2312" w:cs="Times New Roman"/>
                <w:b w:val="0"/>
                <w:bCs w:val="0"/>
                <w:color w:val="auto"/>
                <w:spacing w:val="18"/>
                <w:sz w:val="24"/>
                <w:szCs w:val="24"/>
              </w:rPr>
              <w:t>说明书用药。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4" w:hRule="atLeast"/>
        </w:trPr>
        <w:tc>
          <w:tcPr>
            <w:tcW w:w="734" w:type="dxa"/>
            <w:vAlign w:val="top"/>
          </w:tcPr>
          <w:p>
            <w:pPr>
              <w:spacing w:line="390" w:lineRule="auto"/>
              <w:rPr>
                <w:rFonts w:hint="default" w:ascii="Times New Roman" w:hAnsi="Times New Roman" w:eastAsia="仿宋_GB2312" w:cs="Times New Roman"/>
                <w:b w:val="0"/>
                <w:bCs w:val="0"/>
                <w:color w:val="auto"/>
                <w:sz w:val="24"/>
                <w:szCs w:val="24"/>
              </w:rPr>
            </w:pPr>
          </w:p>
          <w:p>
            <w:pPr>
              <w:spacing w:before="72" w:line="183" w:lineRule="auto"/>
              <w:ind w:left="24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22</w:t>
            </w:r>
          </w:p>
        </w:tc>
        <w:tc>
          <w:tcPr>
            <w:tcW w:w="2308" w:type="dxa"/>
            <w:vAlign w:val="top"/>
          </w:tcPr>
          <w:p>
            <w:pPr>
              <w:spacing w:line="334" w:lineRule="auto"/>
              <w:rPr>
                <w:rFonts w:hint="default" w:ascii="Times New Roman" w:hAnsi="Times New Roman" w:eastAsia="仿宋_GB2312" w:cs="Times New Roman"/>
                <w:b w:val="0"/>
                <w:bCs w:val="0"/>
                <w:color w:val="auto"/>
                <w:sz w:val="24"/>
                <w:szCs w:val="24"/>
              </w:rPr>
            </w:pPr>
          </w:p>
          <w:p>
            <w:pPr>
              <w:spacing w:before="72" w:line="219" w:lineRule="auto"/>
              <w:ind w:left="15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1"/>
                <w:sz w:val="24"/>
                <w:szCs w:val="24"/>
              </w:rPr>
              <w:t>枸橼酸伊沙佐米胶囊</w:t>
            </w:r>
          </w:p>
        </w:tc>
        <w:tc>
          <w:tcPr>
            <w:tcW w:w="3048" w:type="dxa"/>
            <w:vAlign w:val="top"/>
          </w:tcPr>
          <w:p>
            <w:pPr>
              <w:spacing w:before="268" w:line="220" w:lineRule="auto"/>
              <w:ind w:left="63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70" w:line="222" w:lineRule="auto"/>
              <w:ind w:left="107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499" w:type="dxa"/>
            <w:vAlign w:val="top"/>
          </w:tcPr>
          <w:p>
            <w:pPr>
              <w:spacing w:before="277" w:line="231" w:lineRule="auto"/>
              <w:ind w:left="125" w:right="10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1.每2个疗程需提供治疗有效的证据后方可继续支付；2.由三级医院血液专科或血液专</w:t>
            </w:r>
            <w:r>
              <w:rPr>
                <w:rFonts w:hint="default" w:ascii="Times New Roman" w:hAnsi="Times New Roman" w:eastAsia="仿宋_GB2312" w:cs="Times New Roman"/>
                <w:b w:val="0"/>
                <w:bCs w:val="0"/>
                <w:color w:val="auto"/>
                <w:spacing w:val="3"/>
                <w:sz w:val="24"/>
                <w:szCs w:val="24"/>
              </w:rPr>
              <w:t>科医院医师处方；3.与来那度胺联合使用时，只支付伊沙佐米或来那度胺</w:t>
            </w:r>
            <w:r>
              <w:rPr>
                <w:rFonts w:hint="default" w:ascii="Times New Roman" w:hAnsi="Times New Roman" w:eastAsia="仿宋_GB2312" w:cs="Times New Roman"/>
                <w:b w:val="0"/>
                <w:bCs w:val="0"/>
                <w:color w:val="auto"/>
                <w:spacing w:val="2"/>
                <w:sz w:val="24"/>
                <w:szCs w:val="24"/>
              </w:rPr>
              <w:t>中的一种。</w:t>
            </w:r>
          </w:p>
        </w:tc>
      </w:tr>
    </w:tbl>
    <w:p>
      <w:pPr>
        <w:rPr>
          <w:rFonts w:hint="default" w:ascii="Times New Roman" w:hAnsi="Times New Roman" w:eastAsia="仿宋_GB2312" w:cs="Times New Roman"/>
          <w:b w:val="0"/>
          <w:bCs w:val="0"/>
          <w:color w:val="auto"/>
          <w:sz w:val="24"/>
          <w:szCs w:val="24"/>
        </w:rPr>
      </w:pPr>
    </w:p>
    <w:p>
      <w:pPr>
        <w:rPr>
          <w:rFonts w:hint="default" w:ascii="Times New Roman" w:hAnsi="Times New Roman" w:eastAsia="仿宋_GB2312" w:cs="Times New Roman"/>
          <w:b w:val="0"/>
          <w:bCs w:val="0"/>
          <w:color w:val="auto"/>
          <w:sz w:val="24"/>
          <w:szCs w:val="24"/>
        </w:rPr>
        <w:sectPr>
          <w:footerReference r:id="rId5" w:type="default"/>
          <w:pgSz w:w="16830" w:h="11900"/>
          <w:pgMar w:top="1440" w:right="1080" w:bottom="1440" w:left="1080" w:header="0" w:footer="815" w:gutter="0"/>
          <w:pgNumType w:fmt="decimal"/>
          <w:cols w:space="720" w:num="1"/>
        </w:sectPr>
      </w:pPr>
    </w:p>
    <w:p>
      <w:pPr>
        <w:spacing w:line="93" w:lineRule="exact"/>
        <w:rPr>
          <w:rFonts w:hint="default" w:ascii="Times New Roman" w:hAnsi="Times New Roman" w:eastAsia="仿宋_GB2312" w:cs="Times New Roman"/>
          <w:b w:val="0"/>
          <w:bCs w:val="0"/>
          <w:color w:val="auto"/>
          <w:sz w:val="24"/>
          <w:szCs w:val="24"/>
        </w:rPr>
      </w:pPr>
    </w:p>
    <w:tbl>
      <w:tblPr>
        <w:tblStyle w:val="6"/>
        <w:tblW w:w="146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2318"/>
        <w:gridCol w:w="3048"/>
        <w:gridCol w:w="85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4" w:hRule="atLeast"/>
        </w:trPr>
        <w:tc>
          <w:tcPr>
            <w:tcW w:w="754" w:type="dxa"/>
            <w:vAlign w:val="top"/>
          </w:tcPr>
          <w:p>
            <w:pPr>
              <w:spacing w:before="142" w:line="221" w:lineRule="auto"/>
              <w:ind w:left="188"/>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5"/>
                <w:sz w:val="24"/>
                <w:szCs w:val="24"/>
              </w:rPr>
              <w:t>序号</w:t>
            </w:r>
          </w:p>
        </w:tc>
        <w:tc>
          <w:tcPr>
            <w:tcW w:w="2318" w:type="dxa"/>
            <w:vAlign w:val="top"/>
          </w:tcPr>
          <w:p>
            <w:pPr>
              <w:spacing w:before="141" w:line="220" w:lineRule="auto"/>
              <w:ind w:left="71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5"/>
                <w:sz w:val="24"/>
                <w:szCs w:val="24"/>
              </w:rPr>
              <w:t>药品名称</w:t>
            </w:r>
          </w:p>
        </w:tc>
        <w:tc>
          <w:tcPr>
            <w:tcW w:w="3048" w:type="dxa"/>
            <w:vAlign w:val="top"/>
          </w:tcPr>
          <w:p>
            <w:pPr>
              <w:spacing w:before="141" w:line="219" w:lineRule="auto"/>
              <w:ind w:left="156"/>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对应门诊特殊慢性病病种</w:t>
            </w:r>
          </w:p>
        </w:tc>
        <w:tc>
          <w:tcPr>
            <w:tcW w:w="8509" w:type="dxa"/>
            <w:vAlign w:val="top"/>
          </w:tcPr>
          <w:p>
            <w:pPr>
              <w:spacing w:before="142" w:line="221" w:lineRule="auto"/>
              <w:ind w:left="3878"/>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8"/>
                <w:sz w:val="24"/>
                <w:szCs w:val="24"/>
                <w:lang w:val="en-US" w:eastAsia="zh-CN"/>
              </w:rPr>
              <w:t>限定支付范围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08" w:hRule="atLeast"/>
        </w:trPr>
        <w:tc>
          <w:tcPr>
            <w:tcW w:w="754" w:type="dxa"/>
            <w:vAlign w:val="top"/>
          </w:tcPr>
          <w:p>
            <w:pPr>
              <w:spacing w:line="293" w:lineRule="auto"/>
              <w:rPr>
                <w:rFonts w:hint="default" w:ascii="Times New Roman" w:hAnsi="Times New Roman" w:eastAsia="仿宋_GB2312" w:cs="Times New Roman"/>
                <w:b w:val="0"/>
                <w:bCs w:val="0"/>
                <w:color w:val="auto"/>
                <w:sz w:val="24"/>
                <w:szCs w:val="24"/>
              </w:rPr>
            </w:pPr>
          </w:p>
          <w:p>
            <w:pPr>
              <w:spacing w:line="293" w:lineRule="auto"/>
              <w:rPr>
                <w:rFonts w:hint="default" w:ascii="Times New Roman" w:hAnsi="Times New Roman" w:eastAsia="仿宋_GB2312" w:cs="Times New Roman"/>
                <w:b w:val="0"/>
                <w:bCs w:val="0"/>
                <w:color w:val="auto"/>
                <w:sz w:val="24"/>
                <w:szCs w:val="24"/>
              </w:rPr>
            </w:pPr>
          </w:p>
          <w:p>
            <w:pPr>
              <w:spacing w:line="293" w:lineRule="auto"/>
              <w:rPr>
                <w:rFonts w:hint="default" w:ascii="Times New Roman" w:hAnsi="Times New Roman" w:eastAsia="仿宋_GB2312" w:cs="Times New Roman"/>
                <w:b w:val="0"/>
                <w:bCs w:val="0"/>
                <w:color w:val="auto"/>
                <w:sz w:val="24"/>
                <w:szCs w:val="24"/>
              </w:rPr>
            </w:pPr>
          </w:p>
          <w:p>
            <w:pPr>
              <w:spacing w:before="72" w:line="183" w:lineRule="auto"/>
              <w:ind w:left="18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23</w:t>
            </w:r>
          </w:p>
        </w:tc>
        <w:tc>
          <w:tcPr>
            <w:tcW w:w="2318" w:type="dxa"/>
            <w:vAlign w:val="top"/>
          </w:tcPr>
          <w:p>
            <w:pPr>
              <w:spacing w:line="274" w:lineRule="auto"/>
              <w:rPr>
                <w:rFonts w:hint="default" w:ascii="Times New Roman" w:hAnsi="Times New Roman" w:eastAsia="仿宋_GB2312" w:cs="Times New Roman"/>
                <w:b w:val="0"/>
                <w:bCs w:val="0"/>
                <w:color w:val="auto"/>
                <w:sz w:val="24"/>
                <w:szCs w:val="24"/>
              </w:rPr>
            </w:pPr>
          </w:p>
          <w:p>
            <w:pPr>
              <w:spacing w:line="274" w:lineRule="auto"/>
              <w:rPr>
                <w:rFonts w:hint="default" w:ascii="Times New Roman" w:hAnsi="Times New Roman" w:eastAsia="仿宋_GB2312" w:cs="Times New Roman"/>
                <w:b w:val="0"/>
                <w:bCs w:val="0"/>
                <w:color w:val="auto"/>
                <w:sz w:val="24"/>
                <w:szCs w:val="24"/>
              </w:rPr>
            </w:pPr>
          </w:p>
          <w:p>
            <w:pPr>
              <w:spacing w:line="274" w:lineRule="auto"/>
              <w:rPr>
                <w:rFonts w:hint="default" w:ascii="Times New Roman" w:hAnsi="Times New Roman" w:eastAsia="仿宋_GB2312" w:cs="Times New Roman"/>
                <w:b w:val="0"/>
                <w:bCs w:val="0"/>
                <w:color w:val="auto"/>
                <w:sz w:val="24"/>
                <w:szCs w:val="24"/>
              </w:rPr>
            </w:pPr>
          </w:p>
          <w:p>
            <w:pPr>
              <w:spacing w:before="71" w:line="219" w:lineRule="auto"/>
              <w:ind w:left="601"/>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依维莫司片</w:t>
            </w:r>
          </w:p>
        </w:tc>
        <w:tc>
          <w:tcPr>
            <w:tcW w:w="3048" w:type="dxa"/>
            <w:vAlign w:val="top"/>
          </w:tcPr>
          <w:p>
            <w:pPr>
              <w:spacing w:line="342" w:lineRule="auto"/>
              <w:rPr>
                <w:rFonts w:hint="default" w:ascii="Times New Roman" w:hAnsi="Times New Roman" w:eastAsia="仿宋_GB2312" w:cs="Times New Roman"/>
                <w:b w:val="0"/>
                <w:bCs w:val="0"/>
                <w:color w:val="auto"/>
                <w:sz w:val="24"/>
                <w:szCs w:val="24"/>
              </w:rPr>
            </w:pPr>
          </w:p>
          <w:p>
            <w:pPr>
              <w:spacing w:line="343" w:lineRule="auto"/>
              <w:rPr>
                <w:rFonts w:hint="default" w:ascii="Times New Roman" w:hAnsi="Times New Roman" w:eastAsia="仿宋_GB2312" w:cs="Times New Roman"/>
                <w:b w:val="0"/>
                <w:bCs w:val="0"/>
                <w:color w:val="auto"/>
                <w:sz w:val="24"/>
                <w:szCs w:val="24"/>
              </w:rPr>
            </w:pPr>
          </w:p>
          <w:p>
            <w:pPr>
              <w:spacing w:before="71" w:line="220" w:lineRule="auto"/>
              <w:ind w:left="63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60" w:line="222" w:lineRule="auto"/>
              <w:ind w:left="107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509" w:type="dxa"/>
            <w:vAlign w:val="top"/>
          </w:tcPr>
          <w:p>
            <w:pPr>
              <w:spacing w:before="149" w:line="261" w:lineRule="auto"/>
              <w:ind w:left="12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10"/>
                <w:sz w:val="24"/>
                <w:szCs w:val="24"/>
              </w:rPr>
              <w:t>限以下情况方可支付：1.接受舒尼替尼或索拉非尼治疗失败的晚期肾细胞癌成人患者。</w:t>
            </w:r>
            <w:r>
              <w:rPr>
                <w:rFonts w:hint="default" w:ascii="Times New Roman" w:hAnsi="Times New Roman" w:eastAsia="仿宋_GB2312" w:cs="Times New Roman"/>
                <w:b w:val="0"/>
                <w:bCs w:val="0"/>
                <w:color w:val="auto"/>
                <w:spacing w:val="11"/>
                <w:sz w:val="24"/>
                <w:szCs w:val="24"/>
              </w:rPr>
              <w:t>2.不可切除的、局部晚期或转移性的、分化良好的(中度分化或高度分化)</w:t>
            </w:r>
            <w:r>
              <w:rPr>
                <w:rFonts w:hint="default" w:ascii="Times New Roman" w:hAnsi="Times New Roman" w:eastAsia="仿宋_GB2312" w:cs="Times New Roman"/>
                <w:b w:val="0"/>
                <w:bCs w:val="0"/>
                <w:color w:val="auto"/>
                <w:spacing w:val="10"/>
                <w:sz w:val="24"/>
                <w:szCs w:val="24"/>
              </w:rPr>
              <w:t>进展期胰腺</w:t>
            </w:r>
            <w:r>
              <w:rPr>
                <w:rFonts w:hint="default" w:ascii="Times New Roman" w:hAnsi="Times New Roman" w:eastAsia="仿宋_GB2312" w:cs="Times New Roman"/>
                <w:b w:val="0"/>
                <w:bCs w:val="0"/>
                <w:color w:val="auto"/>
                <w:spacing w:val="8"/>
                <w:sz w:val="24"/>
                <w:szCs w:val="24"/>
              </w:rPr>
              <w:t>神经内分泌瘤成人患者。3.无法手术切除的、局部晚</w:t>
            </w:r>
            <w:r>
              <w:rPr>
                <w:rFonts w:hint="default" w:ascii="Times New Roman" w:hAnsi="Times New Roman" w:eastAsia="仿宋_GB2312" w:cs="Times New Roman"/>
                <w:b w:val="0"/>
                <w:bCs w:val="0"/>
                <w:color w:val="auto"/>
                <w:spacing w:val="7"/>
                <w:sz w:val="24"/>
                <w:szCs w:val="24"/>
              </w:rPr>
              <w:t>期或转移性的、分化良好的、进展</w:t>
            </w:r>
            <w:r>
              <w:rPr>
                <w:rFonts w:hint="default" w:ascii="Times New Roman" w:hAnsi="Times New Roman" w:eastAsia="仿宋_GB2312" w:cs="Times New Roman"/>
                <w:b w:val="0"/>
                <w:bCs w:val="0"/>
                <w:color w:val="auto"/>
                <w:spacing w:val="8"/>
                <w:sz w:val="24"/>
                <w:szCs w:val="24"/>
              </w:rPr>
              <w:t>期非功能性胃肠道或肺源神经内分泌肿瘤患者。4.不需立即手术治</w:t>
            </w:r>
            <w:r>
              <w:rPr>
                <w:rFonts w:hint="default" w:ascii="Times New Roman" w:hAnsi="Times New Roman" w:eastAsia="仿宋_GB2312" w:cs="Times New Roman"/>
                <w:b w:val="0"/>
                <w:bCs w:val="0"/>
                <w:color w:val="auto"/>
                <w:spacing w:val="7"/>
                <w:sz w:val="24"/>
                <w:szCs w:val="24"/>
              </w:rPr>
              <w:t>疗的结节性硬化症相</w:t>
            </w:r>
            <w:r>
              <w:rPr>
                <w:rFonts w:hint="default" w:ascii="Times New Roman" w:hAnsi="Times New Roman" w:eastAsia="仿宋_GB2312" w:cs="Times New Roman"/>
                <w:b w:val="0"/>
                <w:bCs w:val="0"/>
                <w:color w:val="auto"/>
                <w:spacing w:val="8"/>
                <w:sz w:val="24"/>
                <w:szCs w:val="24"/>
              </w:rPr>
              <w:t>关的肾血管平滑肌脂肪瘤(</w:t>
            </w:r>
            <w:r>
              <w:rPr>
                <w:rFonts w:hint="default" w:ascii="Times New Roman" w:hAnsi="Times New Roman" w:eastAsia="仿宋_GB2312" w:cs="Times New Roman"/>
                <w:b w:val="0"/>
                <w:bCs w:val="0"/>
                <w:color w:val="auto"/>
                <w:sz w:val="24"/>
                <w:szCs w:val="24"/>
              </w:rPr>
              <w:t>TSC</w:t>
            </w:r>
            <w:r>
              <w:rPr>
                <w:rFonts w:hint="default" w:ascii="Times New Roman" w:hAnsi="Times New Roman" w:eastAsia="仿宋_GB2312" w:cs="Times New Roman"/>
                <w:b w:val="0"/>
                <w:bCs w:val="0"/>
                <w:color w:val="auto"/>
                <w:spacing w:val="8"/>
                <w:sz w:val="24"/>
                <w:szCs w:val="24"/>
              </w:rPr>
              <w:t>-</w:t>
            </w:r>
            <w:r>
              <w:rPr>
                <w:rFonts w:hint="default" w:ascii="Times New Roman" w:hAnsi="Times New Roman" w:eastAsia="仿宋_GB2312" w:cs="Times New Roman"/>
                <w:b w:val="0"/>
                <w:bCs w:val="0"/>
                <w:color w:val="auto"/>
                <w:sz w:val="24"/>
                <w:szCs w:val="24"/>
              </w:rPr>
              <w:t>AML</w:t>
            </w:r>
            <w:r>
              <w:rPr>
                <w:rFonts w:hint="default" w:ascii="Times New Roman" w:hAnsi="Times New Roman" w:eastAsia="仿宋_GB2312" w:cs="Times New Roman"/>
                <w:b w:val="0"/>
                <w:bCs w:val="0"/>
                <w:color w:val="auto"/>
                <w:spacing w:val="8"/>
                <w:sz w:val="24"/>
                <w:szCs w:val="24"/>
              </w:rPr>
              <w:t>)成人患者。5.不能手术的结节性硬化症相关</w:t>
            </w:r>
            <w:r>
              <w:rPr>
                <w:rFonts w:hint="default" w:ascii="Times New Roman" w:hAnsi="Times New Roman" w:eastAsia="仿宋_GB2312" w:cs="Times New Roman"/>
                <w:b w:val="0"/>
                <w:bCs w:val="0"/>
                <w:color w:val="auto"/>
                <w:spacing w:val="7"/>
                <w:sz w:val="24"/>
                <w:szCs w:val="24"/>
              </w:rPr>
              <w:t>的室管</w:t>
            </w:r>
            <w:r>
              <w:rPr>
                <w:rFonts w:hint="default" w:ascii="Times New Roman" w:hAnsi="Times New Roman" w:eastAsia="仿宋_GB2312" w:cs="Times New Roman"/>
                <w:b w:val="0"/>
                <w:bCs w:val="0"/>
                <w:color w:val="auto"/>
                <w:spacing w:val="15"/>
                <w:sz w:val="24"/>
                <w:szCs w:val="24"/>
              </w:rPr>
              <w:t>膜下巨细胞星型细胞瘤的患者。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98" w:hRule="atLeast"/>
        </w:trPr>
        <w:tc>
          <w:tcPr>
            <w:tcW w:w="754" w:type="dxa"/>
            <w:vAlign w:val="top"/>
          </w:tcPr>
          <w:p>
            <w:pPr>
              <w:spacing w:line="290" w:lineRule="auto"/>
              <w:rPr>
                <w:rFonts w:hint="default" w:ascii="Times New Roman" w:hAnsi="Times New Roman" w:eastAsia="仿宋_GB2312" w:cs="Times New Roman"/>
                <w:b w:val="0"/>
                <w:bCs w:val="0"/>
                <w:color w:val="auto"/>
                <w:sz w:val="24"/>
                <w:szCs w:val="24"/>
              </w:rPr>
            </w:pPr>
          </w:p>
          <w:p>
            <w:pPr>
              <w:spacing w:line="290" w:lineRule="auto"/>
              <w:rPr>
                <w:rFonts w:hint="default" w:ascii="Times New Roman" w:hAnsi="Times New Roman" w:eastAsia="仿宋_GB2312" w:cs="Times New Roman"/>
                <w:b w:val="0"/>
                <w:bCs w:val="0"/>
                <w:color w:val="auto"/>
                <w:sz w:val="24"/>
                <w:szCs w:val="24"/>
              </w:rPr>
            </w:pPr>
          </w:p>
          <w:p>
            <w:pPr>
              <w:spacing w:line="291" w:lineRule="auto"/>
              <w:rPr>
                <w:rFonts w:hint="default" w:ascii="Times New Roman" w:hAnsi="Times New Roman" w:eastAsia="仿宋_GB2312" w:cs="Times New Roman"/>
                <w:b w:val="0"/>
                <w:bCs w:val="0"/>
                <w:color w:val="auto"/>
                <w:sz w:val="24"/>
                <w:szCs w:val="24"/>
              </w:rPr>
            </w:pPr>
          </w:p>
          <w:p>
            <w:pPr>
              <w:spacing w:before="72" w:line="183" w:lineRule="auto"/>
              <w:ind w:left="18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24</w:t>
            </w:r>
          </w:p>
        </w:tc>
        <w:tc>
          <w:tcPr>
            <w:tcW w:w="2318" w:type="dxa"/>
            <w:vAlign w:val="top"/>
          </w:tcPr>
          <w:p>
            <w:pPr>
              <w:spacing w:line="271" w:lineRule="auto"/>
              <w:rPr>
                <w:rFonts w:hint="default" w:ascii="Times New Roman" w:hAnsi="Times New Roman" w:eastAsia="仿宋_GB2312" w:cs="Times New Roman"/>
                <w:b w:val="0"/>
                <w:bCs w:val="0"/>
                <w:color w:val="auto"/>
                <w:sz w:val="24"/>
                <w:szCs w:val="24"/>
              </w:rPr>
            </w:pPr>
          </w:p>
          <w:p>
            <w:pPr>
              <w:spacing w:line="271" w:lineRule="auto"/>
              <w:rPr>
                <w:rFonts w:hint="default" w:ascii="Times New Roman" w:hAnsi="Times New Roman" w:eastAsia="仿宋_GB2312" w:cs="Times New Roman"/>
                <w:b w:val="0"/>
                <w:bCs w:val="0"/>
                <w:color w:val="auto"/>
                <w:sz w:val="24"/>
                <w:szCs w:val="24"/>
              </w:rPr>
            </w:pPr>
          </w:p>
          <w:p>
            <w:pPr>
              <w:spacing w:line="272" w:lineRule="auto"/>
              <w:rPr>
                <w:rFonts w:hint="default" w:ascii="Times New Roman" w:hAnsi="Times New Roman" w:eastAsia="仿宋_GB2312" w:cs="Times New Roman"/>
                <w:b w:val="0"/>
                <w:bCs w:val="0"/>
                <w:color w:val="auto"/>
                <w:sz w:val="24"/>
                <w:szCs w:val="24"/>
              </w:rPr>
            </w:pPr>
          </w:p>
          <w:p>
            <w:pPr>
              <w:spacing w:before="71" w:line="219" w:lineRule="auto"/>
              <w:ind w:left="49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1"/>
                <w:sz w:val="24"/>
                <w:szCs w:val="24"/>
              </w:rPr>
              <w:t>泽布替尼胶囊</w:t>
            </w:r>
          </w:p>
        </w:tc>
        <w:tc>
          <w:tcPr>
            <w:tcW w:w="3048" w:type="dxa"/>
            <w:vAlign w:val="top"/>
          </w:tcPr>
          <w:p>
            <w:pPr>
              <w:spacing w:line="348" w:lineRule="auto"/>
              <w:rPr>
                <w:rFonts w:hint="default" w:ascii="Times New Roman" w:hAnsi="Times New Roman" w:eastAsia="仿宋_GB2312" w:cs="Times New Roman"/>
                <w:b w:val="0"/>
                <w:bCs w:val="0"/>
                <w:color w:val="auto"/>
                <w:sz w:val="24"/>
                <w:szCs w:val="24"/>
              </w:rPr>
            </w:pPr>
          </w:p>
          <w:p>
            <w:pPr>
              <w:spacing w:line="348" w:lineRule="auto"/>
              <w:rPr>
                <w:rFonts w:hint="default" w:ascii="Times New Roman" w:hAnsi="Times New Roman" w:eastAsia="仿宋_GB2312" w:cs="Times New Roman"/>
                <w:b w:val="0"/>
                <w:bCs w:val="0"/>
                <w:color w:val="auto"/>
                <w:sz w:val="24"/>
                <w:szCs w:val="24"/>
              </w:rPr>
            </w:pPr>
          </w:p>
          <w:p>
            <w:pPr>
              <w:spacing w:before="72" w:line="220" w:lineRule="auto"/>
              <w:ind w:left="63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50" w:line="222" w:lineRule="auto"/>
              <w:ind w:left="107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509" w:type="dxa"/>
            <w:vAlign w:val="top"/>
          </w:tcPr>
          <w:p>
            <w:pPr>
              <w:spacing w:before="169" w:line="245" w:lineRule="auto"/>
              <w:ind w:left="124" w:right="1"/>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1.既往至少接受过一种治疗的成人套细胞淋巴瘤(</w:t>
            </w:r>
            <w:r>
              <w:rPr>
                <w:rFonts w:hint="default" w:ascii="Times New Roman" w:hAnsi="Times New Roman" w:eastAsia="仿宋_GB2312" w:cs="Times New Roman"/>
                <w:b w:val="0"/>
                <w:bCs w:val="0"/>
                <w:color w:val="auto"/>
                <w:sz w:val="24"/>
                <w:szCs w:val="24"/>
              </w:rPr>
              <w:t>MCL</w:t>
            </w:r>
            <w:r>
              <w:rPr>
                <w:rFonts w:hint="default" w:ascii="Times New Roman" w:hAnsi="Times New Roman" w:eastAsia="仿宋_GB2312" w:cs="Times New Roman"/>
                <w:b w:val="0"/>
                <w:bCs w:val="0"/>
                <w:color w:val="auto"/>
                <w:spacing w:val="6"/>
                <w:sz w:val="24"/>
                <w:szCs w:val="24"/>
              </w:rPr>
              <w:t>)患者。2.既往至少接受过一种</w:t>
            </w:r>
            <w:r>
              <w:rPr>
                <w:rFonts w:hint="default" w:ascii="Times New Roman" w:hAnsi="Times New Roman" w:eastAsia="仿宋_GB2312" w:cs="Times New Roman"/>
                <w:b w:val="0"/>
                <w:bCs w:val="0"/>
                <w:color w:val="auto"/>
                <w:spacing w:val="13"/>
                <w:sz w:val="24"/>
                <w:szCs w:val="24"/>
              </w:rPr>
              <w:t>治疗的成人慢性淋巴细胞白血病(</w:t>
            </w:r>
            <w:r>
              <w:rPr>
                <w:rFonts w:hint="default" w:ascii="Times New Roman" w:hAnsi="Times New Roman" w:eastAsia="仿宋_GB2312" w:cs="Times New Roman"/>
                <w:b w:val="0"/>
                <w:bCs w:val="0"/>
                <w:color w:val="auto"/>
                <w:sz w:val="24"/>
                <w:szCs w:val="24"/>
              </w:rPr>
              <w:t>CLL</w:t>
            </w:r>
            <w:r>
              <w:rPr>
                <w:rFonts w:hint="default" w:ascii="Times New Roman" w:hAnsi="Times New Roman" w:eastAsia="仿宋_GB2312" w:cs="Times New Roman"/>
                <w:b w:val="0"/>
                <w:bCs w:val="0"/>
                <w:color w:val="auto"/>
                <w:spacing w:val="13"/>
                <w:sz w:val="24"/>
                <w:szCs w:val="24"/>
              </w:rPr>
              <w:t>)/小淋巴细胞</w:t>
            </w:r>
            <w:r>
              <w:rPr>
                <w:rFonts w:hint="default" w:ascii="Times New Roman" w:hAnsi="Times New Roman" w:eastAsia="仿宋_GB2312" w:cs="Times New Roman"/>
                <w:b w:val="0"/>
                <w:bCs w:val="0"/>
                <w:color w:val="auto"/>
                <w:spacing w:val="12"/>
                <w:sz w:val="24"/>
                <w:szCs w:val="24"/>
              </w:rPr>
              <w:t>淋巴瘤(</w:t>
            </w:r>
            <w:r>
              <w:rPr>
                <w:rFonts w:hint="default" w:ascii="Times New Roman" w:hAnsi="Times New Roman" w:eastAsia="仿宋_GB2312" w:cs="Times New Roman"/>
                <w:b w:val="0"/>
                <w:bCs w:val="0"/>
                <w:color w:val="auto"/>
                <w:sz w:val="24"/>
                <w:szCs w:val="24"/>
              </w:rPr>
              <w:t>SLL</w:t>
            </w:r>
            <w:r>
              <w:rPr>
                <w:rFonts w:hint="default" w:ascii="Times New Roman" w:hAnsi="Times New Roman" w:eastAsia="仿宋_GB2312" w:cs="Times New Roman"/>
                <w:b w:val="0"/>
                <w:bCs w:val="0"/>
                <w:color w:val="auto"/>
                <w:spacing w:val="12"/>
                <w:sz w:val="24"/>
                <w:szCs w:val="24"/>
              </w:rPr>
              <w:t>)患者。分别基于一</w:t>
            </w:r>
            <w:r>
              <w:rPr>
                <w:rFonts w:hint="default" w:ascii="Times New Roman" w:hAnsi="Times New Roman" w:eastAsia="仿宋_GB2312" w:cs="Times New Roman"/>
                <w:b w:val="0"/>
                <w:bCs w:val="0"/>
                <w:color w:val="auto"/>
                <w:sz w:val="24"/>
                <w:szCs w:val="24"/>
              </w:rPr>
              <w:t xml:space="preserve">  项单臂临床试验的客观缓解率结果附条件批准上述适应症，完全批准将取决于正在开展中的确证性随机对照临床试验结果。3.既往至少接受过一种治疗的成人华氏巨球蛋白血</w:t>
            </w:r>
            <w:r>
              <w:rPr>
                <w:rFonts w:hint="default" w:ascii="Times New Roman" w:hAnsi="Times New Roman" w:eastAsia="仿宋_GB2312" w:cs="Times New Roman"/>
                <w:b w:val="0"/>
                <w:bCs w:val="0"/>
                <w:color w:val="auto"/>
                <w:spacing w:val="3"/>
                <w:sz w:val="24"/>
                <w:szCs w:val="24"/>
              </w:rPr>
              <w:t>症(</w:t>
            </w:r>
            <w:r>
              <w:rPr>
                <w:rFonts w:hint="default" w:ascii="Times New Roman" w:hAnsi="Times New Roman" w:eastAsia="仿宋_GB2312" w:cs="Times New Roman"/>
                <w:b w:val="0"/>
                <w:bCs w:val="0"/>
                <w:color w:val="auto"/>
                <w:sz w:val="24"/>
                <w:szCs w:val="24"/>
              </w:rPr>
              <w:t>WM</w:t>
            </w:r>
            <w:r>
              <w:rPr>
                <w:rFonts w:hint="default" w:ascii="Times New Roman" w:hAnsi="Times New Roman" w:eastAsia="仿宋_GB2312" w:cs="Times New Roman"/>
                <w:b w:val="0"/>
                <w:bCs w:val="0"/>
                <w:color w:val="auto"/>
                <w:spacing w:val="3"/>
                <w:sz w:val="24"/>
                <w:szCs w:val="24"/>
              </w:rPr>
              <w:t>)患者。基于一项单臂临床试验的主要缓解率结果附条件批准上述适应症，完</w:t>
            </w:r>
            <w:r>
              <w:rPr>
                <w:rFonts w:hint="default" w:ascii="Times New Roman" w:hAnsi="Times New Roman" w:eastAsia="仿宋_GB2312" w:cs="Times New Roman"/>
                <w:b w:val="0"/>
                <w:bCs w:val="0"/>
                <w:color w:val="auto"/>
                <w:spacing w:val="2"/>
                <w:sz w:val="24"/>
                <w:szCs w:val="24"/>
              </w:rPr>
              <w:t>全</w:t>
            </w:r>
            <w:r>
              <w:rPr>
                <w:rFonts w:hint="default" w:ascii="Times New Roman" w:hAnsi="Times New Roman" w:eastAsia="仿宋_GB2312" w:cs="Times New Roman"/>
                <w:b w:val="0"/>
                <w:bCs w:val="0"/>
                <w:color w:val="auto"/>
                <w:spacing w:val="4"/>
                <w:sz w:val="24"/>
                <w:szCs w:val="24"/>
              </w:rPr>
              <w:t>批准将取决于正在开展中的确证性随机对照临床试验结果。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8" w:hRule="atLeast"/>
        </w:trPr>
        <w:tc>
          <w:tcPr>
            <w:tcW w:w="754" w:type="dxa"/>
            <w:vAlign w:val="top"/>
          </w:tcPr>
          <w:p>
            <w:pPr>
              <w:spacing w:line="476" w:lineRule="auto"/>
              <w:rPr>
                <w:rFonts w:hint="default" w:ascii="Times New Roman" w:hAnsi="Times New Roman" w:eastAsia="仿宋_GB2312" w:cs="Times New Roman"/>
                <w:b w:val="0"/>
                <w:bCs w:val="0"/>
                <w:color w:val="auto"/>
                <w:sz w:val="24"/>
                <w:szCs w:val="24"/>
              </w:rPr>
            </w:pPr>
          </w:p>
          <w:p>
            <w:pPr>
              <w:spacing w:before="71" w:line="183" w:lineRule="auto"/>
              <w:ind w:left="18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25</w:t>
            </w:r>
          </w:p>
        </w:tc>
        <w:tc>
          <w:tcPr>
            <w:tcW w:w="2318" w:type="dxa"/>
            <w:vAlign w:val="top"/>
          </w:tcPr>
          <w:p>
            <w:pPr>
              <w:spacing w:line="420" w:lineRule="auto"/>
              <w:rPr>
                <w:rFonts w:hint="default" w:ascii="Times New Roman" w:hAnsi="Times New Roman" w:eastAsia="仿宋_GB2312" w:cs="Times New Roman"/>
                <w:b w:val="0"/>
                <w:bCs w:val="0"/>
                <w:color w:val="auto"/>
                <w:sz w:val="24"/>
                <w:szCs w:val="24"/>
              </w:rPr>
            </w:pPr>
          </w:p>
          <w:p>
            <w:pPr>
              <w:spacing w:before="71" w:line="219" w:lineRule="auto"/>
              <w:ind w:left="27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海曲泊帕乙醇胺片</w:t>
            </w:r>
          </w:p>
        </w:tc>
        <w:tc>
          <w:tcPr>
            <w:tcW w:w="3048" w:type="dxa"/>
            <w:vAlign w:val="top"/>
          </w:tcPr>
          <w:p>
            <w:pPr>
              <w:spacing w:before="112" w:line="219" w:lineRule="auto"/>
              <w:ind w:left="63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免疫性血小板减少</w:t>
            </w:r>
          </w:p>
          <w:p>
            <w:pPr>
              <w:spacing w:before="23" w:line="222" w:lineRule="auto"/>
              <w:ind w:left="107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(M01501)</w:t>
            </w:r>
          </w:p>
          <w:p>
            <w:pPr>
              <w:spacing w:before="12" w:line="219" w:lineRule="auto"/>
              <w:ind w:left="74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再生障碍性贫血</w:t>
            </w:r>
          </w:p>
          <w:p>
            <w:pPr>
              <w:spacing w:before="12" w:line="210" w:lineRule="auto"/>
              <w:ind w:left="107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(M01102)</w:t>
            </w:r>
          </w:p>
        </w:tc>
        <w:tc>
          <w:tcPr>
            <w:tcW w:w="8509" w:type="dxa"/>
            <w:vAlign w:val="top"/>
          </w:tcPr>
          <w:p>
            <w:pPr>
              <w:spacing w:before="253" w:line="227" w:lineRule="auto"/>
              <w:ind w:left="124" w:right="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1.本品适用于既往对糖皮质激素、免疫球蛋白等治疗反应不佳的慢性原发免疫性血小板</w:t>
            </w:r>
            <w:r>
              <w:rPr>
                <w:rFonts w:hint="default" w:ascii="Times New Roman" w:hAnsi="Times New Roman" w:eastAsia="仿宋_GB2312" w:cs="Times New Roman"/>
                <w:b w:val="0"/>
                <w:bCs w:val="0"/>
                <w:color w:val="auto"/>
                <w:spacing w:val="1"/>
                <w:sz w:val="24"/>
                <w:szCs w:val="24"/>
              </w:rPr>
              <w:t>减少症(</w:t>
            </w:r>
            <w:r>
              <w:rPr>
                <w:rFonts w:hint="default" w:ascii="Times New Roman" w:hAnsi="Times New Roman" w:eastAsia="仿宋_GB2312" w:cs="Times New Roman"/>
                <w:b w:val="0"/>
                <w:bCs w:val="0"/>
                <w:color w:val="auto"/>
                <w:sz w:val="24"/>
                <w:szCs w:val="24"/>
              </w:rPr>
              <w:t>ITP</w:t>
            </w:r>
            <w:r>
              <w:rPr>
                <w:rFonts w:hint="default" w:ascii="Times New Roman" w:hAnsi="Times New Roman" w:eastAsia="仿宋_GB2312" w:cs="Times New Roman"/>
                <w:b w:val="0"/>
                <w:bCs w:val="0"/>
                <w:color w:val="auto"/>
                <w:spacing w:val="1"/>
                <w:sz w:val="24"/>
                <w:szCs w:val="24"/>
              </w:rPr>
              <w:t xml:space="preserve">)成人患者，使血小板计数升高并减少或防止出血。2.本品仅用于因血小板 </w:t>
            </w:r>
            <w:r>
              <w:rPr>
                <w:rFonts w:hint="default" w:ascii="Times New Roman" w:hAnsi="Times New Roman" w:eastAsia="仿宋_GB2312" w:cs="Times New Roman"/>
                <w:b w:val="0"/>
                <w:bCs w:val="0"/>
                <w:color w:val="auto"/>
                <w:spacing w:val="5"/>
                <w:sz w:val="24"/>
                <w:szCs w:val="24"/>
              </w:rPr>
              <w:t>减少和临床条件导致出血风险增加的</w:t>
            </w:r>
            <w:r>
              <w:rPr>
                <w:rFonts w:hint="default" w:ascii="Times New Roman" w:hAnsi="Times New Roman" w:eastAsia="仿宋_GB2312" w:cs="Times New Roman"/>
                <w:b w:val="0"/>
                <w:bCs w:val="0"/>
                <w:color w:val="auto"/>
                <w:sz w:val="24"/>
                <w:szCs w:val="24"/>
              </w:rPr>
              <w:t>ITP</w:t>
            </w:r>
            <w:r>
              <w:rPr>
                <w:rFonts w:hint="default" w:ascii="Times New Roman" w:hAnsi="Times New Roman" w:eastAsia="仿宋_GB2312" w:cs="Times New Roman"/>
                <w:b w:val="0"/>
                <w:bCs w:val="0"/>
                <w:color w:val="auto"/>
                <w:spacing w:val="5"/>
                <w:sz w:val="24"/>
                <w:szCs w:val="24"/>
              </w:rPr>
              <w:t>患者。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754" w:type="dxa"/>
            <w:vAlign w:val="top"/>
          </w:tcPr>
          <w:p>
            <w:pPr>
              <w:spacing w:before="302" w:line="183" w:lineRule="auto"/>
              <w:ind w:left="18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26</w:t>
            </w:r>
          </w:p>
        </w:tc>
        <w:tc>
          <w:tcPr>
            <w:tcW w:w="2318" w:type="dxa"/>
            <w:vAlign w:val="top"/>
          </w:tcPr>
          <w:p>
            <w:pPr>
              <w:spacing w:before="244" w:line="219" w:lineRule="auto"/>
              <w:ind w:left="161"/>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1"/>
                <w:sz w:val="24"/>
                <w:szCs w:val="24"/>
              </w:rPr>
              <w:t>甲苯磺酸多纳非尼片</w:t>
            </w:r>
          </w:p>
        </w:tc>
        <w:tc>
          <w:tcPr>
            <w:tcW w:w="3048" w:type="dxa"/>
            <w:vAlign w:val="top"/>
          </w:tcPr>
          <w:p>
            <w:pPr>
              <w:spacing w:before="136" w:line="220" w:lineRule="auto"/>
              <w:ind w:left="63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20" w:line="222" w:lineRule="auto"/>
              <w:ind w:left="107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509" w:type="dxa"/>
            <w:vAlign w:val="top"/>
          </w:tcPr>
          <w:p>
            <w:pPr>
              <w:spacing w:before="244" w:line="219" w:lineRule="auto"/>
              <w:ind w:left="12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4"/>
                <w:sz w:val="24"/>
                <w:szCs w:val="24"/>
              </w:rPr>
              <w:t>本品用于既往未接受过全身系统性治疗的不可切除</w:t>
            </w:r>
            <w:r>
              <w:rPr>
                <w:rFonts w:hint="default" w:ascii="Times New Roman" w:hAnsi="Times New Roman" w:eastAsia="仿宋_GB2312" w:cs="Times New Roman"/>
                <w:b w:val="0"/>
                <w:bCs w:val="0"/>
                <w:color w:val="auto"/>
                <w:spacing w:val="3"/>
                <w:sz w:val="24"/>
                <w:szCs w:val="24"/>
              </w:rPr>
              <w:t>肝细胞癌患者。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9" w:hRule="atLeast"/>
        </w:trPr>
        <w:tc>
          <w:tcPr>
            <w:tcW w:w="754" w:type="dxa"/>
            <w:vAlign w:val="top"/>
          </w:tcPr>
          <w:p>
            <w:pPr>
              <w:spacing w:line="280" w:lineRule="auto"/>
              <w:rPr>
                <w:rFonts w:hint="default" w:ascii="Times New Roman" w:hAnsi="Times New Roman" w:eastAsia="仿宋_GB2312" w:cs="Times New Roman"/>
                <w:b w:val="0"/>
                <w:bCs w:val="0"/>
                <w:color w:val="auto"/>
                <w:sz w:val="24"/>
                <w:szCs w:val="24"/>
              </w:rPr>
            </w:pPr>
          </w:p>
          <w:p>
            <w:pPr>
              <w:spacing w:before="72" w:line="183" w:lineRule="auto"/>
              <w:ind w:left="18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27</w:t>
            </w:r>
          </w:p>
        </w:tc>
        <w:tc>
          <w:tcPr>
            <w:tcW w:w="2318" w:type="dxa"/>
            <w:vAlign w:val="top"/>
          </w:tcPr>
          <w:p>
            <w:pPr>
              <w:spacing w:before="297" w:line="219" w:lineRule="auto"/>
              <w:ind w:left="27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1"/>
                <w:sz w:val="24"/>
                <w:szCs w:val="24"/>
              </w:rPr>
              <w:t>盐酸恩沙替尼胶囊</w:t>
            </w:r>
          </w:p>
        </w:tc>
        <w:tc>
          <w:tcPr>
            <w:tcW w:w="3048" w:type="dxa"/>
            <w:vAlign w:val="top"/>
          </w:tcPr>
          <w:p>
            <w:pPr>
              <w:spacing w:before="157" w:line="220" w:lineRule="auto"/>
              <w:ind w:left="63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60" w:line="222" w:lineRule="auto"/>
              <w:ind w:left="107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509" w:type="dxa"/>
            <w:vAlign w:val="top"/>
          </w:tcPr>
          <w:p>
            <w:pPr>
              <w:spacing w:before="175" w:line="218" w:lineRule="auto"/>
              <w:ind w:left="12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4"/>
                <w:sz w:val="24"/>
                <w:szCs w:val="24"/>
              </w:rPr>
              <w:t>适用于此前接受过克唑替尼治疗后进展的或者对克唑替尼不耐受的间变性淋巴瘤激酶</w:t>
            </w:r>
          </w:p>
          <w:p>
            <w:pPr>
              <w:spacing w:before="32" w:line="219" w:lineRule="auto"/>
              <w:ind w:left="24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10"/>
                <w:sz w:val="24"/>
                <w:szCs w:val="24"/>
              </w:rPr>
              <w:t>(</w:t>
            </w:r>
            <w:r>
              <w:rPr>
                <w:rFonts w:hint="default" w:ascii="Times New Roman" w:hAnsi="Times New Roman" w:eastAsia="仿宋_GB2312" w:cs="Times New Roman"/>
                <w:b w:val="0"/>
                <w:bCs w:val="0"/>
                <w:color w:val="auto"/>
                <w:sz w:val="24"/>
                <w:szCs w:val="24"/>
              </w:rPr>
              <w:t>ALK</w:t>
            </w:r>
            <w:r>
              <w:rPr>
                <w:rFonts w:hint="default" w:ascii="Times New Roman" w:hAnsi="Times New Roman" w:eastAsia="仿宋_GB2312" w:cs="Times New Roman"/>
                <w:b w:val="0"/>
                <w:bCs w:val="0"/>
                <w:color w:val="auto"/>
                <w:spacing w:val="10"/>
                <w:sz w:val="24"/>
                <w:szCs w:val="24"/>
              </w:rPr>
              <w:t>)阳性的局部晚期或转移性非小细胞肺癌(</w:t>
            </w:r>
            <w:r>
              <w:rPr>
                <w:rFonts w:hint="default" w:ascii="Times New Roman" w:hAnsi="Times New Roman" w:eastAsia="仿宋_GB2312" w:cs="Times New Roman"/>
                <w:b w:val="0"/>
                <w:bCs w:val="0"/>
                <w:color w:val="auto"/>
                <w:sz w:val="24"/>
                <w:szCs w:val="24"/>
              </w:rPr>
              <w:t>NSCLC</w:t>
            </w:r>
            <w:r>
              <w:rPr>
                <w:rFonts w:hint="default" w:ascii="Times New Roman" w:hAnsi="Times New Roman" w:eastAsia="仿宋_GB2312" w:cs="Times New Roman"/>
                <w:b w:val="0"/>
                <w:bCs w:val="0"/>
                <w:color w:val="auto"/>
                <w:spacing w:val="10"/>
                <w:sz w:val="24"/>
                <w:szCs w:val="24"/>
              </w:rPr>
              <w:t>)患者的治疗。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43" w:hRule="atLeast"/>
        </w:trPr>
        <w:tc>
          <w:tcPr>
            <w:tcW w:w="754" w:type="dxa"/>
            <w:vAlign w:val="top"/>
          </w:tcPr>
          <w:p>
            <w:pPr>
              <w:spacing w:line="299" w:lineRule="auto"/>
              <w:rPr>
                <w:rFonts w:hint="default" w:ascii="Times New Roman" w:hAnsi="Times New Roman" w:eastAsia="仿宋_GB2312" w:cs="Times New Roman"/>
                <w:b w:val="0"/>
                <w:bCs w:val="0"/>
                <w:color w:val="auto"/>
                <w:sz w:val="24"/>
                <w:szCs w:val="24"/>
              </w:rPr>
            </w:pPr>
          </w:p>
          <w:p>
            <w:pPr>
              <w:spacing w:line="299" w:lineRule="auto"/>
              <w:rPr>
                <w:rFonts w:hint="default" w:ascii="Times New Roman" w:hAnsi="Times New Roman" w:eastAsia="仿宋_GB2312" w:cs="Times New Roman"/>
                <w:b w:val="0"/>
                <w:bCs w:val="0"/>
                <w:color w:val="auto"/>
                <w:sz w:val="24"/>
                <w:szCs w:val="24"/>
              </w:rPr>
            </w:pPr>
          </w:p>
          <w:p>
            <w:pPr>
              <w:spacing w:line="299" w:lineRule="auto"/>
              <w:rPr>
                <w:rFonts w:hint="default" w:ascii="Times New Roman" w:hAnsi="Times New Roman" w:eastAsia="仿宋_GB2312" w:cs="Times New Roman"/>
                <w:b w:val="0"/>
                <w:bCs w:val="0"/>
                <w:color w:val="auto"/>
                <w:sz w:val="24"/>
                <w:szCs w:val="24"/>
              </w:rPr>
            </w:pPr>
          </w:p>
          <w:p>
            <w:pPr>
              <w:spacing w:before="72" w:line="183" w:lineRule="auto"/>
              <w:ind w:left="18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28</w:t>
            </w:r>
          </w:p>
        </w:tc>
        <w:tc>
          <w:tcPr>
            <w:tcW w:w="2318" w:type="dxa"/>
            <w:vAlign w:val="top"/>
          </w:tcPr>
          <w:p>
            <w:pPr>
              <w:spacing w:line="279" w:lineRule="auto"/>
              <w:rPr>
                <w:rFonts w:hint="default" w:ascii="Times New Roman" w:hAnsi="Times New Roman" w:eastAsia="仿宋_GB2312" w:cs="Times New Roman"/>
                <w:b w:val="0"/>
                <w:bCs w:val="0"/>
                <w:color w:val="auto"/>
                <w:sz w:val="24"/>
                <w:szCs w:val="24"/>
              </w:rPr>
            </w:pPr>
          </w:p>
          <w:p>
            <w:pPr>
              <w:spacing w:line="280" w:lineRule="auto"/>
              <w:rPr>
                <w:rFonts w:hint="default" w:ascii="Times New Roman" w:hAnsi="Times New Roman" w:eastAsia="仿宋_GB2312" w:cs="Times New Roman"/>
                <w:b w:val="0"/>
                <w:bCs w:val="0"/>
                <w:color w:val="auto"/>
                <w:sz w:val="24"/>
                <w:szCs w:val="24"/>
              </w:rPr>
            </w:pPr>
          </w:p>
          <w:p>
            <w:pPr>
              <w:spacing w:line="280" w:lineRule="auto"/>
              <w:rPr>
                <w:rFonts w:hint="default" w:ascii="Times New Roman" w:hAnsi="Times New Roman" w:eastAsia="仿宋_GB2312" w:cs="Times New Roman"/>
                <w:b w:val="0"/>
                <w:bCs w:val="0"/>
                <w:color w:val="auto"/>
                <w:sz w:val="24"/>
                <w:szCs w:val="24"/>
              </w:rPr>
            </w:pPr>
          </w:p>
          <w:p>
            <w:pPr>
              <w:spacing w:before="72" w:line="219" w:lineRule="auto"/>
              <w:ind w:left="27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甲磺酸伏美替尼片</w:t>
            </w:r>
          </w:p>
        </w:tc>
        <w:tc>
          <w:tcPr>
            <w:tcW w:w="3048" w:type="dxa"/>
            <w:vAlign w:val="top"/>
          </w:tcPr>
          <w:p>
            <w:pPr>
              <w:spacing w:line="247" w:lineRule="auto"/>
              <w:rPr>
                <w:rFonts w:hint="default" w:ascii="Times New Roman" w:hAnsi="Times New Roman" w:eastAsia="仿宋_GB2312" w:cs="Times New Roman"/>
                <w:b w:val="0"/>
                <w:bCs w:val="0"/>
                <w:color w:val="auto"/>
                <w:sz w:val="24"/>
                <w:szCs w:val="24"/>
              </w:rPr>
            </w:pPr>
          </w:p>
          <w:p>
            <w:pPr>
              <w:spacing w:line="247" w:lineRule="auto"/>
              <w:rPr>
                <w:rFonts w:hint="default" w:ascii="Times New Roman" w:hAnsi="Times New Roman" w:eastAsia="仿宋_GB2312" w:cs="Times New Roman"/>
                <w:b w:val="0"/>
                <w:bCs w:val="0"/>
                <w:color w:val="auto"/>
                <w:sz w:val="24"/>
                <w:szCs w:val="24"/>
              </w:rPr>
            </w:pPr>
          </w:p>
          <w:p>
            <w:pPr>
              <w:spacing w:line="248" w:lineRule="auto"/>
              <w:rPr>
                <w:rFonts w:hint="default" w:ascii="Times New Roman" w:hAnsi="Times New Roman" w:eastAsia="仿宋_GB2312" w:cs="Times New Roman"/>
                <w:b w:val="0"/>
                <w:bCs w:val="0"/>
                <w:color w:val="auto"/>
                <w:sz w:val="24"/>
                <w:szCs w:val="24"/>
              </w:rPr>
            </w:pPr>
          </w:p>
          <w:p>
            <w:pPr>
              <w:spacing w:before="72" w:line="220" w:lineRule="auto"/>
              <w:ind w:left="63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40" w:line="222" w:lineRule="auto"/>
              <w:ind w:left="107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509" w:type="dxa"/>
            <w:vAlign w:val="top"/>
          </w:tcPr>
          <w:p>
            <w:pPr>
              <w:spacing w:before="185" w:line="252" w:lineRule="auto"/>
              <w:ind w:left="124" w:right="8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本品用于既往经表皮生长因子受体(EGFR)酪氨酸激酶抑制剂(TKI</w:t>
            </w:r>
            <w:r>
              <w:rPr>
                <w:rFonts w:hint="default" w:ascii="Times New Roman" w:hAnsi="Times New Roman" w:eastAsia="仿宋_GB2312" w:cs="Times New Roman"/>
                <w:b w:val="0"/>
                <w:bCs w:val="0"/>
                <w:color w:val="auto"/>
                <w:spacing w:val="-1"/>
                <w:sz w:val="24"/>
                <w:szCs w:val="24"/>
              </w:rPr>
              <w:t>)治疗时或治疗后出现</w:t>
            </w:r>
            <w:r>
              <w:rPr>
                <w:rFonts w:hint="default" w:ascii="Times New Roman" w:hAnsi="Times New Roman" w:eastAsia="仿宋_GB2312" w:cs="Times New Roman"/>
                <w:b w:val="0"/>
                <w:bCs w:val="0"/>
                <w:color w:val="auto"/>
                <w:spacing w:val="4"/>
                <w:sz w:val="24"/>
                <w:szCs w:val="24"/>
              </w:rPr>
              <w:t>疾病进展，并且经检测确认存在</w:t>
            </w:r>
            <w:r>
              <w:rPr>
                <w:rFonts w:hint="default" w:ascii="Times New Roman" w:hAnsi="Times New Roman" w:eastAsia="仿宋_GB2312" w:cs="Times New Roman"/>
                <w:b w:val="0"/>
                <w:bCs w:val="0"/>
                <w:color w:val="auto"/>
                <w:sz w:val="24"/>
                <w:szCs w:val="24"/>
              </w:rPr>
              <w:t>EGFRT</w:t>
            </w:r>
            <w:r>
              <w:rPr>
                <w:rFonts w:hint="default" w:ascii="Times New Roman" w:hAnsi="Times New Roman" w:eastAsia="仿宋_GB2312" w:cs="Times New Roman"/>
                <w:b w:val="0"/>
                <w:bCs w:val="0"/>
                <w:color w:val="auto"/>
                <w:spacing w:val="4"/>
                <w:sz w:val="24"/>
                <w:szCs w:val="24"/>
              </w:rPr>
              <w:t>790M突变阳性的局部晚期</w:t>
            </w:r>
            <w:r>
              <w:rPr>
                <w:rFonts w:hint="default" w:ascii="Times New Roman" w:hAnsi="Times New Roman" w:eastAsia="仿宋_GB2312" w:cs="Times New Roman"/>
                <w:b w:val="0"/>
                <w:bCs w:val="0"/>
                <w:color w:val="auto"/>
                <w:spacing w:val="3"/>
                <w:sz w:val="24"/>
                <w:szCs w:val="24"/>
              </w:rPr>
              <w:t>或转移性非小细胞性</w:t>
            </w:r>
            <w:r>
              <w:rPr>
                <w:rFonts w:hint="default" w:ascii="Times New Roman" w:hAnsi="Times New Roman" w:eastAsia="仿宋_GB2312" w:cs="Times New Roman"/>
                <w:b w:val="0"/>
                <w:bCs w:val="0"/>
                <w:color w:val="auto"/>
                <w:spacing w:val="4"/>
                <w:sz w:val="24"/>
                <w:szCs w:val="24"/>
              </w:rPr>
              <w:t>肺癌(</w:t>
            </w:r>
            <w:r>
              <w:rPr>
                <w:rFonts w:hint="default" w:ascii="Times New Roman" w:hAnsi="Times New Roman" w:eastAsia="仿宋_GB2312" w:cs="Times New Roman"/>
                <w:b w:val="0"/>
                <w:bCs w:val="0"/>
                <w:color w:val="auto"/>
                <w:sz w:val="24"/>
                <w:szCs w:val="24"/>
              </w:rPr>
              <w:t>NSCLC</w:t>
            </w:r>
            <w:r>
              <w:rPr>
                <w:rFonts w:hint="default" w:ascii="Times New Roman" w:hAnsi="Times New Roman" w:eastAsia="仿宋_GB2312" w:cs="Times New Roman"/>
                <w:b w:val="0"/>
                <w:bCs w:val="0"/>
                <w:color w:val="auto"/>
                <w:spacing w:val="4"/>
                <w:sz w:val="24"/>
                <w:szCs w:val="24"/>
              </w:rPr>
              <w:t>)成人患者的治疗。该适应症是基于一项包括220例不可手术切除的局部晚</w:t>
            </w:r>
            <w:r>
              <w:rPr>
                <w:rFonts w:hint="default" w:ascii="Times New Roman" w:hAnsi="Times New Roman" w:eastAsia="仿宋_GB2312" w:cs="Times New Roman"/>
                <w:b w:val="0"/>
                <w:bCs w:val="0"/>
                <w:color w:val="auto"/>
                <w:spacing w:val="5"/>
                <w:sz w:val="24"/>
                <w:szCs w:val="24"/>
              </w:rPr>
              <w:t>期或转移性、经第一/第二代</w:t>
            </w:r>
            <w:r>
              <w:rPr>
                <w:rFonts w:hint="default" w:ascii="Times New Roman" w:hAnsi="Times New Roman" w:eastAsia="仿宋_GB2312" w:cs="Times New Roman"/>
                <w:b w:val="0"/>
                <w:bCs w:val="0"/>
                <w:color w:val="auto"/>
                <w:sz w:val="24"/>
                <w:szCs w:val="24"/>
              </w:rPr>
              <w:t>EGFRTKI</w:t>
            </w:r>
            <w:r>
              <w:rPr>
                <w:rFonts w:hint="default" w:ascii="Times New Roman" w:hAnsi="Times New Roman" w:eastAsia="仿宋_GB2312" w:cs="Times New Roman"/>
                <w:b w:val="0"/>
                <w:bCs w:val="0"/>
                <w:color w:val="auto"/>
                <w:spacing w:val="5"/>
                <w:sz w:val="24"/>
                <w:szCs w:val="24"/>
              </w:rPr>
              <w:t>治疗进展并伴有</w:t>
            </w:r>
            <w:r>
              <w:rPr>
                <w:rFonts w:hint="default" w:ascii="Times New Roman" w:hAnsi="Times New Roman" w:eastAsia="仿宋_GB2312" w:cs="Times New Roman"/>
                <w:b w:val="0"/>
                <w:bCs w:val="0"/>
                <w:color w:val="auto"/>
                <w:sz w:val="24"/>
                <w:szCs w:val="24"/>
              </w:rPr>
              <w:t>EGFRT</w:t>
            </w:r>
            <w:r>
              <w:rPr>
                <w:rFonts w:hint="default" w:ascii="Times New Roman" w:hAnsi="Times New Roman" w:eastAsia="仿宋_GB2312" w:cs="Times New Roman"/>
                <w:b w:val="0"/>
                <w:bCs w:val="0"/>
                <w:color w:val="auto"/>
                <w:spacing w:val="5"/>
                <w:sz w:val="24"/>
                <w:szCs w:val="24"/>
              </w:rPr>
              <w:t>790M突变阳性、或原发</w:t>
            </w:r>
            <w:r>
              <w:rPr>
                <w:rFonts w:hint="default" w:ascii="Times New Roman" w:hAnsi="Times New Roman" w:eastAsia="仿宋_GB2312" w:cs="Times New Roman"/>
                <w:b w:val="0"/>
                <w:bCs w:val="0"/>
                <w:color w:val="auto"/>
                <w:spacing w:val="11"/>
                <w:sz w:val="24"/>
                <w:szCs w:val="24"/>
              </w:rPr>
              <w:t>性</w:t>
            </w:r>
            <w:r>
              <w:rPr>
                <w:rFonts w:hint="default" w:ascii="Times New Roman" w:hAnsi="Times New Roman" w:eastAsia="仿宋_GB2312" w:cs="Times New Roman"/>
                <w:b w:val="0"/>
                <w:bCs w:val="0"/>
                <w:color w:val="auto"/>
                <w:sz w:val="24"/>
                <w:szCs w:val="24"/>
              </w:rPr>
              <w:t>EGFRT</w:t>
            </w:r>
            <w:r>
              <w:rPr>
                <w:rFonts w:hint="default" w:ascii="Times New Roman" w:hAnsi="Times New Roman" w:eastAsia="仿宋_GB2312" w:cs="Times New Roman"/>
                <w:b w:val="0"/>
                <w:bCs w:val="0"/>
                <w:color w:val="auto"/>
                <w:spacing w:val="11"/>
                <w:sz w:val="24"/>
                <w:szCs w:val="24"/>
              </w:rPr>
              <w:t>790M突变阳性</w:t>
            </w:r>
            <w:r>
              <w:rPr>
                <w:rFonts w:hint="default" w:ascii="Times New Roman" w:hAnsi="Times New Roman" w:eastAsia="仿宋_GB2312" w:cs="Times New Roman"/>
                <w:b w:val="0"/>
                <w:bCs w:val="0"/>
                <w:color w:val="auto"/>
                <w:sz w:val="24"/>
                <w:szCs w:val="24"/>
              </w:rPr>
              <w:t>NSCLC</w:t>
            </w:r>
            <w:r>
              <w:rPr>
                <w:rFonts w:hint="default" w:ascii="Times New Roman" w:hAnsi="Times New Roman" w:eastAsia="仿宋_GB2312" w:cs="Times New Roman"/>
                <w:b w:val="0"/>
                <w:bCs w:val="0"/>
                <w:color w:val="auto"/>
                <w:spacing w:val="11"/>
                <w:sz w:val="24"/>
                <w:szCs w:val="24"/>
              </w:rPr>
              <w:t>患者的</w:t>
            </w:r>
            <w:r>
              <w:rPr>
                <w:rFonts w:hint="default" w:ascii="Times New Roman" w:hAnsi="Times New Roman" w:eastAsia="仿宋_GB2312" w:cs="Times New Roman"/>
                <w:b w:val="0"/>
                <w:bCs w:val="0"/>
                <w:color w:val="auto"/>
                <w:sz w:val="24"/>
                <w:szCs w:val="24"/>
              </w:rPr>
              <w:t>IIb</w:t>
            </w:r>
            <w:r>
              <w:rPr>
                <w:rFonts w:hint="default" w:ascii="Times New Roman" w:hAnsi="Times New Roman" w:eastAsia="仿宋_GB2312" w:cs="Times New Roman"/>
                <w:b w:val="0"/>
                <w:bCs w:val="0"/>
                <w:color w:val="auto"/>
                <w:spacing w:val="11"/>
                <w:sz w:val="24"/>
                <w:szCs w:val="24"/>
              </w:rPr>
              <w:t>期临床试验的结果给予的附条件批准。该适</w:t>
            </w:r>
            <w:r>
              <w:rPr>
                <w:rFonts w:hint="default" w:ascii="Times New Roman" w:hAnsi="Times New Roman" w:eastAsia="仿宋_GB2312" w:cs="Times New Roman"/>
                <w:b w:val="0"/>
                <w:bCs w:val="0"/>
                <w:color w:val="auto"/>
                <w:spacing w:val="3"/>
                <w:sz w:val="24"/>
                <w:szCs w:val="24"/>
              </w:rPr>
              <w:t>应症的完全批准将取决于正在进行的确证性随机对照试验证实本品的临床获益。</w:t>
            </w:r>
          </w:p>
        </w:tc>
      </w:tr>
    </w:tbl>
    <w:p>
      <w:pPr>
        <w:rPr>
          <w:rFonts w:hint="default" w:ascii="Times New Roman" w:hAnsi="Times New Roman" w:eastAsia="仿宋_GB2312" w:cs="Times New Roman"/>
          <w:b w:val="0"/>
          <w:bCs w:val="0"/>
          <w:color w:val="auto"/>
          <w:sz w:val="24"/>
          <w:szCs w:val="24"/>
        </w:rPr>
        <w:sectPr>
          <w:footerReference r:id="rId6" w:type="default"/>
          <w:pgSz w:w="16830" w:h="11900"/>
          <w:pgMar w:top="1440" w:right="1080" w:bottom="1440" w:left="1080" w:header="0" w:footer="931" w:gutter="0"/>
          <w:pgNumType w:fmt="decimal"/>
          <w:cols w:space="720" w:num="1"/>
        </w:sectPr>
      </w:pPr>
    </w:p>
    <w:p>
      <w:pPr>
        <w:spacing w:line="93" w:lineRule="exact"/>
        <w:rPr>
          <w:rFonts w:hint="default" w:ascii="Times New Roman" w:hAnsi="Times New Roman" w:eastAsia="仿宋_GB2312" w:cs="Times New Roman"/>
          <w:b w:val="0"/>
          <w:bCs w:val="0"/>
          <w:color w:val="auto"/>
          <w:sz w:val="24"/>
          <w:szCs w:val="24"/>
        </w:rPr>
      </w:pPr>
    </w:p>
    <w:tbl>
      <w:tblPr>
        <w:tblStyle w:val="6"/>
        <w:tblW w:w="145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2288"/>
        <w:gridCol w:w="3048"/>
        <w:gridCol w:w="8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4" w:hRule="atLeast"/>
        </w:trPr>
        <w:tc>
          <w:tcPr>
            <w:tcW w:w="754" w:type="dxa"/>
            <w:vAlign w:val="top"/>
          </w:tcPr>
          <w:p>
            <w:pPr>
              <w:spacing w:before="152" w:line="221" w:lineRule="auto"/>
              <w:ind w:left="178"/>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5"/>
                <w:sz w:val="24"/>
                <w:szCs w:val="24"/>
              </w:rPr>
              <w:t>序号</w:t>
            </w:r>
          </w:p>
        </w:tc>
        <w:tc>
          <w:tcPr>
            <w:tcW w:w="2288" w:type="dxa"/>
            <w:vAlign w:val="top"/>
          </w:tcPr>
          <w:p>
            <w:pPr>
              <w:spacing w:before="151" w:line="220" w:lineRule="auto"/>
              <w:ind w:left="69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5"/>
                <w:sz w:val="24"/>
                <w:szCs w:val="24"/>
              </w:rPr>
              <w:t>药品名称</w:t>
            </w:r>
          </w:p>
        </w:tc>
        <w:tc>
          <w:tcPr>
            <w:tcW w:w="3048" w:type="dxa"/>
            <w:vAlign w:val="top"/>
          </w:tcPr>
          <w:p>
            <w:pPr>
              <w:spacing w:before="151" w:line="219" w:lineRule="auto"/>
              <w:ind w:left="306"/>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对应门诊特殊慢性病病种</w:t>
            </w:r>
          </w:p>
        </w:tc>
        <w:tc>
          <w:tcPr>
            <w:tcW w:w="8499" w:type="dxa"/>
            <w:vAlign w:val="top"/>
          </w:tcPr>
          <w:p>
            <w:pPr>
              <w:spacing w:before="152" w:line="221" w:lineRule="auto"/>
              <w:ind w:left="3898"/>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8"/>
                <w:sz w:val="24"/>
                <w:szCs w:val="24"/>
                <w:lang w:val="en-US" w:eastAsia="zh-CN"/>
              </w:rPr>
              <w:t>限定支付范围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78" w:hRule="atLeast"/>
        </w:trPr>
        <w:tc>
          <w:tcPr>
            <w:tcW w:w="754" w:type="dxa"/>
            <w:vAlign w:val="top"/>
          </w:tcPr>
          <w:p>
            <w:pPr>
              <w:spacing w:line="330" w:lineRule="auto"/>
              <w:rPr>
                <w:rFonts w:hint="default" w:ascii="Times New Roman" w:hAnsi="Times New Roman" w:eastAsia="仿宋_GB2312" w:cs="Times New Roman"/>
                <w:b w:val="0"/>
                <w:bCs w:val="0"/>
                <w:color w:val="auto"/>
                <w:sz w:val="24"/>
                <w:szCs w:val="24"/>
              </w:rPr>
            </w:pPr>
          </w:p>
          <w:p>
            <w:pPr>
              <w:spacing w:line="331" w:lineRule="auto"/>
              <w:rPr>
                <w:rFonts w:hint="default" w:ascii="Times New Roman" w:hAnsi="Times New Roman" w:eastAsia="仿宋_GB2312" w:cs="Times New Roman"/>
                <w:b w:val="0"/>
                <w:bCs w:val="0"/>
                <w:color w:val="auto"/>
                <w:sz w:val="24"/>
                <w:szCs w:val="24"/>
              </w:rPr>
            </w:pPr>
          </w:p>
          <w:p>
            <w:pPr>
              <w:spacing w:before="71" w:line="183" w:lineRule="auto"/>
              <w:ind w:left="17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29</w:t>
            </w:r>
          </w:p>
        </w:tc>
        <w:tc>
          <w:tcPr>
            <w:tcW w:w="2288" w:type="dxa"/>
            <w:vAlign w:val="top"/>
          </w:tcPr>
          <w:p>
            <w:pPr>
              <w:spacing w:line="301" w:lineRule="auto"/>
              <w:rPr>
                <w:rFonts w:hint="default" w:ascii="Times New Roman" w:hAnsi="Times New Roman" w:eastAsia="仿宋_GB2312" w:cs="Times New Roman"/>
                <w:b w:val="0"/>
                <w:bCs w:val="0"/>
                <w:color w:val="auto"/>
                <w:sz w:val="24"/>
                <w:szCs w:val="24"/>
              </w:rPr>
            </w:pPr>
          </w:p>
          <w:p>
            <w:pPr>
              <w:spacing w:line="301" w:lineRule="auto"/>
              <w:rPr>
                <w:rFonts w:hint="default" w:ascii="Times New Roman" w:hAnsi="Times New Roman" w:eastAsia="仿宋_GB2312" w:cs="Times New Roman"/>
                <w:b w:val="0"/>
                <w:bCs w:val="0"/>
                <w:color w:val="auto"/>
                <w:sz w:val="24"/>
                <w:szCs w:val="24"/>
              </w:rPr>
            </w:pPr>
          </w:p>
          <w:p>
            <w:pPr>
              <w:spacing w:before="72" w:line="218" w:lineRule="auto"/>
              <w:ind w:left="581"/>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奥布替尼片</w:t>
            </w:r>
          </w:p>
        </w:tc>
        <w:tc>
          <w:tcPr>
            <w:tcW w:w="3048" w:type="dxa"/>
            <w:vAlign w:val="top"/>
          </w:tcPr>
          <w:p>
            <w:pPr>
              <w:spacing w:line="466" w:lineRule="auto"/>
              <w:rPr>
                <w:rFonts w:hint="default" w:ascii="Times New Roman" w:hAnsi="Times New Roman" w:eastAsia="仿宋_GB2312" w:cs="Times New Roman"/>
                <w:b w:val="0"/>
                <w:bCs w:val="0"/>
                <w:color w:val="auto"/>
                <w:sz w:val="24"/>
                <w:szCs w:val="24"/>
              </w:rPr>
            </w:pPr>
          </w:p>
          <w:p>
            <w:pPr>
              <w:spacing w:before="71" w:line="220" w:lineRule="auto"/>
              <w:ind w:left="63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50" w:line="222" w:lineRule="auto"/>
              <w:ind w:left="107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499" w:type="dxa"/>
            <w:vAlign w:val="top"/>
          </w:tcPr>
          <w:p>
            <w:pPr>
              <w:spacing w:before="218" w:line="257" w:lineRule="auto"/>
              <w:ind w:left="12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16"/>
                <w:sz w:val="24"/>
                <w:szCs w:val="24"/>
              </w:rPr>
              <w:t>本品适用于治疗：1.既往至少接受过一种治疗的成人套细胞淋巴瘤(</w:t>
            </w:r>
            <w:r>
              <w:rPr>
                <w:rFonts w:hint="default" w:ascii="Times New Roman" w:hAnsi="Times New Roman" w:eastAsia="仿宋_GB2312" w:cs="Times New Roman"/>
                <w:b w:val="0"/>
                <w:bCs w:val="0"/>
                <w:color w:val="auto"/>
                <w:sz w:val="24"/>
                <w:szCs w:val="24"/>
              </w:rPr>
              <w:t>MCL</w:t>
            </w:r>
            <w:r>
              <w:rPr>
                <w:rFonts w:hint="default" w:ascii="Times New Roman" w:hAnsi="Times New Roman" w:eastAsia="仿宋_GB2312" w:cs="Times New Roman"/>
                <w:b w:val="0"/>
                <w:bCs w:val="0"/>
                <w:color w:val="auto"/>
                <w:spacing w:val="16"/>
                <w:sz w:val="24"/>
                <w:szCs w:val="24"/>
              </w:rPr>
              <w:t>)患者。2.既</w:t>
            </w:r>
            <w:r>
              <w:rPr>
                <w:rFonts w:hint="default" w:ascii="Times New Roman" w:hAnsi="Times New Roman" w:eastAsia="仿宋_GB2312" w:cs="Times New Roman"/>
                <w:b w:val="0"/>
                <w:bCs w:val="0"/>
                <w:color w:val="auto"/>
                <w:spacing w:val="21"/>
                <w:sz w:val="24"/>
                <w:szCs w:val="24"/>
              </w:rPr>
              <w:t>往至少接受过一种治疗的成人慢性淋巴细胞白血病(</w:t>
            </w:r>
            <w:r>
              <w:rPr>
                <w:rFonts w:hint="default" w:ascii="Times New Roman" w:hAnsi="Times New Roman" w:eastAsia="仿宋_GB2312" w:cs="Times New Roman"/>
                <w:b w:val="0"/>
                <w:bCs w:val="0"/>
                <w:color w:val="auto"/>
                <w:sz w:val="24"/>
                <w:szCs w:val="24"/>
              </w:rPr>
              <w:t>CLL</w:t>
            </w:r>
            <w:r>
              <w:rPr>
                <w:rFonts w:hint="default" w:ascii="Times New Roman" w:hAnsi="Times New Roman" w:eastAsia="仿宋_GB2312" w:cs="Times New Roman"/>
                <w:b w:val="0"/>
                <w:bCs w:val="0"/>
                <w:color w:val="auto"/>
                <w:spacing w:val="21"/>
                <w:sz w:val="24"/>
                <w:szCs w:val="24"/>
              </w:rPr>
              <w:t>)/小淋巴细胞淋巴瘤(</w:t>
            </w:r>
            <w:r>
              <w:rPr>
                <w:rFonts w:hint="default" w:ascii="Times New Roman" w:hAnsi="Times New Roman" w:eastAsia="仿宋_GB2312" w:cs="Times New Roman"/>
                <w:b w:val="0"/>
                <w:bCs w:val="0"/>
                <w:color w:val="auto"/>
                <w:sz w:val="24"/>
                <w:szCs w:val="24"/>
              </w:rPr>
              <w:t>SLL</w:t>
            </w:r>
            <w:r>
              <w:rPr>
                <w:rFonts w:hint="default" w:ascii="Times New Roman" w:hAnsi="Times New Roman" w:eastAsia="仿宋_GB2312" w:cs="Times New Roman"/>
                <w:b w:val="0"/>
                <w:bCs w:val="0"/>
                <w:color w:val="auto"/>
                <w:spacing w:val="21"/>
                <w:sz w:val="24"/>
                <w:szCs w:val="24"/>
              </w:rPr>
              <w:t>)</w:t>
            </w:r>
            <w:r>
              <w:rPr>
                <w:rFonts w:hint="default" w:ascii="Times New Roman" w:hAnsi="Times New Roman" w:eastAsia="仿宋_GB2312" w:cs="Times New Roman"/>
                <w:b w:val="0"/>
                <w:bCs w:val="0"/>
                <w:color w:val="auto"/>
                <w:spacing w:val="10"/>
                <w:sz w:val="24"/>
                <w:szCs w:val="24"/>
              </w:rPr>
              <w:t>患者。上述适应症分别基于一项单臂临床试验的客观缓解率结果给予的附条件批准。本</w:t>
            </w:r>
            <w:r>
              <w:rPr>
                <w:rFonts w:hint="default" w:ascii="Times New Roman" w:hAnsi="Times New Roman" w:eastAsia="仿宋_GB2312" w:cs="Times New Roman"/>
                <w:b w:val="0"/>
                <w:bCs w:val="0"/>
                <w:color w:val="auto"/>
                <w:spacing w:val="13"/>
                <w:sz w:val="24"/>
                <w:szCs w:val="24"/>
              </w:rPr>
              <w:t>品的完全批准将取决于正在开展中的确证性随机对照临床试验结果。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89" w:hRule="atLeast"/>
        </w:trPr>
        <w:tc>
          <w:tcPr>
            <w:tcW w:w="754" w:type="dxa"/>
            <w:vAlign w:val="top"/>
          </w:tcPr>
          <w:p>
            <w:pPr>
              <w:spacing w:line="474" w:lineRule="auto"/>
              <w:rPr>
                <w:rFonts w:hint="default" w:ascii="Times New Roman" w:hAnsi="Times New Roman" w:eastAsia="仿宋_GB2312" w:cs="Times New Roman"/>
                <w:b w:val="0"/>
                <w:bCs w:val="0"/>
                <w:color w:val="auto"/>
                <w:sz w:val="24"/>
                <w:szCs w:val="24"/>
              </w:rPr>
            </w:pPr>
          </w:p>
          <w:p>
            <w:pPr>
              <w:spacing w:before="71" w:line="183" w:lineRule="auto"/>
              <w:ind w:left="17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4"/>
                <w:sz w:val="24"/>
                <w:szCs w:val="24"/>
              </w:rPr>
              <w:t>30</w:t>
            </w:r>
          </w:p>
        </w:tc>
        <w:tc>
          <w:tcPr>
            <w:tcW w:w="2288" w:type="dxa"/>
            <w:vAlign w:val="top"/>
          </w:tcPr>
          <w:p>
            <w:pPr>
              <w:spacing w:line="418" w:lineRule="auto"/>
              <w:rPr>
                <w:rFonts w:hint="default" w:ascii="Times New Roman" w:hAnsi="Times New Roman" w:eastAsia="仿宋_GB2312" w:cs="Times New Roman"/>
                <w:b w:val="0"/>
                <w:bCs w:val="0"/>
                <w:color w:val="auto"/>
                <w:sz w:val="24"/>
                <w:szCs w:val="24"/>
              </w:rPr>
            </w:pPr>
          </w:p>
          <w:p>
            <w:pPr>
              <w:spacing w:before="71" w:line="219" w:lineRule="auto"/>
              <w:ind w:left="47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氟唑帕利胶囊</w:t>
            </w:r>
          </w:p>
        </w:tc>
        <w:tc>
          <w:tcPr>
            <w:tcW w:w="3048" w:type="dxa"/>
            <w:vAlign w:val="top"/>
          </w:tcPr>
          <w:p>
            <w:pPr>
              <w:spacing w:line="289" w:lineRule="auto"/>
              <w:rPr>
                <w:rFonts w:hint="default" w:ascii="Times New Roman" w:hAnsi="Times New Roman" w:eastAsia="仿宋_GB2312" w:cs="Times New Roman"/>
                <w:b w:val="0"/>
                <w:bCs w:val="0"/>
                <w:color w:val="auto"/>
                <w:sz w:val="24"/>
                <w:szCs w:val="24"/>
              </w:rPr>
            </w:pPr>
          </w:p>
          <w:p>
            <w:pPr>
              <w:spacing w:before="71" w:line="220" w:lineRule="auto"/>
              <w:ind w:left="63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60" w:line="222" w:lineRule="auto"/>
              <w:ind w:left="107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499" w:type="dxa"/>
            <w:vAlign w:val="top"/>
          </w:tcPr>
          <w:p>
            <w:pPr>
              <w:spacing w:before="184" w:line="254" w:lineRule="auto"/>
              <w:ind w:left="12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1"/>
                <w:sz w:val="24"/>
                <w:szCs w:val="24"/>
              </w:rPr>
              <w:t>1.用于既往经过二线及以上化疗的伴有胚系</w:t>
            </w:r>
            <w:r>
              <w:rPr>
                <w:rFonts w:hint="default" w:ascii="Times New Roman" w:hAnsi="Times New Roman" w:eastAsia="仿宋_GB2312" w:cs="Times New Roman"/>
                <w:b w:val="0"/>
                <w:bCs w:val="0"/>
                <w:color w:val="auto"/>
                <w:sz w:val="24"/>
                <w:szCs w:val="24"/>
              </w:rPr>
              <w:t>BRCA</w:t>
            </w:r>
            <w:r>
              <w:rPr>
                <w:rFonts w:hint="default" w:ascii="Times New Roman" w:hAnsi="Times New Roman" w:eastAsia="仿宋_GB2312" w:cs="Times New Roman"/>
                <w:b w:val="0"/>
                <w:bCs w:val="0"/>
                <w:color w:val="auto"/>
                <w:spacing w:val="21"/>
                <w:sz w:val="24"/>
                <w:szCs w:val="24"/>
              </w:rPr>
              <w:t>突变(</w:t>
            </w:r>
            <w:r>
              <w:rPr>
                <w:rFonts w:hint="default" w:ascii="Times New Roman" w:hAnsi="Times New Roman" w:eastAsia="仿宋_GB2312" w:cs="Times New Roman"/>
                <w:b w:val="0"/>
                <w:bCs w:val="0"/>
                <w:color w:val="auto"/>
                <w:sz w:val="24"/>
                <w:szCs w:val="24"/>
              </w:rPr>
              <w:t>gBRCAm</w:t>
            </w:r>
            <w:r>
              <w:rPr>
                <w:rFonts w:hint="default" w:ascii="Times New Roman" w:hAnsi="Times New Roman" w:eastAsia="仿宋_GB2312" w:cs="Times New Roman"/>
                <w:b w:val="0"/>
                <w:bCs w:val="0"/>
                <w:color w:val="auto"/>
                <w:spacing w:val="21"/>
                <w:sz w:val="24"/>
                <w:szCs w:val="24"/>
              </w:rPr>
              <w:t>)的铂敏感复发性卵巢</w:t>
            </w:r>
            <w:r>
              <w:rPr>
                <w:rFonts w:hint="default" w:ascii="Times New Roman" w:hAnsi="Times New Roman" w:eastAsia="仿宋_GB2312" w:cs="Times New Roman"/>
                <w:b w:val="0"/>
                <w:bCs w:val="0"/>
                <w:color w:val="auto"/>
                <w:spacing w:val="10"/>
                <w:sz w:val="24"/>
                <w:szCs w:val="24"/>
              </w:rPr>
              <w:t>癌、输卵管癌或原发性腹膜癌患者的治疗。2.用于铂敏感的复发性上皮性</w:t>
            </w:r>
            <w:r>
              <w:rPr>
                <w:rFonts w:hint="default" w:ascii="Times New Roman" w:hAnsi="Times New Roman" w:eastAsia="仿宋_GB2312" w:cs="Times New Roman"/>
                <w:b w:val="0"/>
                <w:bCs w:val="0"/>
                <w:color w:val="auto"/>
                <w:spacing w:val="9"/>
                <w:sz w:val="24"/>
                <w:szCs w:val="24"/>
              </w:rPr>
              <w:t>卵巢癌、输卵</w:t>
            </w:r>
            <w:r>
              <w:rPr>
                <w:rFonts w:hint="default" w:ascii="Times New Roman" w:hAnsi="Times New Roman" w:eastAsia="仿宋_GB2312" w:cs="Times New Roman"/>
                <w:b w:val="0"/>
                <w:bCs w:val="0"/>
                <w:color w:val="auto"/>
                <w:spacing w:val="12"/>
                <w:sz w:val="24"/>
                <w:szCs w:val="24"/>
              </w:rPr>
              <w:t>管癌或原发性腹膜癌成人患者在含铂化疗达到完全缓解或部分缓解后的维持治疗。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38" w:hRule="atLeast"/>
        </w:trPr>
        <w:tc>
          <w:tcPr>
            <w:tcW w:w="754" w:type="dxa"/>
            <w:vAlign w:val="top"/>
          </w:tcPr>
          <w:p>
            <w:pPr>
              <w:spacing w:line="264" w:lineRule="auto"/>
              <w:rPr>
                <w:rFonts w:hint="default" w:ascii="Times New Roman" w:hAnsi="Times New Roman" w:eastAsia="仿宋_GB2312" w:cs="Times New Roman"/>
                <w:b w:val="0"/>
                <w:bCs w:val="0"/>
                <w:color w:val="auto"/>
                <w:sz w:val="24"/>
                <w:szCs w:val="24"/>
              </w:rPr>
            </w:pPr>
          </w:p>
          <w:p>
            <w:pPr>
              <w:spacing w:line="264" w:lineRule="auto"/>
              <w:rPr>
                <w:rFonts w:hint="default" w:ascii="Times New Roman" w:hAnsi="Times New Roman" w:eastAsia="仿宋_GB2312" w:cs="Times New Roman"/>
                <w:b w:val="0"/>
                <w:bCs w:val="0"/>
                <w:color w:val="auto"/>
                <w:sz w:val="24"/>
                <w:szCs w:val="24"/>
              </w:rPr>
            </w:pPr>
          </w:p>
          <w:p>
            <w:pPr>
              <w:spacing w:line="264" w:lineRule="auto"/>
              <w:rPr>
                <w:rFonts w:hint="default" w:ascii="Times New Roman" w:hAnsi="Times New Roman" w:eastAsia="仿宋_GB2312" w:cs="Times New Roman"/>
                <w:b w:val="0"/>
                <w:bCs w:val="0"/>
                <w:color w:val="auto"/>
                <w:sz w:val="24"/>
                <w:szCs w:val="24"/>
              </w:rPr>
            </w:pPr>
          </w:p>
          <w:p>
            <w:pPr>
              <w:spacing w:before="71" w:line="184" w:lineRule="auto"/>
              <w:ind w:left="17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4"/>
                <w:sz w:val="24"/>
                <w:szCs w:val="24"/>
              </w:rPr>
              <w:t>31</w:t>
            </w:r>
          </w:p>
        </w:tc>
        <w:tc>
          <w:tcPr>
            <w:tcW w:w="2288" w:type="dxa"/>
            <w:vAlign w:val="top"/>
          </w:tcPr>
          <w:p>
            <w:pPr>
              <w:spacing w:line="245" w:lineRule="auto"/>
              <w:rPr>
                <w:rFonts w:hint="default" w:ascii="Times New Roman" w:hAnsi="Times New Roman" w:eastAsia="仿宋_GB2312" w:cs="Times New Roman"/>
                <w:b w:val="0"/>
                <w:bCs w:val="0"/>
                <w:color w:val="auto"/>
                <w:sz w:val="24"/>
                <w:szCs w:val="24"/>
              </w:rPr>
            </w:pPr>
          </w:p>
          <w:p>
            <w:pPr>
              <w:spacing w:line="246" w:lineRule="auto"/>
              <w:rPr>
                <w:rFonts w:hint="default" w:ascii="Times New Roman" w:hAnsi="Times New Roman" w:eastAsia="仿宋_GB2312" w:cs="Times New Roman"/>
                <w:b w:val="0"/>
                <w:bCs w:val="0"/>
                <w:color w:val="auto"/>
                <w:sz w:val="24"/>
                <w:szCs w:val="24"/>
              </w:rPr>
            </w:pPr>
          </w:p>
          <w:p>
            <w:pPr>
              <w:spacing w:line="246" w:lineRule="auto"/>
              <w:rPr>
                <w:rFonts w:hint="default" w:ascii="Times New Roman" w:hAnsi="Times New Roman" w:eastAsia="仿宋_GB2312" w:cs="Times New Roman"/>
                <w:b w:val="0"/>
                <w:bCs w:val="0"/>
                <w:color w:val="auto"/>
                <w:sz w:val="24"/>
                <w:szCs w:val="24"/>
              </w:rPr>
            </w:pPr>
          </w:p>
          <w:p>
            <w:pPr>
              <w:spacing w:before="71" w:line="219" w:lineRule="auto"/>
              <w:ind w:left="47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1"/>
                <w:sz w:val="24"/>
                <w:szCs w:val="24"/>
              </w:rPr>
              <w:t>帕米帕利胶囊</w:t>
            </w:r>
          </w:p>
        </w:tc>
        <w:tc>
          <w:tcPr>
            <w:tcW w:w="3048" w:type="dxa"/>
            <w:vAlign w:val="top"/>
          </w:tcPr>
          <w:p>
            <w:pPr>
              <w:spacing w:line="314" w:lineRule="auto"/>
              <w:rPr>
                <w:rFonts w:hint="default" w:ascii="Times New Roman" w:hAnsi="Times New Roman" w:eastAsia="仿宋_GB2312" w:cs="Times New Roman"/>
                <w:b w:val="0"/>
                <w:bCs w:val="0"/>
                <w:color w:val="auto"/>
                <w:sz w:val="24"/>
                <w:szCs w:val="24"/>
              </w:rPr>
            </w:pPr>
          </w:p>
          <w:p>
            <w:pPr>
              <w:spacing w:line="314" w:lineRule="auto"/>
              <w:rPr>
                <w:rFonts w:hint="default" w:ascii="Times New Roman" w:hAnsi="Times New Roman" w:eastAsia="仿宋_GB2312" w:cs="Times New Roman"/>
                <w:b w:val="0"/>
                <w:bCs w:val="0"/>
                <w:color w:val="auto"/>
                <w:sz w:val="24"/>
                <w:szCs w:val="24"/>
              </w:rPr>
            </w:pPr>
          </w:p>
          <w:p>
            <w:pPr>
              <w:spacing w:before="71" w:line="220" w:lineRule="auto"/>
              <w:ind w:left="63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50" w:line="222" w:lineRule="auto"/>
              <w:ind w:left="107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499" w:type="dxa"/>
            <w:vAlign w:val="top"/>
          </w:tcPr>
          <w:p>
            <w:pPr>
              <w:spacing w:before="187" w:line="251" w:lineRule="auto"/>
              <w:ind w:left="124" w:right="9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7"/>
                <w:sz w:val="24"/>
                <w:szCs w:val="24"/>
              </w:rPr>
              <w:t>用于既往经过二线及以上化疗的伴有胚系</w:t>
            </w:r>
            <w:r>
              <w:rPr>
                <w:rFonts w:hint="default" w:ascii="Times New Roman" w:hAnsi="Times New Roman" w:eastAsia="仿宋_GB2312" w:cs="Times New Roman"/>
                <w:b w:val="0"/>
                <w:bCs w:val="0"/>
                <w:color w:val="auto"/>
                <w:sz w:val="24"/>
                <w:szCs w:val="24"/>
              </w:rPr>
              <w:t>BRCA</w:t>
            </w:r>
            <w:r>
              <w:rPr>
                <w:rFonts w:hint="default" w:ascii="Times New Roman" w:hAnsi="Times New Roman" w:eastAsia="仿宋_GB2312" w:cs="Times New Roman"/>
                <w:b w:val="0"/>
                <w:bCs w:val="0"/>
                <w:color w:val="auto"/>
                <w:spacing w:val="7"/>
                <w:sz w:val="24"/>
                <w:szCs w:val="24"/>
              </w:rPr>
              <w:t>(</w:t>
            </w:r>
            <w:r>
              <w:rPr>
                <w:rFonts w:hint="default" w:ascii="Times New Roman" w:hAnsi="Times New Roman" w:eastAsia="仿宋_GB2312" w:cs="Times New Roman"/>
                <w:b w:val="0"/>
                <w:bCs w:val="0"/>
                <w:color w:val="auto"/>
                <w:sz w:val="24"/>
                <w:szCs w:val="24"/>
              </w:rPr>
              <w:t>gBRCA</w:t>
            </w:r>
            <w:r>
              <w:rPr>
                <w:rFonts w:hint="default" w:ascii="Times New Roman" w:hAnsi="Times New Roman" w:eastAsia="仿宋_GB2312" w:cs="Times New Roman"/>
                <w:b w:val="0"/>
                <w:bCs w:val="0"/>
                <w:color w:val="auto"/>
                <w:spacing w:val="7"/>
                <w:sz w:val="24"/>
                <w:szCs w:val="24"/>
              </w:rPr>
              <w:t>)突变的复发性晚期卵巢癌、输</w:t>
            </w:r>
            <w:r>
              <w:rPr>
                <w:rFonts w:hint="default" w:ascii="Times New Roman" w:hAnsi="Times New Roman" w:eastAsia="仿宋_GB2312" w:cs="Times New Roman"/>
                <w:b w:val="0"/>
                <w:bCs w:val="0"/>
                <w:color w:val="auto"/>
                <w:sz w:val="24"/>
                <w:szCs w:val="24"/>
              </w:rPr>
              <w:t>卵管癌或原发性腹膜癌患者的治疗。该适应症是基于一项包括113例既往经过二线及以上化疗的伴有gBRCA突变的复发性晚期卵巢癌、输卵管癌或原发性腹膜癌患者中开展的</w:t>
            </w:r>
            <w:r>
              <w:rPr>
                <w:rFonts w:hint="default" w:ascii="Times New Roman" w:hAnsi="Times New Roman" w:eastAsia="仿宋_GB2312" w:cs="Times New Roman"/>
                <w:b w:val="0"/>
                <w:bCs w:val="0"/>
                <w:color w:val="auto"/>
                <w:spacing w:val="4"/>
                <w:sz w:val="24"/>
                <w:szCs w:val="24"/>
              </w:rPr>
              <w:t>开放性、多中心、单臂、</w:t>
            </w:r>
            <w:r>
              <w:rPr>
                <w:rFonts w:hint="default" w:ascii="Times New Roman" w:hAnsi="Times New Roman" w:eastAsia="仿宋_GB2312" w:cs="Times New Roman"/>
                <w:b w:val="0"/>
                <w:bCs w:val="0"/>
                <w:color w:val="auto"/>
                <w:sz w:val="24"/>
                <w:szCs w:val="24"/>
              </w:rPr>
              <w:t>II</w:t>
            </w:r>
            <w:r>
              <w:rPr>
                <w:rFonts w:hint="default" w:ascii="Times New Roman" w:hAnsi="Times New Roman" w:eastAsia="仿宋_GB2312" w:cs="Times New Roman"/>
                <w:b w:val="0"/>
                <w:bCs w:val="0"/>
                <w:color w:val="auto"/>
                <w:spacing w:val="4"/>
                <w:sz w:val="24"/>
                <w:szCs w:val="24"/>
              </w:rPr>
              <w:t>期临床试验结果给予的附</w:t>
            </w:r>
            <w:r>
              <w:rPr>
                <w:rFonts w:hint="default" w:ascii="Times New Roman" w:hAnsi="Times New Roman" w:eastAsia="仿宋_GB2312" w:cs="Times New Roman"/>
                <w:b w:val="0"/>
                <w:bCs w:val="0"/>
                <w:color w:val="auto"/>
                <w:spacing w:val="3"/>
                <w:sz w:val="24"/>
                <w:szCs w:val="24"/>
              </w:rPr>
              <w:t>条件批准。该适应症的完全批准</w:t>
            </w:r>
            <w:r>
              <w:rPr>
                <w:rFonts w:hint="default" w:ascii="Times New Roman" w:hAnsi="Times New Roman" w:eastAsia="仿宋_GB2312" w:cs="Times New Roman"/>
                <w:b w:val="0"/>
                <w:bCs w:val="0"/>
                <w:color w:val="auto"/>
                <w:spacing w:val="4"/>
                <w:sz w:val="24"/>
                <w:szCs w:val="24"/>
              </w:rPr>
              <w:t>将取决于正在进行的确证性试验证实本品在该人群的临床获</w:t>
            </w:r>
            <w:r>
              <w:rPr>
                <w:rFonts w:hint="default" w:ascii="Times New Roman" w:hAnsi="Times New Roman" w:eastAsia="仿宋_GB2312" w:cs="Times New Roman"/>
                <w:b w:val="0"/>
                <w:bCs w:val="0"/>
                <w:color w:val="auto"/>
                <w:spacing w:val="3"/>
                <w:sz w:val="24"/>
                <w:szCs w:val="24"/>
              </w:rPr>
              <w:t>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9" w:hRule="atLeast"/>
        </w:trPr>
        <w:tc>
          <w:tcPr>
            <w:tcW w:w="754" w:type="dxa"/>
            <w:vAlign w:val="top"/>
          </w:tcPr>
          <w:p>
            <w:pPr>
              <w:spacing w:line="447" w:lineRule="auto"/>
              <w:rPr>
                <w:rFonts w:hint="default" w:ascii="Times New Roman" w:hAnsi="Times New Roman" w:eastAsia="仿宋_GB2312" w:cs="Times New Roman"/>
                <w:b w:val="0"/>
                <w:bCs w:val="0"/>
                <w:color w:val="auto"/>
                <w:sz w:val="24"/>
                <w:szCs w:val="24"/>
              </w:rPr>
            </w:pPr>
          </w:p>
          <w:p>
            <w:pPr>
              <w:spacing w:before="71" w:line="183" w:lineRule="auto"/>
              <w:ind w:left="17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4"/>
                <w:sz w:val="24"/>
                <w:szCs w:val="24"/>
              </w:rPr>
              <w:t>32</w:t>
            </w:r>
          </w:p>
        </w:tc>
        <w:tc>
          <w:tcPr>
            <w:tcW w:w="2288" w:type="dxa"/>
            <w:vAlign w:val="top"/>
          </w:tcPr>
          <w:p>
            <w:pPr>
              <w:spacing w:line="391" w:lineRule="auto"/>
              <w:rPr>
                <w:rFonts w:hint="default" w:ascii="Times New Roman" w:hAnsi="Times New Roman" w:eastAsia="仿宋_GB2312" w:cs="Times New Roman"/>
                <w:b w:val="0"/>
                <w:bCs w:val="0"/>
                <w:color w:val="auto"/>
                <w:sz w:val="24"/>
                <w:szCs w:val="24"/>
              </w:rPr>
            </w:pPr>
          </w:p>
          <w:p>
            <w:pPr>
              <w:spacing w:before="72" w:line="220" w:lineRule="auto"/>
              <w:ind w:left="581"/>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阿贝西利片</w:t>
            </w:r>
          </w:p>
        </w:tc>
        <w:tc>
          <w:tcPr>
            <w:tcW w:w="3048" w:type="dxa"/>
            <w:vAlign w:val="top"/>
          </w:tcPr>
          <w:p>
            <w:pPr>
              <w:spacing w:line="282" w:lineRule="auto"/>
              <w:rPr>
                <w:rFonts w:hint="default" w:ascii="Times New Roman" w:hAnsi="Times New Roman" w:eastAsia="仿宋_GB2312" w:cs="Times New Roman"/>
                <w:b w:val="0"/>
                <w:bCs w:val="0"/>
                <w:color w:val="auto"/>
                <w:sz w:val="24"/>
                <w:szCs w:val="24"/>
              </w:rPr>
            </w:pPr>
          </w:p>
          <w:p>
            <w:pPr>
              <w:spacing w:before="71" w:line="220" w:lineRule="auto"/>
              <w:ind w:left="63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40" w:line="222" w:lineRule="auto"/>
              <w:ind w:left="107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499" w:type="dxa"/>
            <w:vAlign w:val="top"/>
          </w:tcPr>
          <w:p>
            <w:pPr>
              <w:spacing w:before="164" w:line="252" w:lineRule="auto"/>
              <w:ind w:left="12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0"/>
                <w:sz w:val="24"/>
                <w:szCs w:val="24"/>
              </w:rPr>
              <w:t>本品适用于激素受体(</w:t>
            </w:r>
            <w:r>
              <w:rPr>
                <w:rFonts w:hint="default" w:ascii="Times New Roman" w:hAnsi="Times New Roman" w:eastAsia="仿宋_GB2312" w:cs="Times New Roman"/>
                <w:b w:val="0"/>
                <w:bCs w:val="0"/>
                <w:color w:val="auto"/>
                <w:sz w:val="24"/>
                <w:szCs w:val="24"/>
              </w:rPr>
              <w:t>HR</w:t>
            </w:r>
            <w:r>
              <w:rPr>
                <w:rFonts w:hint="default" w:ascii="Times New Roman" w:hAnsi="Times New Roman" w:eastAsia="仿宋_GB2312" w:cs="Times New Roman"/>
                <w:b w:val="0"/>
                <w:bCs w:val="0"/>
                <w:color w:val="auto"/>
                <w:spacing w:val="20"/>
                <w:sz w:val="24"/>
                <w:szCs w:val="24"/>
              </w:rPr>
              <w:t>)阳性、人表皮生长因子受体2(</w:t>
            </w:r>
            <w:r>
              <w:rPr>
                <w:rFonts w:hint="default" w:ascii="Times New Roman" w:hAnsi="Times New Roman" w:eastAsia="仿宋_GB2312" w:cs="Times New Roman"/>
                <w:b w:val="0"/>
                <w:bCs w:val="0"/>
                <w:color w:val="auto"/>
                <w:sz w:val="24"/>
                <w:szCs w:val="24"/>
              </w:rPr>
              <w:t>HER</w:t>
            </w:r>
            <w:r>
              <w:rPr>
                <w:rFonts w:hint="default" w:ascii="Times New Roman" w:hAnsi="Times New Roman" w:eastAsia="仿宋_GB2312" w:cs="Times New Roman"/>
                <w:b w:val="0"/>
                <w:bCs w:val="0"/>
                <w:color w:val="auto"/>
                <w:spacing w:val="20"/>
                <w:sz w:val="24"/>
                <w:szCs w:val="24"/>
              </w:rPr>
              <w:t>2)阴性的局部晚期或转</w:t>
            </w:r>
            <w:r>
              <w:rPr>
                <w:rFonts w:hint="default" w:ascii="Times New Roman" w:hAnsi="Times New Roman" w:eastAsia="仿宋_GB2312" w:cs="Times New Roman"/>
                <w:b w:val="0"/>
                <w:bCs w:val="0"/>
                <w:color w:val="auto"/>
                <w:spacing w:val="10"/>
                <w:sz w:val="24"/>
                <w:szCs w:val="24"/>
              </w:rPr>
              <w:t>移性乳腺癌：1.与芳香化酶抑制剂联合使用作为绝经</w:t>
            </w:r>
            <w:r>
              <w:rPr>
                <w:rFonts w:hint="default" w:ascii="Times New Roman" w:hAnsi="Times New Roman" w:eastAsia="仿宋_GB2312" w:cs="Times New Roman"/>
                <w:b w:val="0"/>
                <w:bCs w:val="0"/>
                <w:color w:val="auto"/>
                <w:spacing w:val="9"/>
                <w:sz w:val="24"/>
                <w:szCs w:val="24"/>
              </w:rPr>
              <w:t>后女性患者的初始内分泌治疗；2.</w:t>
            </w:r>
            <w:r>
              <w:rPr>
                <w:rFonts w:hint="default" w:ascii="Times New Roman" w:hAnsi="Times New Roman" w:eastAsia="仿宋_GB2312" w:cs="Times New Roman"/>
                <w:b w:val="0"/>
                <w:bCs w:val="0"/>
                <w:color w:val="auto"/>
                <w:spacing w:val="11"/>
                <w:sz w:val="24"/>
                <w:szCs w:val="24"/>
              </w:rPr>
              <w:t>与氟维司群联合用于既往曾接受内分泌治疗后出现疾病进展的患者。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9" w:hRule="atLeast"/>
        </w:trPr>
        <w:tc>
          <w:tcPr>
            <w:tcW w:w="754" w:type="dxa"/>
            <w:vAlign w:val="top"/>
          </w:tcPr>
          <w:p>
            <w:pPr>
              <w:spacing w:line="309" w:lineRule="auto"/>
              <w:rPr>
                <w:rFonts w:hint="default" w:ascii="Times New Roman" w:hAnsi="Times New Roman" w:eastAsia="仿宋_GB2312" w:cs="Times New Roman"/>
                <w:b w:val="0"/>
                <w:bCs w:val="0"/>
                <w:color w:val="auto"/>
                <w:sz w:val="24"/>
                <w:szCs w:val="24"/>
              </w:rPr>
            </w:pPr>
          </w:p>
          <w:p>
            <w:pPr>
              <w:spacing w:before="71" w:line="183" w:lineRule="auto"/>
              <w:ind w:left="17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4"/>
                <w:sz w:val="24"/>
                <w:szCs w:val="24"/>
              </w:rPr>
              <w:t>33</w:t>
            </w:r>
          </w:p>
        </w:tc>
        <w:tc>
          <w:tcPr>
            <w:tcW w:w="2288" w:type="dxa"/>
            <w:vAlign w:val="top"/>
          </w:tcPr>
          <w:p>
            <w:pPr>
              <w:spacing w:line="253" w:lineRule="auto"/>
              <w:rPr>
                <w:rFonts w:hint="default" w:ascii="Times New Roman" w:hAnsi="Times New Roman" w:eastAsia="仿宋_GB2312" w:cs="Times New Roman"/>
                <w:b w:val="0"/>
                <w:bCs w:val="0"/>
                <w:color w:val="auto"/>
                <w:sz w:val="24"/>
                <w:szCs w:val="24"/>
              </w:rPr>
            </w:pPr>
          </w:p>
          <w:p>
            <w:pPr>
              <w:spacing w:before="71" w:line="219" w:lineRule="auto"/>
              <w:ind w:left="25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马来酸奈拉替尼片</w:t>
            </w:r>
          </w:p>
        </w:tc>
        <w:tc>
          <w:tcPr>
            <w:tcW w:w="3048" w:type="dxa"/>
            <w:vAlign w:val="top"/>
          </w:tcPr>
          <w:p>
            <w:pPr>
              <w:spacing w:before="196" w:line="220" w:lineRule="auto"/>
              <w:ind w:left="63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40" w:line="222" w:lineRule="auto"/>
              <w:ind w:left="107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499" w:type="dxa"/>
            <w:vAlign w:val="top"/>
          </w:tcPr>
          <w:p>
            <w:pPr>
              <w:spacing w:before="175"/>
              <w:ind w:left="124" w:right="7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7"/>
                <w:sz w:val="24"/>
                <w:szCs w:val="24"/>
              </w:rPr>
              <w:t>适用于人类表皮生长因子受体2(</w:t>
            </w:r>
            <w:r>
              <w:rPr>
                <w:rFonts w:hint="default" w:ascii="Times New Roman" w:hAnsi="Times New Roman" w:eastAsia="仿宋_GB2312" w:cs="Times New Roman"/>
                <w:b w:val="0"/>
                <w:bCs w:val="0"/>
                <w:color w:val="auto"/>
                <w:sz w:val="24"/>
                <w:szCs w:val="24"/>
              </w:rPr>
              <w:t>HER</w:t>
            </w:r>
            <w:r>
              <w:rPr>
                <w:rFonts w:hint="default" w:ascii="Times New Roman" w:hAnsi="Times New Roman" w:eastAsia="仿宋_GB2312" w:cs="Times New Roman"/>
                <w:b w:val="0"/>
                <w:bCs w:val="0"/>
                <w:color w:val="auto"/>
                <w:spacing w:val="7"/>
                <w:sz w:val="24"/>
                <w:szCs w:val="24"/>
              </w:rPr>
              <w:t>2)阳性的早期乳腺癌成年患者，在接受含曲妥</w:t>
            </w:r>
            <w:r>
              <w:rPr>
                <w:rFonts w:hint="default" w:ascii="Times New Roman" w:hAnsi="Times New Roman" w:eastAsia="仿宋_GB2312" w:cs="Times New Roman"/>
                <w:b w:val="0"/>
                <w:bCs w:val="0"/>
                <w:color w:val="auto"/>
                <w:spacing w:val="6"/>
                <w:sz w:val="24"/>
                <w:szCs w:val="24"/>
              </w:rPr>
              <w:t>珠单抗辅助治疗之后的强化辅助治疗。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9" w:hRule="atLeast"/>
        </w:trPr>
        <w:tc>
          <w:tcPr>
            <w:tcW w:w="754" w:type="dxa"/>
            <w:vAlign w:val="top"/>
          </w:tcPr>
          <w:p>
            <w:pPr>
              <w:spacing w:line="300" w:lineRule="auto"/>
              <w:rPr>
                <w:rFonts w:hint="default" w:ascii="Times New Roman" w:hAnsi="Times New Roman" w:eastAsia="仿宋_GB2312" w:cs="Times New Roman"/>
                <w:b w:val="0"/>
                <w:bCs w:val="0"/>
                <w:color w:val="auto"/>
                <w:sz w:val="24"/>
                <w:szCs w:val="24"/>
              </w:rPr>
            </w:pPr>
          </w:p>
          <w:p>
            <w:pPr>
              <w:spacing w:before="71" w:line="183" w:lineRule="auto"/>
              <w:ind w:left="17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4"/>
                <w:sz w:val="24"/>
                <w:szCs w:val="24"/>
              </w:rPr>
              <w:t>34</w:t>
            </w:r>
          </w:p>
        </w:tc>
        <w:tc>
          <w:tcPr>
            <w:tcW w:w="2288" w:type="dxa"/>
            <w:vAlign w:val="top"/>
          </w:tcPr>
          <w:p>
            <w:pPr>
              <w:spacing w:line="242" w:lineRule="auto"/>
              <w:rPr>
                <w:rFonts w:hint="default" w:ascii="Times New Roman" w:hAnsi="Times New Roman" w:eastAsia="仿宋_GB2312" w:cs="Times New Roman"/>
                <w:b w:val="0"/>
                <w:bCs w:val="0"/>
                <w:color w:val="auto"/>
                <w:sz w:val="24"/>
                <w:szCs w:val="24"/>
              </w:rPr>
            </w:pPr>
          </w:p>
          <w:p>
            <w:pPr>
              <w:spacing w:before="72" w:line="219" w:lineRule="auto"/>
              <w:ind w:left="47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1"/>
                <w:sz w:val="24"/>
                <w:szCs w:val="24"/>
              </w:rPr>
              <w:t>索凡替尼胶囊</w:t>
            </w:r>
          </w:p>
        </w:tc>
        <w:tc>
          <w:tcPr>
            <w:tcW w:w="3048" w:type="dxa"/>
            <w:vAlign w:val="top"/>
          </w:tcPr>
          <w:p>
            <w:pPr>
              <w:spacing w:before="187" w:line="220" w:lineRule="auto"/>
              <w:ind w:left="63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50" w:line="222" w:lineRule="auto"/>
              <w:ind w:left="107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499" w:type="dxa"/>
            <w:vAlign w:val="top"/>
          </w:tcPr>
          <w:p>
            <w:pPr>
              <w:spacing w:before="167" w:line="227" w:lineRule="auto"/>
              <w:ind w:left="124" w:right="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本品单药适用于无法手术切除的局部晚期或转移性、进展期非功能性、</w:t>
            </w:r>
            <w:r>
              <w:rPr>
                <w:rFonts w:hint="default" w:ascii="Times New Roman" w:hAnsi="Times New Roman" w:eastAsia="仿宋_GB2312" w:cs="Times New Roman"/>
                <w:b w:val="0"/>
                <w:bCs w:val="0"/>
                <w:color w:val="auto"/>
                <w:spacing w:val="2"/>
                <w:sz w:val="24"/>
                <w:szCs w:val="24"/>
              </w:rPr>
              <w:t>分化良好(G1、</w:t>
            </w:r>
            <w:r>
              <w:rPr>
                <w:rFonts w:hint="default" w:ascii="Times New Roman" w:hAnsi="Times New Roman" w:eastAsia="仿宋_GB2312" w:cs="Times New Roman"/>
                <w:b w:val="0"/>
                <w:bCs w:val="0"/>
                <w:color w:val="auto"/>
                <w:spacing w:val="5"/>
                <w:sz w:val="24"/>
                <w:szCs w:val="24"/>
              </w:rPr>
              <w:t>G2)的胰腺和非胰腺来源的神经内分泌瘤。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23" w:hRule="atLeast"/>
        </w:trPr>
        <w:tc>
          <w:tcPr>
            <w:tcW w:w="754" w:type="dxa"/>
            <w:vAlign w:val="top"/>
          </w:tcPr>
          <w:p>
            <w:pPr>
              <w:spacing w:line="245" w:lineRule="auto"/>
              <w:rPr>
                <w:rFonts w:hint="default" w:ascii="Times New Roman" w:hAnsi="Times New Roman" w:eastAsia="仿宋_GB2312" w:cs="Times New Roman"/>
                <w:b w:val="0"/>
                <w:bCs w:val="0"/>
                <w:color w:val="auto"/>
                <w:sz w:val="24"/>
                <w:szCs w:val="24"/>
              </w:rPr>
            </w:pPr>
          </w:p>
          <w:p>
            <w:pPr>
              <w:spacing w:line="245" w:lineRule="auto"/>
              <w:rPr>
                <w:rFonts w:hint="default" w:ascii="Times New Roman" w:hAnsi="Times New Roman" w:eastAsia="仿宋_GB2312" w:cs="Times New Roman"/>
                <w:b w:val="0"/>
                <w:bCs w:val="0"/>
                <w:color w:val="auto"/>
                <w:sz w:val="24"/>
                <w:szCs w:val="24"/>
              </w:rPr>
            </w:pPr>
          </w:p>
          <w:p>
            <w:pPr>
              <w:spacing w:before="71" w:line="183" w:lineRule="auto"/>
              <w:ind w:left="17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4"/>
                <w:sz w:val="24"/>
                <w:szCs w:val="24"/>
              </w:rPr>
              <w:t>35</w:t>
            </w:r>
          </w:p>
        </w:tc>
        <w:tc>
          <w:tcPr>
            <w:tcW w:w="2288" w:type="dxa"/>
            <w:vAlign w:val="top"/>
          </w:tcPr>
          <w:p>
            <w:pPr>
              <w:spacing w:line="433" w:lineRule="auto"/>
              <w:rPr>
                <w:rFonts w:hint="default" w:ascii="Times New Roman" w:hAnsi="Times New Roman" w:eastAsia="仿宋_GB2312" w:cs="Times New Roman"/>
                <w:b w:val="0"/>
                <w:bCs w:val="0"/>
                <w:color w:val="auto"/>
                <w:sz w:val="24"/>
                <w:szCs w:val="24"/>
              </w:rPr>
            </w:pPr>
          </w:p>
          <w:p>
            <w:pPr>
              <w:spacing w:before="72" w:line="219" w:lineRule="auto"/>
              <w:ind w:left="47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1"/>
                <w:sz w:val="24"/>
                <w:szCs w:val="24"/>
              </w:rPr>
              <w:t>泊马度胺胶囊</w:t>
            </w:r>
          </w:p>
        </w:tc>
        <w:tc>
          <w:tcPr>
            <w:tcW w:w="3048" w:type="dxa"/>
            <w:vAlign w:val="top"/>
          </w:tcPr>
          <w:p>
            <w:pPr>
              <w:spacing w:line="305" w:lineRule="auto"/>
              <w:rPr>
                <w:rFonts w:hint="default" w:ascii="Times New Roman" w:hAnsi="Times New Roman" w:eastAsia="仿宋_GB2312" w:cs="Times New Roman"/>
                <w:b w:val="0"/>
                <w:bCs w:val="0"/>
                <w:color w:val="auto"/>
                <w:sz w:val="24"/>
                <w:szCs w:val="24"/>
              </w:rPr>
            </w:pPr>
          </w:p>
          <w:p>
            <w:pPr>
              <w:spacing w:before="71" w:line="220" w:lineRule="auto"/>
              <w:ind w:left="63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60" w:line="222" w:lineRule="auto"/>
              <w:ind w:left="107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499" w:type="dxa"/>
            <w:vAlign w:val="top"/>
          </w:tcPr>
          <w:p>
            <w:pPr>
              <w:spacing w:before="207" w:line="242" w:lineRule="auto"/>
              <w:ind w:left="124" w:right="7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1"/>
                <w:sz w:val="24"/>
                <w:szCs w:val="24"/>
              </w:rPr>
              <w:t>本品与地塞米松联用，适用于既往接受过至少两种治疗(包括来那度胺和一种蛋白酶体</w:t>
            </w:r>
            <w:r>
              <w:rPr>
                <w:rFonts w:hint="default" w:ascii="Times New Roman" w:hAnsi="Times New Roman" w:eastAsia="仿宋_GB2312" w:cs="Times New Roman"/>
                <w:b w:val="0"/>
                <w:bCs w:val="0"/>
                <w:color w:val="auto"/>
                <w:spacing w:val="9"/>
                <w:sz w:val="24"/>
                <w:szCs w:val="24"/>
              </w:rPr>
              <w:t>抑制剂),且在最后一次治疗期间或治疗结束后60天内发生疾</w:t>
            </w:r>
            <w:r>
              <w:rPr>
                <w:rFonts w:hint="default" w:ascii="Times New Roman" w:hAnsi="Times New Roman" w:eastAsia="仿宋_GB2312" w:cs="Times New Roman"/>
                <w:b w:val="0"/>
                <w:bCs w:val="0"/>
                <w:color w:val="auto"/>
                <w:spacing w:val="8"/>
                <w:sz w:val="24"/>
                <w:szCs w:val="24"/>
              </w:rPr>
              <w:t>病进展的成年多发性骨</w:t>
            </w:r>
            <w:r>
              <w:rPr>
                <w:rFonts w:hint="default" w:ascii="Times New Roman" w:hAnsi="Times New Roman" w:eastAsia="仿宋_GB2312" w:cs="Times New Roman"/>
                <w:b w:val="0"/>
                <w:bCs w:val="0"/>
                <w:color w:val="auto"/>
                <w:spacing w:val="22"/>
                <w:sz w:val="24"/>
                <w:szCs w:val="24"/>
              </w:rPr>
              <w:t>髓瘤患者。</w:t>
            </w:r>
          </w:p>
        </w:tc>
      </w:tr>
    </w:tbl>
    <w:p>
      <w:pPr>
        <w:rPr>
          <w:rFonts w:hint="default" w:ascii="Times New Roman" w:hAnsi="Times New Roman" w:eastAsia="仿宋_GB2312" w:cs="Times New Roman"/>
          <w:b w:val="0"/>
          <w:bCs w:val="0"/>
          <w:color w:val="auto"/>
          <w:sz w:val="24"/>
          <w:szCs w:val="24"/>
        </w:rPr>
      </w:pPr>
    </w:p>
    <w:p>
      <w:pPr>
        <w:rPr>
          <w:rFonts w:hint="default" w:ascii="Times New Roman" w:hAnsi="Times New Roman" w:eastAsia="仿宋_GB2312" w:cs="Times New Roman"/>
          <w:b w:val="0"/>
          <w:bCs w:val="0"/>
          <w:color w:val="auto"/>
          <w:sz w:val="24"/>
          <w:szCs w:val="24"/>
        </w:rPr>
        <w:sectPr>
          <w:footerReference r:id="rId7" w:type="default"/>
          <w:pgSz w:w="16830" w:h="11900"/>
          <w:pgMar w:top="1440" w:right="1080" w:bottom="1440" w:left="1080" w:header="0" w:footer="825" w:gutter="0"/>
          <w:pgNumType w:fmt="decimal"/>
          <w:cols w:space="720" w:num="1"/>
        </w:sectPr>
      </w:pPr>
    </w:p>
    <w:p>
      <w:pPr>
        <w:spacing w:line="73" w:lineRule="exact"/>
        <w:rPr>
          <w:rFonts w:hint="default" w:ascii="Times New Roman" w:hAnsi="Times New Roman" w:eastAsia="仿宋_GB2312" w:cs="Times New Roman"/>
          <w:b w:val="0"/>
          <w:bCs w:val="0"/>
          <w:color w:val="auto"/>
          <w:sz w:val="24"/>
          <w:szCs w:val="24"/>
        </w:rPr>
      </w:pPr>
    </w:p>
    <w:tbl>
      <w:tblPr>
        <w:tblStyle w:val="6"/>
        <w:tblW w:w="146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2329"/>
        <w:gridCol w:w="3048"/>
        <w:gridCol w:w="85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4" w:hRule="atLeast"/>
        </w:trPr>
        <w:tc>
          <w:tcPr>
            <w:tcW w:w="754" w:type="dxa"/>
            <w:vAlign w:val="top"/>
          </w:tcPr>
          <w:p>
            <w:pPr>
              <w:spacing w:before="152" w:line="221" w:lineRule="auto"/>
              <w:ind w:left="148"/>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5"/>
                <w:sz w:val="24"/>
                <w:szCs w:val="24"/>
              </w:rPr>
              <w:t>序号</w:t>
            </w:r>
          </w:p>
        </w:tc>
        <w:tc>
          <w:tcPr>
            <w:tcW w:w="2329" w:type="dxa"/>
            <w:vAlign w:val="top"/>
          </w:tcPr>
          <w:p>
            <w:pPr>
              <w:spacing w:before="151" w:line="220" w:lineRule="auto"/>
              <w:ind w:left="71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5"/>
                <w:sz w:val="24"/>
                <w:szCs w:val="24"/>
              </w:rPr>
              <w:t>药品名称</w:t>
            </w:r>
          </w:p>
        </w:tc>
        <w:tc>
          <w:tcPr>
            <w:tcW w:w="3048" w:type="dxa"/>
            <w:vAlign w:val="top"/>
          </w:tcPr>
          <w:p>
            <w:pPr>
              <w:spacing w:before="151" w:line="219" w:lineRule="auto"/>
              <w:ind w:left="16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对应门诊特殊慢性病病种</w:t>
            </w:r>
          </w:p>
        </w:tc>
        <w:tc>
          <w:tcPr>
            <w:tcW w:w="8519" w:type="dxa"/>
            <w:vAlign w:val="top"/>
          </w:tcPr>
          <w:p>
            <w:pPr>
              <w:spacing w:before="152" w:line="221" w:lineRule="auto"/>
              <w:ind w:left="3877"/>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8"/>
                <w:sz w:val="24"/>
                <w:szCs w:val="24"/>
                <w:lang w:val="en-US" w:eastAsia="zh-CN"/>
              </w:rPr>
              <w:t>限定支付范围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9" w:hRule="atLeast"/>
        </w:trPr>
        <w:tc>
          <w:tcPr>
            <w:tcW w:w="754" w:type="dxa"/>
            <w:vAlign w:val="top"/>
          </w:tcPr>
          <w:p>
            <w:pPr>
              <w:spacing w:line="283" w:lineRule="auto"/>
              <w:rPr>
                <w:rFonts w:hint="default" w:ascii="Times New Roman" w:hAnsi="Times New Roman" w:eastAsia="仿宋_GB2312" w:cs="Times New Roman"/>
                <w:b w:val="0"/>
                <w:bCs w:val="0"/>
                <w:color w:val="auto"/>
                <w:sz w:val="24"/>
                <w:szCs w:val="24"/>
              </w:rPr>
            </w:pPr>
          </w:p>
          <w:p>
            <w:pPr>
              <w:spacing w:before="72" w:line="183" w:lineRule="auto"/>
              <w:ind w:left="25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4"/>
                <w:sz w:val="24"/>
                <w:szCs w:val="24"/>
              </w:rPr>
              <w:t>36</w:t>
            </w:r>
          </w:p>
        </w:tc>
        <w:tc>
          <w:tcPr>
            <w:tcW w:w="2329" w:type="dxa"/>
            <w:vAlign w:val="top"/>
          </w:tcPr>
          <w:p>
            <w:pPr>
              <w:spacing w:before="300" w:line="219" w:lineRule="auto"/>
              <w:ind w:left="601"/>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阿帕他胺片</w:t>
            </w:r>
          </w:p>
        </w:tc>
        <w:tc>
          <w:tcPr>
            <w:tcW w:w="3048" w:type="dxa"/>
            <w:vAlign w:val="top"/>
          </w:tcPr>
          <w:p>
            <w:pPr>
              <w:spacing w:before="180" w:line="220" w:lineRule="auto"/>
              <w:ind w:left="631"/>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40" w:line="222" w:lineRule="auto"/>
              <w:ind w:left="107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519" w:type="dxa"/>
            <w:vAlign w:val="top"/>
          </w:tcPr>
          <w:p>
            <w:pPr>
              <w:spacing w:before="158" w:line="236" w:lineRule="auto"/>
              <w:ind w:left="124" w:right="11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7"/>
                <w:sz w:val="24"/>
                <w:szCs w:val="24"/>
              </w:rPr>
              <w:t>1.转移性内分泌治疗敏感性前列腺癌(</w:t>
            </w:r>
            <w:r>
              <w:rPr>
                <w:rFonts w:hint="default" w:ascii="Times New Roman" w:hAnsi="Times New Roman" w:eastAsia="仿宋_GB2312" w:cs="Times New Roman"/>
                <w:b w:val="0"/>
                <w:bCs w:val="0"/>
                <w:color w:val="auto"/>
                <w:sz w:val="24"/>
                <w:szCs w:val="24"/>
              </w:rPr>
              <w:t>mHSPC</w:t>
            </w:r>
            <w:r>
              <w:rPr>
                <w:rFonts w:hint="default" w:ascii="Times New Roman" w:hAnsi="Times New Roman" w:eastAsia="仿宋_GB2312" w:cs="Times New Roman"/>
                <w:b w:val="0"/>
                <w:bCs w:val="0"/>
                <w:color w:val="auto"/>
                <w:spacing w:val="7"/>
                <w:sz w:val="24"/>
                <w:szCs w:val="24"/>
              </w:rPr>
              <w:t>)成</w:t>
            </w:r>
            <w:r>
              <w:rPr>
                <w:rFonts w:hint="default" w:ascii="Times New Roman" w:hAnsi="Times New Roman" w:eastAsia="仿宋_GB2312" w:cs="Times New Roman"/>
                <w:b w:val="0"/>
                <w:bCs w:val="0"/>
                <w:color w:val="auto"/>
                <w:spacing w:val="6"/>
                <w:sz w:val="24"/>
                <w:szCs w:val="24"/>
              </w:rPr>
              <w:t>年患者。2.有高危转移风险的非转移</w:t>
            </w:r>
            <w:r>
              <w:rPr>
                <w:rFonts w:hint="default" w:ascii="Times New Roman" w:hAnsi="Times New Roman" w:eastAsia="仿宋_GB2312" w:cs="Times New Roman"/>
                <w:b w:val="0"/>
                <w:bCs w:val="0"/>
                <w:color w:val="auto"/>
                <w:spacing w:val="9"/>
                <w:sz w:val="24"/>
                <w:szCs w:val="24"/>
              </w:rPr>
              <w:t>性去势抵抗性前列腺癌(</w:t>
            </w:r>
            <w:r>
              <w:rPr>
                <w:rFonts w:hint="default" w:ascii="Times New Roman" w:hAnsi="Times New Roman" w:eastAsia="仿宋_GB2312" w:cs="Times New Roman"/>
                <w:b w:val="0"/>
                <w:bCs w:val="0"/>
                <w:color w:val="auto"/>
                <w:sz w:val="24"/>
                <w:szCs w:val="24"/>
              </w:rPr>
              <w:t>NM</w:t>
            </w:r>
            <w:r>
              <w:rPr>
                <w:rFonts w:hint="default" w:ascii="Times New Roman" w:hAnsi="Times New Roman" w:eastAsia="仿宋_GB2312" w:cs="Times New Roman"/>
                <w:b w:val="0"/>
                <w:bCs w:val="0"/>
                <w:color w:val="auto"/>
                <w:spacing w:val="9"/>
                <w:sz w:val="24"/>
                <w:szCs w:val="24"/>
              </w:rPr>
              <w:t>-</w:t>
            </w:r>
            <w:r>
              <w:rPr>
                <w:rFonts w:hint="default" w:ascii="Times New Roman" w:hAnsi="Times New Roman" w:eastAsia="仿宋_GB2312" w:cs="Times New Roman"/>
                <w:b w:val="0"/>
                <w:bCs w:val="0"/>
                <w:color w:val="auto"/>
                <w:sz w:val="24"/>
                <w:szCs w:val="24"/>
              </w:rPr>
              <w:t>CRPC</w:t>
            </w:r>
            <w:r>
              <w:rPr>
                <w:rFonts w:hint="default" w:ascii="Times New Roman" w:hAnsi="Times New Roman" w:eastAsia="仿宋_GB2312" w:cs="Times New Roman"/>
                <w:b w:val="0"/>
                <w:bCs w:val="0"/>
                <w:color w:val="auto"/>
                <w:spacing w:val="9"/>
                <w:sz w:val="24"/>
                <w:szCs w:val="24"/>
              </w:rPr>
              <w:t>)成年患者。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9" w:hRule="atLeast"/>
        </w:trPr>
        <w:tc>
          <w:tcPr>
            <w:tcW w:w="754" w:type="dxa"/>
            <w:vAlign w:val="top"/>
          </w:tcPr>
          <w:p>
            <w:pPr>
              <w:spacing w:line="244" w:lineRule="auto"/>
              <w:rPr>
                <w:rFonts w:hint="default" w:ascii="Times New Roman" w:hAnsi="Times New Roman" w:eastAsia="仿宋_GB2312" w:cs="Times New Roman"/>
                <w:b w:val="0"/>
                <w:bCs w:val="0"/>
                <w:color w:val="auto"/>
                <w:sz w:val="24"/>
                <w:szCs w:val="24"/>
              </w:rPr>
            </w:pPr>
          </w:p>
          <w:p>
            <w:pPr>
              <w:spacing w:before="72" w:line="183" w:lineRule="auto"/>
              <w:ind w:left="25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4"/>
                <w:sz w:val="24"/>
                <w:szCs w:val="24"/>
              </w:rPr>
              <w:t>37</w:t>
            </w:r>
          </w:p>
        </w:tc>
        <w:tc>
          <w:tcPr>
            <w:tcW w:w="2329" w:type="dxa"/>
            <w:vAlign w:val="top"/>
          </w:tcPr>
          <w:p>
            <w:pPr>
              <w:spacing w:before="261" w:line="220" w:lineRule="auto"/>
              <w:ind w:left="601"/>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达罗他胺片</w:t>
            </w:r>
          </w:p>
        </w:tc>
        <w:tc>
          <w:tcPr>
            <w:tcW w:w="3048" w:type="dxa"/>
            <w:vAlign w:val="top"/>
          </w:tcPr>
          <w:p>
            <w:pPr>
              <w:spacing w:before="141" w:line="220" w:lineRule="auto"/>
              <w:ind w:left="631"/>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40" w:line="222" w:lineRule="auto"/>
              <w:ind w:left="107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519" w:type="dxa"/>
            <w:vAlign w:val="top"/>
          </w:tcPr>
          <w:p>
            <w:pPr>
              <w:spacing w:before="261" w:line="219" w:lineRule="auto"/>
              <w:ind w:left="12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适用于治疗有高危转移风险的非转移性去势抵抗性前列腺癌(</w:t>
            </w:r>
            <w:r>
              <w:rPr>
                <w:rFonts w:hint="default" w:ascii="Times New Roman" w:hAnsi="Times New Roman" w:eastAsia="仿宋_GB2312" w:cs="Times New Roman"/>
                <w:b w:val="0"/>
                <w:bCs w:val="0"/>
                <w:color w:val="auto"/>
                <w:sz w:val="24"/>
                <w:szCs w:val="24"/>
              </w:rPr>
              <w:t>NM</w:t>
            </w:r>
            <w:r>
              <w:rPr>
                <w:rFonts w:hint="default" w:ascii="Times New Roman" w:hAnsi="Times New Roman" w:eastAsia="仿宋_GB2312" w:cs="Times New Roman"/>
                <w:b w:val="0"/>
                <w:bCs w:val="0"/>
                <w:color w:val="auto"/>
                <w:spacing w:val="6"/>
                <w:sz w:val="24"/>
                <w:szCs w:val="24"/>
              </w:rPr>
              <w:t>-</w:t>
            </w:r>
            <w:r>
              <w:rPr>
                <w:rFonts w:hint="default" w:ascii="Times New Roman" w:hAnsi="Times New Roman" w:eastAsia="仿宋_GB2312" w:cs="Times New Roman"/>
                <w:b w:val="0"/>
                <w:bCs w:val="0"/>
                <w:color w:val="auto"/>
                <w:sz w:val="24"/>
                <w:szCs w:val="24"/>
              </w:rPr>
              <w:t>CRPC</w:t>
            </w:r>
            <w:r>
              <w:rPr>
                <w:rFonts w:hint="default" w:ascii="Times New Roman" w:hAnsi="Times New Roman" w:eastAsia="仿宋_GB2312" w:cs="Times New Roman"/>
                <w:b w:val="0"/>
                <w:bCs w:val="0"/>
                <w:color w:val="auto"/>
                <w:spacing w:val="6"/>
                <w:sz w:val="24"/>
                <w:szCs w:val="24"/>
              </w:rPr>
              <w:t>)</w:t>
            </w:r>
            <w:r>
              <w:rPr>
                <w:rFonts w:hint="default" w:ascii="Times New Roman" w:hAnsi="Times New Roman" w:eastAsia="仿宋_GB2312" w:cs="Times New Roman"/>
                <w:b w:val="0"/>
                <w:bCs w:val="0"/>
                <w:color w:val="auto"/>
                <w:spacing w:val="5"/>
                <w:sz w:val="24"/>
                <w:szCs w:val="24"/>
              </w:rPr>
              <w:t>成年患者。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9" w:hRule="atLeast"/>
        </w:trPr>
        <w:tc>
          <w:tcPr>
            <w:tcW w:w="754" w:type="dxa"/>
            <w:vAlign w:val="top"/>
          </w:tcPr>
          <w:p>
            <w:pPr>
              <w:spacing w:line="474" w:lineRule="auto"/>
              <w:rPr>
                <w:rFonts w:hint="default" w:ascii="Times New Roman" w:hAnsi="Times New Roman" w:eastAsia="仿宋_GB2312" w:cs="Times New Roman"/>
                <w:b w:val="0"/>
                <w:bCs w:val="0"/>
                <w:color w:val="auto"/>
                <w:sz w:val="24"/>
                <w:szCs w:val="24"/>
              </w:rPr>
            </w:pPr>
          </w:p>
          <w:p>
            <w:pPr>
              <w:spacing w:before="71" w:line="183" w:lineRule="auto"/>
              <w:ind w:left="25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4"/>
                <w:sz w:val="24"/>
                <w:szCs w:val="24"/>
              </w:rPr>
              <w:t>38</w:t>
            </w:r>
          </w:p>
        </w:tc>
        <w:tc>
          <w:tcPr>
            <w:tcW w:w="2329" w:type="dxa"/>
            <w:vAlign w:val="top"/>
          </w:tcPr>
          <w:p>
            <w:pPr>
              <w:spacing w:line="286" w:lineRule="auto"/>
              <w:rPr>
                <w:rFonts w:hint="default" w:ascii="Times New Roman" w:hAnsi="Times New Roman" w:eastAsia="仿宋_GB2312" w:cs="Times New Roman"/>
                <w:b w:val="0"/>
                <w:bCs w:val="0"/>
                <w:color w:val="auto"/>
                <w:sz w:val="24"/>
                <w:szCs w:val="24"/>
              </w:rPr>
            </w:pPr>
          </w:p>
          <w:p>
            <w:pPr>
              <w:spacing w:before="72"/>
              <w:ind w:left="1040" w:right="164" w:hanging="88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1"/>
                <w:sz w:val="24"/>
                <w:szCs w:val="24"/>
              </w:rPr>
              <w:t>来那度胺口服常释剂</w:t>
            </w:r>
            <w:r>
              <w:rPr>
                <w:rFonts w:hint="default" w:ascii="Times New Roman" w:hAnsi="Times New Roman" w:eastAsia="仿宋_GB2312" w:cs="Times New Roman"/>
                <w:b w:val="0"/>
                <w:bCs w:val="0"/>
                <w:color w:val="auto"/>
                <w:sz w:val="24"/>
                <w:szCs w:val="24"/>
              </w:rPr>
              <w:t>型</w:t>
            </w:r>
          </w:p>
        </w:tc>
        <w:tc>
          <w:tcPr>
            <w:tcW w:w="3048" w:type="dxa"/>
            <w:vAlign w:val="top"/>
          </w:tcPr>
          <w:p>
            <w:pPr>
              <w:spacing w:line="309" w:lineRule="auto"/>
              <w:rPr>
                <w:rFonts w:hint="default" w:ascii="Times New Roman" w:hAnsi="Times New Roman" w:eastAsia="仿宋_GB2312" w:cs="Times New Roman"/>
                <w:b w:val="0"/>
                <w:bCs w:val="0"/>
                <w:color w:val="auto"/>
                <w:sz w:val="24"/>
                <w:szCs w:val="24"/>
              </w:rPr>
            </w:pPr>
          </w:p>
          <w:p>
            <w:pPr>
              <w:spacing w:before="71" w:line="220" w:lineRule="auto"/>
              <w:ind w:left="631"/>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60" w:line="222" w:lineRule="auto"/>
              <w:ind w:left="107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519" w:type="dxa"/>
            <w:vAlign w:val="top"/>
          </w:tcPr>
          <w:p>
            <w:pPr>
              <w:spacing w:before="221" w:line="242" w:lineRule="auto"/>
              <w:ind w:left="124" w:right="1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限曾接受过至少一种疗法的多发性骨髓瘤的成年患者，并满足以下条件：1.每2个疗程需提供治疗有效的证据后方可继续支付；2.由三级医院血液专科或血液专科医院医师处</w:t>
            </w:r>
            <w:r>
              <w:rPr>
                <w:rFonts w:hint="default" w:ascii="Times New Roman" w:hAnsi="Times New Roman" w:eastAsia="仿宋_GB2312" w:cs="Times New Roman"/>
                <w:b w:val="0"/>
                <w:bCs w:val="0"/>
                <w:color w:val="auto"/>
                <w:spacing w:val="-5"/>
                <w:sz w:val="24"/>
                <w:szCs w:val="24"/>
              </w:rPr>
              <w:t>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99" w:hRule="atLeast"/>
        </w:trPr>
        <w:tc>
          <w:tcPr>
            <w:tcW w:w="754" w:type="dxa"/>
            <w:vAlign w:val="top"/>
          </w:tcPr>
          <w:p>
            <w:pPr>
              <w:spacing w:line="326" w:lineRule="auto"/>
              <w:rPr>
                <w:rFonts w:hint="default" w:ascii="Times New Roman" w:hAnsi="Times New Roman" w:eastAsia="仿宋_GB2312" w:cs="Times New Roman"/>
                <w:b w:val="0"/>
                <w:bCs w:val="0"/>
                <w:color w:val="auto"/>
                <w:sz w:val="24"/>
                <w:szCs w:val="24"/>
              </w:rPr>
            </w:pPr>
          </w:p>
          <w:p>
            <w:pPr>
              <w:spacing w:before="71" w:line="183" w:lineRule="auto"/>
              <w:ind w:left="25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4"/>
                <w:sz w:val="24"/>
                <w:szCs w:val="24"/>
              </w:rPr>
              <w:t>39</w:t>
            </w:r>
          </w:p>
        </w:tc>
        <w:tc>
          <w:tcPr>
            <w:tcW w:w="2329" w:type="dxa"/>
            <w:vAlign w:val="top"/>
          </w:tcPr>
          <w:p>
            <w:pPr>
              <w:spacing w:line="270" w:lineRule="auto"/>
              <w:rPr>
                <w:rFonts w:hint="default" w:ascii="Times New Roman" w:hAnsi="Times New Roman" w:eastAsia="仿宋_GB2312" w:cs="Times New Roman"/>
                <w:b w:val="0"/>
                <w:bCs w:val="0"/>
                <w:color w:val="auto"/>
                <w:sz w:val="24"/>
                <w:szCs w:val="24"/>
              </w:rPr>
            </w:pPr>
          </w:p>
          <w:p>
            <w:pPr>
              <w:spacing w:before="71" w:line="219" w:lineRule="auto"/>
              <w:ind w:left="381"/>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注射用罗普司亭</w:t>
            </w:r>
          </w:p>
        </w:tc>
        <w:tc>
          <w:tcPr>
            <w:tcW w:w="3048" w:type="dxa"/>
            <w:vAlign w:val="top"/>
          </w:tcPr>
          <w:p>
            <w:pPr>
              <w:spacing w:before="221" w:line="219" w:lineRule="auto"/>
              <w:ind w:left="191"/>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原发性免疫性血小板减少症</w:t>
            </w:r>
          </w:p>
          <w:p>
            <w:pPr>
              <w:spacing w:before="63" w:line="222" w:lineRule="auto"/>
              <w:ind w:left="107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(M01501)</w:t>
            </w:r>
          </w:p>
        </w:tc>
        <w:tc>
          <w:tcPr>
            <w:tcW w:w="8519" w:type="dxa"/>
            <w:vAlign w:val="top"/>
          </w:tcPr>
          <w:p>
            <w:pPr>
              <w:spacing w:before="212" w:line="239" w:lineRule="auto"/>
              <w:ind w:left="124" w:right="66"/>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4"/>
                <w:sz w:val="24"/>
                <w:szCs w:val="24"/>
              </w:rPr>
              <w:t>限对其他治疗(例如皮质类固醇、免疫球蛋白)治疗反应不佳的成人(≥18周岁)慢性原</w:t>
            </w:r>
            <w:r>
              <w:rPr>
                <w:rFonts w:hint="default" w:ascii="Times New Roman" w:hAnsi="Times New Roman" w:eastAsia="仿宋_GB2312" w:cs="Times New Roman"/>
                <w:b w:val="0"/>
                <w:bCs w:val="0"/>
                <w:color w:val="auto"/>
                <w:spacing w:val="7"/>
                <w:sz w:val="24"/>
                <w:szCs w:val="24"/>
              </w:rPr>
              <w:t>发免疫性血小板减少症(</w:t>
            </w:r>
            <w:r>
              <w:rPr>
                <w:rFonts w:hint="default" w:ascii="Times New Roman" w:hAnsi="Times New Roman" w:eastAsia="仿宋_GB2312" w:cs="Times New Roman"/>
                <w:b w:val="0"/>
                <w:bCs w:val="0"/>
                <w:color w:val="auto"/>
                <w:sz w:val="24"/>
                <w:szCs w:val="24"/>
              </w:rPr>
              <w:t>ITP</w:t>
            </w:r>
            <w:r>
              <w:rPr>
                <w:rFonts w:hint="default" w:ascii="Times New Roman" w:hAnsi="Times New Roman" w:eastAsia="仿宋_GB2312" w:cs="Times New Roman"/>
                <w:b w:val="0"/>
                <w:bCs w:val="0"/>
                <w:color w:val="auto"/>
                <w:spacing w:val="7"/>
                <w:sz w:val="24"/>
                <w:szCs w:val="24"/>
              </w:rPr>
              <w:t>)患者。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9" w:hRule="atLeast"/>
        </w:trPr>
        <w:tc>
          <w:tcPr>
            <w:tcW w:w="754" w:type="dxa"/>
            <w:vAlign w:val="top"/>
          </w:tcPr>
          <w:p>
            <w:pPr>
              <w:spacing w:line="257" w:lineRule="auto"/>
              <w:rPr>
                <w:rFonts w:hint="default" w:ascii="Times New Roman" w:hAnsi="Times New Roman" w:eastAsia="仿宋_GB2312" w:cs="Times New Roman"/>
                <w:b w:val="0"/>
                <w:bCs w:val="0"/>
                <w:color w:val="auto"/>
                <w:sz w:val="24"/>
                <w:szCs w:val="24"/>
              </w:rPr>
            </w:pPr>
          </w:p>
          <w:p>
            <w:pPr>
              <w:spacing w:before="72" w:line="183" w:lineRule="auto"/>
              <w:ind w:left="25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40</w:t>
            </w:r>
          </w:p>
        </w:tc>
        <w:tc>
          <w:tcPr>
            <w:tcW w:w="2329" w:type="dxa"/>
            <w:vAlign w:val="top"/>
          </w:tcPr>
          <w:p>
            <w:pPr>
              <w:spacing w:before="274" w:line="219" w:lineRule="auto"/>
              <w:ind w:left="381"/>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注射用罗特西普</w:t>
            </w:r>
          </w:p>
        </w:tc>
        <w:tc>
          <w:tcPr>
            <w:tcW w:w="3048" w:type="dxa"/>
            <w:vAlign w:val="top"/>
          </w:tcPr>
          <w:p>
            <w:pPr>
              <w:spacing w:before="154" w:line="220" w:lineRule="auto"/>
              <w:ind w:left="30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1"/>
                <w:sz w:val="24"/>
                <w:szCs w:val="24"/>
              </w:rPr>
              <w:t>重型和中间型地中海贫血</w:t>
            </w:r>
          </w:p>
          <w:p>
            <w:pPr>
              <w:spacing w:before="60" w:line="222" w:lineRule="auto"/>
              <w:ind w:left="107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(M01103)</w:t>
            </w:r>
          </w:p>
        </w:tc>
        <w:tc>
          <w:tcPr>
            <w:tcW w:w="8519" w:type="dxa"/>
            <w:vAlign w:val="top"/>
          </w:tcPr>
          <w:p>
            <w:pPr>
              <w:spacing w:before="274" w:line="220" w:lineRule="auto"/>
              <w:ind w:left="12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8"/>
                <w:sz w:val="24"/>
                <w:szCs w:val="24"/>
              </w:rPr>
              <w:t>限β-地中海贫血成人患者。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9" w:hRule="atLeast"/>
        </w:trPr>
        <w:tc>
          <w:tcPr>
            <w:tcW w:w="754" w:type="dxa"/>
            <w:vAlign w:val="top"/>
          </w:tcPr>
          <w:p>
            <w:pPr>
              <w:spacing w:line="257" w:lineRule="auto"/>
              <w:rPr>
                <w:rFonts w:hint="default" w:ascii="Times New Roman" w:hAnsi="Times New Roman" w:eastAsia="仿宋_GB2312" w:cs="Times New Roman"/>
                <w:b w:val="0"/>
                <w:bCs w:val="0"/>
                <w:color w:val="auto"/>
                <w:sz w:val="24"/>
                <w:szCs w:val="24"/>
              </w:rPr>
            </w:pPr>
          </w:p>
          <w:p>
            <w:pPr>
              <w:spacing w:before="71" w:line="184" w:lineRule="auto"/>
              <w:ind w:left="25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41</w:t>
            </w:r>
          </w:p>
        </w:tc>
        <w:tc>
          <w:tcPr>
            <w:tcW w:w="2329" w:type="dxa"/>
            <w:vAlign w:val="top"/>
          </w:tcPr>
          <w:p>
            <w:pPr>
              <w:spacing w:before="275" w:line="219" w:lineRule="auto"/>
              <w:ind w:left="601"/>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洛拉替尼片</w:t>
            </w:r>
          </w:p>
        </w:tc>
        <w:tc>
          <w:tcPr>
            <w:tcW w:w="3048" w:type="dxa"/>
            <w:vAlign w:val="top"/>
          </w:tcPr>
          <w:p>
            <w:pPr>
              <w:spacing w:before="165" w:line="220" w:lineRule="auto"/>
              <w:ind w:left="631"/>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40" w:line="222" w:lineRule="auto"/>
              <w:ind w:left="107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519" w:type="dxa"/>
            <w:vAlign w:val="top"/>
          </w:tcPr>
          <w:p>
            <w:pPr>
              <w:spacing w:before="273" w:line="218" w:lineRule="auto"/>
              <w:ind w:left="12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限间变性淋巴瘤激酶(</w:t>
            </w:r>
            <w:r>
              <w:rPr>
                <w:rFonts w:hint="default" w:ascii="Times New Roman" w:hAnsi="Times New Roman" w:eastAsia="仿宋_GB2312" w:cs="Times New Roman"/>
                <w:b w:val="0"/>
                <w:bCs w:val="0"/>
                <w:color w:val="auto"/>
                <w:sz w:val="24"/>
                <w:szCs w:val="24"/>
              </w:rPr>
              <w:t>ALK</w:t>
            </w:r>
            <w:r>
              <w:rPr>
                <w:rFonts w:hint="default" w:ascii="Times New Roman" w:hAnsi="Times New Roman" w:eastAsia="仿宋_GB2312" w:cs="Times New Roman"/>
                <w:b w:val="0"/>
                <w:bCs w:val="0"/>
                <w:color w:val="auto"/>
                <w:spacing w:val="3"/>
                <w:sz w:val="24"/>
                <w:szCs w:val="24"/>
              </w:rPr>
              <w:t>)阳性的局部晚期或转移性非小细胞肺癌患者。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9" w:hRule="atLeast"/>
        </w:trPr>
        <w:tc>
          <w:tcPr>
            <w:tcW w:w="754" w:type="dxa"/>
            <w:vAlign w:val="top"/>
          </w:tcPr>
          <w:p>
            <w:pPr>
              <w:spacing w:line="279" w:lineRule="auto"/>
              <w:rPr>
                <w:rFonts w:hint="default" w:ascii="Times New Roman" w:hAnsi="Times New Roman" w:eastAsia="仿宋_GB2312" w:cs="Times New Roman"/>
                <w:b w:val="0"/>
                <w:bCs w:val="0"/>
                <w:color w:val="auto"/>
                <w:sz w:val="24"/>
                <w:szCs w:val="24"/>
              </w:rPr>
            </w:pPr>
          </w:p>
          <w:p>
            <w:pPr>
              <w:spacing w:before="72" w:line="183" w:lineRule="auto"/>
              <w:ind w:left="25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42</w:t>
            </w:r>
          </w:p>
        </w:tc>
        <w:tc>
          <w:tcPr>
            <w:tcW w:w="2329" w:type="dxa"/>
            <w:vAlign w:val="top"/>
          </w:tcPr>
          <w:p>
            <w:pPr>
              <w:spacing w:before="294" w:line="219" w:lineRule="auto"/>
              <w:ind w:left="601"/>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布格替尼片</w:t>
            </w:r>
          </w:p>
        </w:tc>
        <w:tc>
          <w:tcPr>
            <w:tcW w:w="3048" w:type="dxa"/>
            <w:vAlign w:val="top"/>
          </w:tcPr>
          <w:p>
            <w:pPr>
              <w:spacing w:before="196" w:line="220" w:lineRule="auto"/>
              <w:ind w:left="631"/>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40" w:line="222" w:lineRule="auto"/>
              <w:ind w:left="107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519" w:type="dxa"/>
            <w:vAlign w:val="top"/>
          </w:tcPr>
          <w:p>
            <w:pPr>
              <w:spacing w:before="294" w:line="218" w:lineRule="auto"/>
              <w:ind w:left="12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限间变性淋巴瘤激酶(</w:t>
            </w:r>
            <w:r>
              <w:rPr>
                <w:rFonts w:hint="default" w:ascii="Times New Roman" w:hAnsi="Times New Roman" w:eastAsia="仿宋_GB2312" w:cs="Times New Roman"/>
                <w:b w:val="0"/>
                <w:bCs w:val="0"/>
                <w:color w:val="auto"/>
                <w:sz w:val="24"/>
                <w:szCs w:val="24"/>
              </w:rPr>
              <w:t>ALK</w:t>
            </w:r>
            <w:r>
              <w:rPr>
                <w:rFonts w:hint="default" w:ascii="Times New Roman" w:hAnsi="Times New Roman" w:eastAsia="仿宋_GB2312" w:cs="Times New Roman"/>
                <w:b w:val="0"/>
                <w:bCs w:val="0"/>
                <w:color w:val="auto"/>
                <w:spacing w:val="3"/>
                <w:sz w:val="24"/>
                <w:szCs w:val="24"/>
              </w:rPr>
              <w:t>)阳性的局部晚期或转移性的非小细胞肺癌(</w:t>
            </w:r>
            <w:r>
              <w:rPr>
                <w:rFonts w:hint="default" w:ascii="Times New Roman" w:hAnsi="Times New Roman" w:eastAsia="仿宋_GB2312" w:cs="Times New Roman"/>
                <w:b w:val="0"/>
                <w:bCs w:val="0"/>
                <w:color w:val="auto"/>
                <w:sz w:val="24"/>
                <w:szCs w:val="24"/>
              </w:rPr>
              <w:t>NSCLC</w:t>
            </w:r>
            <w:r>
              <w:rPr>
                <w:rFonts w:hint="default" w:ascii="Times New Roman" w:hAnsi="Times New Roman" w:eastAsia="仿宋_GB2312" w:cs="Times New Roman"/>
                <w:b w:val="0"/>
                <w:bCs w:val="0"/>
                <w:color w:val="auto"/>
                <w:spacing w:val="3"/>
                <w:sz w:val="24"/>
                <w:szCs w:val="24"/>
              </w:rPr>
              <w:t>)患者。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9" w:hRule="atLeast"/>
        </w:trPr>
        <w:tc>
          <w:tcPr>
            <w:tcW w:w="754" w:type="dxa"/>
            <w:vAlign w:val="top"/>
          </w:tcPr>
          <w:p>
            <w:pPr>
              <w:spacing w:line="300" w:lineRule="auto"/>
              <w:rPr>
                <w:rFonts w:hint="default" w:ascii="Times New Roman" w:hAnsi="Times New Roman" w:eastAsia="仿宋_GB2312" w:cs="Times New Roman"/>
                <w:b w:val="0"/>
                <w:bCs w:val="0"/>
                <w:color w:val="auto"/>
                <w:sz w:val="24"/>
                <w:szCs w:val="24"/>
              </w:rPr>
            </w:pPr>
          </w:p>
          <w:p>
            <w:pPr>
              <w:spacing w:before="71" w:line="183" w:lineRule="auto"/>
              <w:ind w:left="25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43</w:t>
            </w:r>
          </w:p>
        </w:tc>
        <w:tc>
          <w:tcPr>
            <w:tcW w:w="2329" w:type="dxa"/>
            <w:vAlign w:val="top"/>
          </w:tcPr>
          <w:p>
            <w:pPr>
              <w:spacing w:line="244" w:lineRule="auto"/>
              <w:rPr>
                <w:rFonts w:hint="default" w:ascii="Times New Roman" w:hAnsi="Times New Roman" w:eastAsia="仿宋_GB2312" w:cs="Times New Roman"/>
                <w:b w:val="0"/>
                <w:bCs w:val="0"/>
                <w:color w:val="auto"/>
                <w:sz w:val="24"/>
                <w:szCs w:val="24"/>
              </w:rPr>
            </w:pPr>
          </w:p>
          <w:p>
            <w:pPr>
              <w:spacing w:before="71" w:line="219" w:lineRule="auto"/>
              <w:ind w:left="601"/>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赛沃替尼片</w:t>
            </w:r>
          </w:p>
        </w:tc>
        <w:tc>
          <w:tcPr>
            <w:tcW w:w="3048" w:type="dxa"/>
            <w:vAlign w:val="top"/>
          </w:tcPr>
          <w:p>
            <w:pPr>
              <w:spacing w:before="227" w:line="220" w:lineRule="auto"/>
              <w:ind w:left="631"/>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40" w:line="222" w:lineRule="auto"/>
              <w:ind w:left="107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519" w:type="dxa"/>
            <w:vAlign w:val="top"/>
          </w:tcPr>
          <w:p>
            <w:pPr>
              <w:spacing w:before="197" w:line="245" w:lineRule="auto"/>
              <w:ind w:left="124" w:right="9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7"/>
                <w:sz w:val="24"/>
                <w:szCs w:val="24"/>
              </w:rPr>
              <w:t>限含铂化疗后疾病进展或不耐受标准含铂化疗的、</w:t>
            </w:r>
            <w:r>
              <w:rPr>
                <w:rFonts w:hint="default" w:ascii="Times New Roman" w:hAnsi="Times New Roman" w:eastAsia="仿宋_GB2312" w:cs="Times New Roman"/>
                <w:b w:val="0"/>
                <w:bCs w:val="0"/>
                <w:color w:val="auto"/>
                <w:sz w:val="24"/>
                <w:szCs w:val="24"/>
              </w:rPr>
              <w:t>MET</w:t>
            </w:r>
            <w:r>
              <w:rPr>
                <w:rFonts w:hint="default" w:ascii="Times New Roman" w:hAnsi="Times New Roman" w:eastAsia="仿宋_GB2312" w:cs="Times New Roman"/>
                <w:b w:val="0"/>
                <w:bCs w:val="0"/>
                <w:color w:val="auto"/>
                <w:spacing w:val="7"/>
                <w:sz w:val="24"/>
                <w:szCs w:val="24"/>
              </w:rPr>
              <w:t>外显子14跳变的局部晚期或转</w:t>
            </w:r>
            <w:r>
              <w:rPr>
                <w:rFonts w:hint="default" w:ascii="Times New Roman" w:hAnsi="Times New Roman" w:eastAsia="仿宋_GB2312" w:cs="Times New Roman"/>
                <w:b w:val="0"/>
                <w:bCs w:val="0"/>
                <w:color w:val="auto"/>
                <w:spacing w:val="15"/>
                <w:sz w:val="24"/>
                <w:szCs w:val="24"/>
              </w:rPr>
              <w:t>移性</w:t>
            </w:r>
            <w:r>
              <w:rPr>
                <w:rFonts w:hint="default" w:ascii="Times New Roman" w:hAnsi="Times New Roman" w:eastAsia="仿宋_GB2312" w:cs="Times New Roman"/>
                <w:b w:val="0"/>
                <w:bCs w:val="0"/>
                <w:color w:val="auto"/>
                <w:sz w:val="24"/>
                <w:szCs w:val="24"/>
              </w:rPr>
              <w:t>NSCLC</w:t>
            </w:r>
            <w:r>
              <w:rPr>
                <w:rFonts w:hint="default" w:ascii="Times New Roman" w:hAnsi="Times New Roman" w:eastAsia="仿宋_GB2312" w:cs="Times New Roman"/>
                <w:b w:val="0"/>
                <w:bCs w:val="0"/>
                <w:color w:val="auto"/>
                <w:spacing w:val="15"/>
                <w:sz w:val="24"/>
                <w:szCs w:val="24"/>
              </w:rPr>
              <w:t>成人患者。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9" w:hRule="atLeast"/>
        </w:trPr>
        <w:tc>
          <w:tcPr>
            <w:tcW w:w="754" w:type="dxa"/>
            <w:vAlign w:val="top"/>
          </w:tcPr>
          <w:p>
            <w:pPr>
              <w:spacing w:line="251" w:lineRule="auto"/>
              <w:rPr>
                <w:rFonts w:hint="default" w:ascii="Times New Roman" w:hAnsi="Times New Roman" w:eastAsia="仿宋_GB2312" w:cs="Times New Roman"/>
                <w:b w:val="0"/>
                <w:bCs w:val="0"/>
                <w:color w:val="auto"/>
                <w:sz w:val="24"/>
                <w:szCs w:val="24"/>
              </w:rPr>
            </w:pPr>
          </w:p>
          <w:p>
            <w:pPr>
              <w:spacing w:before="72" w:line="183" w:lineRule="auto"/>
              <w:ind w:left="25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44</w:t>
            </w:r>
          </w:p>
        </w:tc>
        <w:tc>
          <w:tcPr>
            <w:tcW w:w="2329" w:type="dxa"/>
            <w:vAlign w:val="top"/>
          </w:tcPr>
          <w:p>
            <w:pPr>
              <w:spacing w:before="266" w:line="218" w:lineRule="auto"/>
              <w:ind w:left="49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奥雷巴替尼片</w:t>
            </w:r>
          </w:p>
        </w:tc>
        <w:tc>
          <w:tcPr>
            <w:tcW w:w="3048" w:type="dxa"/>
            <w:vAlign w:val="top"/>
          </w:tcPr>
          <w:p>
            <w:pPr>
              <w:spacing w:before="158" w:line="220" w:lineRule="auto"/>
              <w:ind w:left="631"/>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30" w:line="222" w:lineRule="auto"/>
              <w:ind w:left="107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519" w:type="dxa"/>
            <w:vAlign w:val="top"/>
          </w:tcPr>
          <w:p>
            <w:pPr>
              <w:spacing w:before="268" w:line="219" w:lineRule="auto"/>
              <w:ind w:left="12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4"/>
                <w:sz w:val="24"/>
                <w:szCs w:val="24"/>
              </w:rPr>
              <w:t>限T315I突变的慢性髓细胞白血病慢性</w:t>
            </w:r>
            <w:r>
              <w:rPr>
                <w:rFonts w:hint="default" w:ascii="Times New Roman" w:hAnsi="Times New Roman" w:eastAsia="仿宋_GB2312" w:cs="Times New Roman"/>
                <w:b w:val="0"/>
                <w:bCs w:val="0"/>
                <w:color w:val="auto"/>
                <w:spacing w:val="3"/>
                <w:sz w:val="24"/>
                <w:szCs w:val="24"/>
              </w:rPr>
              <w:t>期或加速期的成年患者。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4" w:hRule="atLeast"/>
        </w:trPr>
        <w:tc>
          <w:tcPr>
            <w:tcW w:w="754" w:type="dxa"/>
            <w:vAlign w:val="top"/>
          </w:tcPr>
          <w:p>
            <w:pPr>
              <w:spacing w:line="332" w:lineRule="auto"/>
              <w:rPr>
                <w:rFonts w:hint="default" w:ascii="Times New Roman" w:hAnsi="Times New Roman" w:eastAsia="仿宋_GB2312" w:cs="Times New Roman"/>
                <w:b w:val="0"/>
                <w:bCs w:val="0"/>
                <w:color w:val="auto"/>
                <w:sz w:val="24"/>
                <w:szCs w:val="24"/>
              </w:rPr>
            </w:pPr>
          </w:p>
          <w:p>
            <w:pPr>
              <w:spacing w:before="71" w:line="183" w:lineRule="auto"/>
              <w:ind w:left="25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45</w:t>
            </w:r>
          </w:p>
        </w:tc>
        <w:tc>
          <w:tcPr>
            <w:tcW w:w="2329" w:type="dxa"/>
            <w:vAlign w:val="top"/>
          </w:tcPr>
          <w:p>
            <w:pPr>
              <w:spacing w:line="275" w:lineRule="auto"/>
              <w:rPr>
                <w:rFonts w:hint="default" w:ascii="Times New Roman" w:hAnsi="Times New Roman" w:eastAsia="仿宋_GB2312" w:cs="Times New Roman"/>
                <w:b w:val="0"/>
                <w:bCs w:val="0"/>
                <w:color w:val="auto"/>
                <w:sz w:val="24"/>
                <w:szCs w:val="24"/>
              </w:rPr>
            </w:pPr>
          </w:p>
          <w:p>
            <w:pPr>
              <w:spacing w:before="72" w:line="219" w:lineRule="auto"/>
              <w:ind w:left="601"/>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瑞派替尼片</w:t>
            </w:r>
          </w:p>
        </w:tc>
        <w:tc>
          <w:tcPr>
            <w:tcW w:w="3048" w:type="dxa"/>
            <w:vAlign w:val="top"/>
          </w:tcPr>
          <w:p>
            <w:pPr>
              <w:spacing w:before="249" w:line="220" w:lineRule="auto"/>
              <w:ind w:left="631"/>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40" w:line="222" w:lineRule="auto"/>
              <w:ind w:left="107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519" w:type="dxa"/>
            <w:vAlign w:val="top"/>
          </w:tcPr>
          <w:p>
            <w:pPr>
              <w:spacing w:before="219" w:line="241" w:lineRule="auto"/>
              <w:ind w:left="124" w:right="8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7"/>
                <w:sz w:val="24"/>
                <w:szCs w:val="24"/>
              </w:rPr>
              <w:t>限既往接受过3种或以上激酶抑制剂(包括伊马替尼)的晚期胃肠间质瘤(</w:t>
            </w:r>
            <w:r>
              <w:rPr>
                <w:rFonts w:hint="default" w:ascii="Times New Roman" w:hAnsi="Times New Roman" w:eastAsia="仿宋_GB2312" w:cs="Times New Roman"/>
                <w:b w:val="0"/>
                <w:bCs w:val="0"/>
                <w:color w:val="auto"/>
                <w:sz w:val="24"/>
                <w:szCs w:val="24"/>
              </w:rPr>
              <w:t>GIST</w:t>
            </w:r>
            <w:r>
              <w:rPr>
                <w:rFonts w:hint="default" w:ascii="Times New Roman" w:hAnsi="Times New Roman" w:eastAsia="仿宋_GB2312" w:cs="Times New Roman"/>
                <w:b w:val="0"/>
                <w:bCs w:val="0"/>
                <w:color w:val="auto"/>
                <w:spacing w:val="7"/>
                <w:sz w:val="24"/>
                <w:szCs w:val="24"/>
              </w:rPr>
              <w:t>)成人患</w:t>
            </w:r>
            <w:r>
              <w:rPr>
                <w:rFonts w:hint="default" w:ascii="Times New Roman" w:hAnsi="Times New Roman" w:eastAsia="仿宋_GB2312" w:cs="Times New Roman"/>
                <w:b w:val="0"/>
                <w:bCs w:val="0"/>
                <w:color w:val="auto"/>
                <w:spacing w:val="-6"/>
                <w:sz w:val="24"/>
                <w:szCs w:val="24"/>
              </w:rPr>
              <w:t>者。</w:t>
            </w:r>
          </w:p>
        </w:tc>
      </w:tr>
    </w:tbl>
    <w:p>
      <w:pPr>
        <w:spacing w:line="442" w:lineRule="auto"/>
        <w:rPr>
          <w:rFonts w:hint="default" w:ascii="Times New Roman" w:hAnsi="Times New Roman" w:eastAsia="仿宋_GB2312" w:cs="Times New Roman"/>
          <w:b w:val="0"/>
          <w:bCs w:val="0"/>
          <w:color w:val="auto"/>
          <w:sz w:val="24"/>
          <w:szCs w:val="24"/>
        </w:rPr>
      </w:pPr>
    </w:p>
    <w:p>
      <w:pPr>
        <w:spacing w:before="98" w:line="184" w:lineRule="auto"/>
        <w:ind w:left="2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11"/>
          <w:sz w:val="24"/>
          <w:szCs w:val="24"/>
        </w:rPr>
        <w:t>—14—</w:t>
      </w:r>
    </w:p>
    <w:p>
      <w:pPr>
        <w:rPr>
          <w:rFonts w:hint="default" w:ascii="Times New Roman" w:hAnsi="Times New Roman" w:eastAsia="仿宋_GB2312" w:cs="Times New Roman"/>
          <w:b w:val="0"/>
          <w:bCs w:val="0"/>
          <w:color w:val="auto"/>
          <w:sz w:val="24"/>
          <w:szCs w:val="24"/>
        </w:rPr>
        <w:sectPr>
          <w:footerReference r:id="rId8" w:type="default"/>
          <w:pgSz w:w="16830" w:h="11900"/>
          <w:pgMar w:top="1440" w:right="1080" w:bottom="1440" w:left="1080" w:header="0" w:footer="0" w:gutter="0"/>
          <w:pgNumType w:fmt="decimal"/>
          <w:cols w:space="720" w:num="1"/>
        </w:sectPr>
      </w:pPr>
    </w:p>
    <w:p>
      <w:pPr>
        <w:spacing w:line="103" w:lineRule="exact"/>
        <w:rPr>
          <w:rFonts w:hint="default" w:ascii="Times New Roman" w:hAnsi="Times New Roman" w:eastAsia="仿宋_GB2312" w:cs="Times New Roman"/>
          <w:b w:val="0"/>
          <w:bCs w:val="0"/>
          <w:color w:val="auto"/>
          <w:sz w:val="24"/>
          <w:szCs w:val="24"/>
        </w:rPr>
      </w:pPr>
    </w:p>
    <w:tbl>
      <w:tblPr>
        <w:tblStyle w:val="6"/>
        <w:tblW w:w="145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2308"/>
        <w:gridCol w:w="3048"/>
        <w:gridCol w:w="8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4" w:hRule="atLeast"/>
        </w:trPr>
        <w:tc>
          <w:tcPr>
            <w:tcW w:w="754" w:type="dxa"/>
            <w:vAlign w:val="top"/>
          </w:tcPr>
          <w:p>
            <w:pPr>
              <w:spacing w:before="142" w:line="221" w:lineRule="auto"/>
              <w:ind w:left="188"/>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5"/>
                <w:sz w:val="24"/>
                <w:szCs w:val="24"/>
              </w:rPr>
              <w:t>序号</w:t>
            </w:r>
          </w:p>
        </w:tc>
        <w:tc>
          <w:tcPr>
            <w:tcW w:w="2308" w:type="dxa"/>
            <w:vAlign w:val="top"/>
          </w:tcPr>
          <w:p>
            <w:pPr>
              <w:spacing w:before="141" w:line="220" w:lineRule="auto"/>
              <w:ind w:left="70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5"/>
                <w:sz w:val="24"/>
                <w:szCs w:val="24"/>
              </w:rPr>
              <w:t>药品名称</w:t>
            </w:r>
          </w:p>
        </w:tc>
        <w:tc>
          <w:tcPr>
            <w:tcW w:w="3048" w:type="dxa"/>
            <w:vAlign w:val="top"/>
          </w:tcPr>
          <w:p>
            <w:pPr>
              <w:spacing w:before="141" w:line="219" w:lineRule="auto"/>
              <w:ind w:left="306"/>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对应门诊特殊慢性病病种</w:t>
            </w:r>
          </w:p>
        </w:tc>
        <w:tc>
          <w:tcPr>
            <w:tcW w:w="8479" w:type="dxa"/>
            <w:vAlign w:val="top"/>
          </w:tcPr>
          <w:p>
            <w:pPr>
              <w:spacing w:before="142" w:line="221" w:lineRule="auto"/>
              <w:ind w:left="3858"/>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8"/>
                <w:sz w:val="24"/>
                <w:szCs w:val="24"/>
                <w:lang w:val="en-US" w:eastAsia="zh-CN"/>
              </w:rPr>
              <w:t>限定支付范围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8" w:hRule="atLeast"/>
        </w:trPr>
        <w:tc>
          <w:tcPr>
            <w:tcW w:w="754" w:type="dxa"/>
            <w:vAlign w:val="top"/>
          </w:tcPr>
          <w:p>
            <w:pPr>
              <w:spacing w:line="243" w:lineRule="auto"/>
              <w:rPr>
                <w:rFonts w:hint="default" w:ascii="Times New Roman" w:hAnsi="Times New Roman" w:eastAsia="仿宋_GB2312" w:cs="Times New Roman"/>
                <w:b w:val="0"/>
                <w:bCs w:val="0"/>
                <w:color w:val="auto"/>
                <w:sz w:val="24"/>
                <w:szCs w:val="24"/>
              </w:rPr>
            </w:pPr>
          </w:p>
          <w:p>
            <w:pPr>
              <w:spacing w:before="72" w:line="183" w:lineRule="auto"/>
              <w:ind w:left="18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46</w:t>
            </w:r>
          </w:p>
        </w:tc>
        <w:tc>
          <w:tcPr>
            <w:tcW w:w="2308" w:type="dxa"/>
            <w:vAlign w:val="top"/>
          </w:tcPr>
          <w:p>
            <w:pPr>
              <w:spacing w:before="260" w:line="219" w:lineRule="auto"/>
              <w:ind w:left="59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维奈克拉片</w:t>
            </w:r>
          </w:p>
        </w:tc>
        <w:tc>
          <w:tcPr>
            <w:tcW w:w="3048" w:type="dxa"/>
            <w:vAlign w:val="top"/>
          </w:tcPr>
          <w:p>
            <w:pPr>
              <w:spacing w:before="130" w:line="220" w:lineRule="auto"/>
              <w:ind w:left="63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60" w:line="222" w:lineRule="auto"/>
              <w:ind w:left="107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479" w:type="dxa"/>
            <w:vAlign w:val="top"/>
          </w:tcPr>
          <w:p>
            <w:pPr>
              <w:spacing w:before="260" w:line="220" w:lineRule="auto"/>
              <w:ind w:left="11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8"/>
                <w:sz w:val="24"/>
                <w:szCs w:val="24"/>
              </w:rPr>
              <w:t>限成人急性髓系白血病患者。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8" w:hRule="atLeast"/>
        </w:trPr>
        <w:tc>
          <w:tcPr>
            <w:tcW w:w="754" w:type="dxa"/>
            <w:vAlign w:val="top"/>
          </w:tcPr>
          <w:p>
            <w:pPr>
              <w:spacing w:line="245" w:lineRule="auto"/>
              <w:rPr>
                <w:rFonts w:hint="default" w:ascii="Times New Roman" w:hAnsi="Times New Roman" w:eastAsia="仿宋_GB2312" w:cs="Times New Roman"/>
                <w:b w:val="0"/>
                <w:bCs w:val="0"/>
                <w:color w:val="auto"/>
                <w:sz w:val="24"/>
                <w:szCs w:val="24"/>
              </w:rPr>
            </w:pPr>
          </w:p>
          <w:p>
            <w:pPr>
              <w:spacing w:before="72" w:line="183" w:lineRule="auto"/>
              <w:ind w:left="18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47</w:t>
            </w:r>
          </w:p>
        </w:tc>
        <w:tc>
          <w:tcPr>
            <w:tcW w:w="2308" w:type="dxa"/>
            <w:vAlign w:val="top"/>
          </w:tcPr>
          <w:p>
            <w:pPr>
              <w:spacing w:before="262" w:line="220" w:lineRule="auto"/>
              <w:ind w:left="15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1"/>
                <w:sz w:val="24"/>
                <w:szCs w:val="24"/>
              </w:rPr>
              <w:t>羟乙磺酸达尔西利片</w:t>
            </w:r>
          </w:p>
        </w:tc>
        <w:tc>
          <w:tcPr>
            <w:tcW w:w="3048" w:type="dxa"/>
            <w:vAlign w:val="top"/>
          </w:tcPr>
          <w:p>
            <w:pPr>
              <w:spacing w:before="142" w:line="220" w:lineRule="auto"/>
              <w:ind w:left="63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30" w:line="222" w:lineRule="auto"/>
              <w:ind w:left="107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479" w:type="dxa"/>
            <w:vAlign w:val="top"/>
          </w:tcPr>
          <w:p>
            <w:pPr>
              <w:spacing w:before="90" w:line="245" w:lineRule="auto"/>
              <w:ind w:left="114" w:right="6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10"/>
                <w:sz w:val="24"/>
                <w:szCs w:val="24"/>
              </w:rPr>
              <w:t>限既往接受内分泌治疗后出现疾病进展的激素受体(</w:t>
            </w:r>
            <w:r>
              <w:rPr>
                <w:rFonts w:hint="default" w:ascii="Times New Roman" w:hAnsi="Times New Roman" w:eastAsia="仿宋_GB2312" w:cs="Times New Roman"/>
                <w:b w:val="0"/>
                <w:bCs w:val="0"/>
                <w:color w:val="auto"/>
                <w:sz w:val="24"/>
                <w:szCs w:val="24"/>
              </w:rPr>
              <w:t>HR</w:t>
            </w:r>
            <w:r>
              <w:rPr>
                <w:rFonts w:hint="default" w:ascii="Times New Roman" w:hAnsi="Times New Roman" w:eastAsia="仿宋_GB2312" w:cs="Times New Roman"/>
                <w:b w:val="0"/>
                <w:bCs w:val="0"/>
                <w:color w:val="auto"/>
                <w:spacing w:val="10"/>
                <w:sz w:val="24"/>
                <w:szCs w:val="24"/>
              </w:rPr>
              <w:t>)阳性、人表皮生长因子受体</w:t>
            </w:r>
            <w:r>
              <w:rPr>
                <w:rFonts w:hint="default" w:ascii="Times New Roman" w:hAnsi="Times New Roman" w:eastAsia="仿宋_GB2312" w:cs="Times New Roman"/>
                <w:b w:val="0"/>
                <w:bCs w:val="0"/>
                <w:color w:val="auto"/>
                <w:spacing w:val="5"/>
                <w:sz w:val="24"/>
                <w:szCs w:val="24"/>
              </w:rPr>
              <w:t>2(</w:t>
            </w:r>
            <w:r>
              <w:rPr>
                <w:rFonts w:hint="default" w:ascii="Times New Roman" w:hAnsi="Times New Roman" w:eastAsia="仿宋_GB2312" w:cs="Times New Roman"/>
                <w:b w:val="0"/>
                <w:bCs w:val="0"/>
                <w:color w:val="auto"/>
                <w:sz w:val="24"/>
                <w:szCs w:val="24"/>
              </w:rPr>
              <w:t>HER</w:t>
            </w:r>
            <w:r>
              <w:rPr>
                <w:rFonts w:hint="default" w:ascii="Times New Roman" w:hAnsi="Times New Roman" w:eastAsia="仿宋_GB2312" w:cs="Times New Roman"/>
                <w:b w:val="0"/>
                <w:bCs w:val="0"/>
                <w:color w:val="auto"/>
                <w:spacing w:val="5"/>
                <w:sz w:val="24"/>
                <w:szCs w:val="24"/>
              </w:rPr>
              <w:t>2)阴性的复发或转移性乳腺癌患者。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8" w:hRule="atLeast"/>
        </w:trPr>
        <w:tc>
          <w:tcPr>
            <w:tcW w:w="754" w:type="dxa"/>
            <w:vAlign w:val="top"/>
          </w:tcPr>
          <w:p>
            <w:pPr>
              <w:spacing w:line="247" w:lineRule="auto"/>
              <w:rPr>
                <w:rFonts w:hint="default" w:ascii="Times New Roman" w:hAnsi="Times New Roman" w:eastAsia="仿宋_GB2312" w:cs="Times New Roman"/>
                <w:b w:val="0"/>
                <w:bCs w:val="0"/>
                <w:color w:val="auto"/>
                <w:sz w:val="24"/>
                <w:szCs w:val="24"/>
              </w:rPr>
            </w:pPr>
          </w:p>
          <w:p>
            <w:pPr>
              <w:spacing w:before="72" w:line="183" w:lineRule="auto"/>
              <w:ind w:left="18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48</w:t>
            </w:r>
          </w:p>
        </w:tc>
        <w:tc>
          <w:tcPr>
            <w:tcW w:w="2308" w:type="dxa"/>
            <w:vAlign w:val="top"/>
          </w:tcPr>
          <w:p>
            <w:pPr>
              <w:spacing w:before="264" w:line="220" w:lineRule="auto"/>
              <w:ind w:left="59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3"/>
                <w:sz w:val="24"/>
                <w:szCs w:val="24"/>
              </w:rPr>
              <w:t>瑞维鲁胺片</w:t>
            </w:r>
          </w:p>
        </w:tc>
        <w:tc>
          <w:tcPr>
            <w:tcW w:w="3048" w:type="dxa"/>
            <w:vAlign w:val="top"/>
          </w:tcPr>
          <w:p>
            <w:pPr>
              <w:spacing w:before="124" w:line="220" w:lineRule="auto"/>
              <w:ind w:left="63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50" w:line="222" w:lineRule="auto"/>
              <w:ind w:left="107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479" w:type="dxa"/>
            <w:vAlign w:val="top"/>
          </w:tcPr>
          <w:p>
            <w:pPr>
              <w:spacing w:before="264" w:line="219" w:lineRule="auto"/>
              <w:ind w:left="11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限转移性激素敏感性前列腺癌(</w:t>
            </w:r>
            <w:r>
              <w:rPr>
                <w:rFonts w:hint="default" w:ascii="Times New Roman" w:hAnsi="Times New Roman" w:eastAsia="仿宋_GB2312" w:cs="Times New Roman"/>
                <w:b w:val="0"/>
                <w:bCs w:val="0"/>
                <w:color w:val="auto"/>
                <w:sz w:val="24"/>
                <w:szCs w:val="24"/>
              </w:rPr>
              <w:t>mHSPC</w:t>
            </w:r>
            <w:r>
              <w:rPr>
                <w:rFonts w:hint="default" w:ascii="Times New Roman" w:hAnsi="Times New Roman" w:eastAsia="仿宋_GB2312" w:cs="Times New Roman"/>
                <w:b w:val="0"/>
                <w:bCs w:val="0"/>
                <w:color w:val="auto"/>
                <w:spacing w:val="6"/>
                <w:sz w:val="24"/>
                <w:szCs w:val="24"/>
              </w:rPr>
              <w:t>)患者。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8" w:hRule="atLeast"/>
        </w:trPr>
        <w:tc>
          <w:tcPr>
            <w:tcW w:w="754" w:type="dxa"/>
            <w:vAlign w:val="top"/>
          </w:tcPr>
          <w:p>
            <w:pPr>
              <w:spacing w:line="249" w:lineRule="auto"/>
              <w:rPr>
                <w:rFonts w:hint="default" w:ascii="Times New Roman" w:hAnsi="Times New Roman" w:eastAsia="仿宋_GB2312" w:cs="Times New Roman"/>
                <w:b w:val="0"/>
                <w:bCs w:val="0"/>
                <w:color w:val="auto"/>
                <w:sz w:val="24"/>
                <w:szCs w:val="24"/>
              </w:rPr>
            </w:pPr>
          </w:p>
          <w:p>
            <w:pPr>
              <w:spacing w:before="72" w:line="183" w:lineRule="auto"/>
              <w:ind w:left="18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49</w:t>
            </w:r>
          </w:p>
        </w:tc>
        <w:tc>
          <w:tcPr>
            <w:tcW w:w="2308" w:type="dxa"/>
            <w:vAlign w:val="top"/>
          </w:tcPr>
          <w:p>
            <w:pPr>
              <w:spacing w:before="266" w:line="219" w:lineRule="auto"/>
              <w:ind w:left="15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1"/>
                <w:sz w:val="24"/>
                <w:szCs w:val="24"/>
              </w:rPr>
              <w:t>注射用醋酸地加瑞克</w:t>
            </w:r>
          </w:p>
        </w:tc>
        <w:tc>
          <w:tcPr>
            <w:tcW w:w="3048" w:type="dxa"/>
            <w:vAlign w:val="top"/>
          </w:tcPr>
          <w:p>
            <w:pPr>
              <w:spacing w:before="146" w:line="220" w:lineRule="auto"/>
              <w:ind w:left="63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2"/>
                <w:sz w:val="24"/>
                <w:szCs w:val="24"/>
              </w:rPr>
              <w:t>恶性肿瘤门诊治疗</w:t>
            </w:r>
          </w:p>
          <w:p>
            <w:pPr>
              <w:spacing w:before="30" w:line="222" w:lineRule="auto"/>
              <w:ind w:left="107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(M00500)</w:t>
            </w:r>
          </w:p>
        </w:tc>
        <w:tc>
          <w:tcPr>
            <w:tcW w:w="8479" w:type="dxa"/>
            <w:vAlign w:val="top"/>
          </w:tcPr>
          <w:p>
            <w:pPr>
              <w:spacing w:before="266" w:line="219" w:lineRule="auto"/>
              <w:ind w:left="11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限需要雄激素去势治疗的前列腺癌患者。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3" w:hRule="atLeast"/>
        </w:trPr>
        <w:tc>
          <w:tcPr>
            <w:tcW w:w="754" w:type="dxa"/>
            <w:vAlign w:val="top"/>
          </w:tcPr>
          <w:p>
            <w:pPr>
              <w:spacing w:line="241" w:lineRule="auto"/>
              <w:rPr>
                <w:rFonts w:hint="default" w:ascii="Times New Roman" w:hAnsi="Times New Roman" w:eastAsia="仿宋_GB2312" w:cs="Times New Roman"/>
                <w:b w:val="0"/>
                <w:bCs w:val="0"/>
                <w:color w:val="auto"/>
                <w:sz w:val="24"/>
                <w:szCs w:val="24"/>
              </w:rPr>
            </w:pPr>
          </w:p>
          <w:p>
            <w:pPr>
              <w:spacing w:before="72" w:line="183" w:lineRule="auto"/>
              <w:ind w:left="185"/>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4"/>
                <w:sz w:val="24"/>
                <w:szCs w:val="24"/>
              </w:rPr>
              <w:t>50</w:t>
            </w:r>
          </w:p>
        </w:tc>
        <w:tc>
          <w:tcPr>
            <w:tcW w:w="2308" w:type="dxa"/>
            <w:vAlign w:val="top"/>
          </w:tcPr>
          <w:p>
            <w:pPr>
              <w:spacing w:before="258" w:line="219" w:lineRule="auto"/>
              <w:ind w:left="15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1"/>
                <w:sz w:val="24"/>
                <w:szCs w:val="24"/>
              </w:rPr>
              <w:t>古塞奇尤单抗注射液</w:t>
            </w:r>
          </w:p>
        </w:tc>
        <w:tc>
          <w:tcPr>
            <w:tcW w:w="3048" w:type="dxa"/>
            <w:vAlign w:val="top"/>
          </w:tcPr>
          <w:p>
            <w:pPr>
              <w:spacing w:before="129" w:line="322" w:lineRule="exact"/>
              <w:ind w:left="1182"/>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5"/>
                <w:position w:val="7"/>
                <w:sz w:val="24"/>
                <w:szCs w:val="24"/>
              </w:rPr>
              <w:t>银屑病</w:t>
            </w:r>
          </w:p>
          <w:p>
            <w:pPr>
              <w:spacing w:line="219" w:lineRule="auto"/>
              <w:ind w:left="1073"/>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6"/>
                <w:sz w:val="24"/>
                <w:szCs w:val="24"/>
              </w:rPr>
              <w:t>(M06700)</w:t>
            </w:r>
          </w:p>
        </w:tc>
        <w:tc>
          <w:tcPr>
            <w:tcW w:w="8479" w:type="dxa"/>
            <w:vAlign w:val="top"/>
          </w:tcPr>
          <w:p>
            <w:pPr>
              <w:spacing w:before="258" w:line="219" w:lineRule="auto"/>
              <w:ind w:left="114"/>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pacing w:val="5"/>
                <w:sz w:val="24"/>
                <w:szCs w:val="24"/>
              </w:rPr>
              <w:t>限适合系统性治疗的成人中重度斑块状银屑病。</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321"/>
      <w:jc w:val="right"/>
      <w:rPr>
        <w:rFonts w:ascii="宋体" w:hAnsi="宋体" w:eastAsia="宋体" w:cs="宋体"/>
        <w:sz w:val="29"/>
        <w:szCs w:val="29"/>
      </w:rPr>
    </w:pPr>
    <w:r>
      <w:rPr>
        <w:sz w:val="29"/>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 xml:space="preserve">— </w:t>
                          </w:r>
                          <w:r>
                            <w:fldChar w:fldCharType="begin"/>
                          </w:r>
                          <w:r>
                            <w:instrText xml:space="preserve"> PAGE  \* MERGEFORMAT </w:instrText>
                          </w:r>
                          <w:r>
                            <w:fldChar w:fldCharType="separate"/>
                          </w:r>
                          <w:r>
                            <w:t>25</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25</w:t>
                    </w:r>
                    <w:r>
                      <w:fldChar w:fldCharType="end"/>
                    </w:r>
                    <w:r>
                      <w:t xml:space="preserve"> —</w:t>
                    </w:r>
                  </w:p>
                </w:txbxContent>
              </v:textbox>
            </v:shape>
          </w:pict>
        </mc:Fallback>
      </mc:AlternateContent>
    </w:r>
    <w:r>
      <w:rPr>
        <w:rFonts w:ascii="宋体" w:hAnsi="宋体" w:eastAsia="宋体" w:cs="宋体"/>
        <w:spacing w:val="-3"/>
        <w:sz w:val="29"/>
        <w:szCs w:val="29"/>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 xml:space="preserve">— </w:t>
                          </w:r>
                          <w:r>
                            <w:fldChar w:fldCharType="begin"/>
                          </w:r>
                          <w:r>
                            <w:instrText xml:space="preserve"> PAGE  \* MERGEFORMAT </w:instrText>
                          </w:r>
                          <w:r>
                            <w:fldChar w:fldCharType="separate"/>
                          </w:r>
                          <w:r>
                            <w:t>27</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27</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right="203"/>
      <w:jc w:val="right"/>
      <w:rPr>
        <w:rFonts w:ascii="宋体" w:hAnsi="宋体" w:eastAsia="宋体" w:cs="宋体"/>
        <w:sz w:val="29"/>
        <w:szCs w:val="29"/>
      </w:rPr>
    </w:pPr>
    <w:r>
      <w:rPr>
        <w:sz w:val="29"/>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 xml:space="preserve">— </w:t>
                          </w:r>
                          <w:r>
                            <w:fldChar w:fldCharType="begin"/>
                          </w:r>
                          <w:r>
                            <w:instrText xml:space="preserve"> PAGE  \* MERGEFORMAT </w:instrText>
                          </w:r>
                          <w:r>
                            <w:fldChar w:fldCharType="separate"/>
                          </w:r>
                          <w:r>
                            <w:t>29</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29</w:t>
                    </w:r>
                    <w:r>
                      <w:fldChar w:fldCharType="end"/>
                    </w:r>
                    <w:r>
                      <w:t xml:space="preserve"> —</w:t>
                    </w:r>
                  </w:p>
                </w:txbxContent>
              </v:textbox>
            </v:shape>
          </w:pict>
        </mc:Fallback>
      </mc:AlternateContent>
    </w:r>
    <w:r>
      <w:rPr>
        <w:rFonts w:ascii="宋体" w:hAnsi="宋体" w:eastAsia="宋体" w:cs="宋体"/>
        <w:spacing w:val="-11"/>
        <w:sz w:val="29"/>
        <w:szCs w:val="29"/>
      </w:rPr>
      <w:t>—11—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15"/>
      <w:rPr>
        <w:rFonts w:ascii="宋体" w:hAnsi="宋体" w:eastAsia="宋体" w:cs="宋体"/>
        <w:sz w:val="27"/>
        <w:szCs w:val="27"/>
      </w:rPr>
    </w:pPr>
    <w:r>
      <w:rPr>
        <w:sz w:val="27"/>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 xml:space="preserve">— </w:t>
                          </w:r>
                          <w:r>
                            <w:fldChar w:fldCharType="begin"/>
                          </w:r>
                          <w:r>
                            <w:instrText xml:space="preserve"> PAGE  \* MERGEFORMAT </w:instrText>
                          </w:r>
                          <w:r>
                            <w:fldChar w:fldCharType="separate"/>
                          </w:r>
                          <w:r>
                            <w:t>31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31</w:t>
                    </w:r>
                    <w:r>
                      <w:fldChar w:fldCharType="end"/>
                    </w:r>
                    <w:r>
                      <w:t xml:space="preserve"> —</w:t>
                    </w:r>
                  </w:p>
                </w:txbxContent>
              </v:textbox>
            </v:shape>
          </w:pict>
        </mc:Fallback>
      </mc:AlternateContent>
    </w:r>
    <w:r>
      <w:rPr>
        <w:rFonts w:ascii="宋体" w:hAnsi="宋体" w:eastAsia="宋体" w:cs="宋体"/>
        <w:spacing w:val="-10"/>
        <w:sz w:val="27"/>
        <w:szCs w:val="27"/>
      </w:rPr>
      <w:t>—12—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right="183"/>
      <w:jc w:val="right"/>
      <w:rPr>
        <w:rFonts w:ascii="宋体" w:hAnsi="宋体" w:eastAsia="宋体" w:cs="宋体"/>
        <w:sz w:val="29"/>
        <w:szCs w:val="29"/>
      </w:rPr>
    </w:pPr>
    <w:r>
      <w:rPr>
        <w:sz w:val="29"/>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 xml:space="preserve">— </w:t>
                          </w:r>
                          <w:r>
                            <w:fldChar w:fldCharType="begin"/>
                          </w:r>
                          <w:r>
                            <w:instrText xml:space="preserve"> PAGE  \* MERGEFORMAT </w:instrText>
                          </w:r>
                          <w:r>
                            <w:fldChar w:fldCharType="separate"/>
                          </w:r>
                          <w:r>
                            <w:t>33</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hV+BjrgEAAEsD&#10;AAAOAAAAAAAAAAEAIAAAAB4BAABkcnMvZTJvRG9jLnhtbFBLBQYAAAAABgAGAFkBAAA+BQAAAAA=&#10;">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33</w:t>
                    </w:r>
                    <w:r>
                      <w:fldChar w:fldCharType="end"/>
                    </w:r>
                    <w:r>
                      <w:t xml:space="preserve"> —</w:t>
                    </w:r>
                  </w:p>
                </w:txbxContent>
              </v:textbox>
            </v:shape>
          </w:pict>
        </mc:Fallback>
      </mc:AlternateContent>
    </w:r>
    <w:r>
      <w:rPr>
        <w:rFonts w:ascii="宋体" w:hAnsi="宋体" w:eastAsia="宋体" w:cs="宋体"/>
        <w:spacing w:val="-11"/>
        <w:sz w:val="29"/>
        <w:szCs w:val="29"/>
      </w:rPr>
      <w:t>—13—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 xml:space="preserve">— </w:t>
                          </w:r>
                          <w:r>
                            <w:fldChar w:fldCharType="begin"/>
                          </w:r>
                          <w:r>
                            <w:instrText xml:space="preserve"> PAGE  \* MERGEFORMAT </w:instrText>
                          </w:r>
                          <w:r>
                            <w:fldChar w:fldCharType="separate"/>
                          </w:r>
                          <w:r>
                            <w:t>35</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35</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3D26E4"/>
    <w:rsid w:val="0E3D2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5" w:lineRule="auto"/>
      <w:outlineLvl w:val="1"/>
    </w:pPr>
    <w:rPr>
      <w:rFonts w:ascii="Arial" w:hAnsi="Arial" w:eastAsia="黑体"/>
      <w:b/>
      <w:szCs w:val="20"/>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7143"/>
        <w:tab w:val="right" w:pos="14287"/>
      </w:tabs>
    </w:pPr>
  </w:style>
  <w:style w:type="table" w:customStyle="1" w:styleId="6">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城中区</Company>
  <Pages>1</Pages>
  <Words>0</Words>
  <Characters>0</Characters>
  <Lines>0</Lines>
  <Paragraphs>0</Paragraphs>
  <TotalTime>2</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2023-10-30T09:06:00Z</dcterms:created>
  <dc:creator>Admin</dc:creator>
  <cp:lastModifiedBy>Admin</cp:lastModifiedBy>
  <dcterms:modified xsi:type="dcterms:W3CDTF">2023-10-30T09:11:15Z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