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仿宋_GB2312"/>
          <w:sz w:val="32"/>
          <w:szCs w:val="32"/>
        </w:rPr>
      </w:pPr>
      <w:r>
        <w:rPr>
          <w:rFonts w:hint="eastAsia" w:ascii="黑体" w:hAnsi="黑体" w:eastAsia="黑体" w:cs="仿宋_GB2312"/>
          <w:sz w:val="32"/>
          <w:szCs w:val="32"/>
        </w:rPr>
        <w:t>附件</w:t>
      </w:r>
    </w:p>
    <w:p>
      <w:pPr>
        <w:spacing w:line="500" w:lineRule="exact"/>
        <w:rPr>
          <w:rFonts w:ascii="仿宋_GB2312" w:hAnsi="仿宋_GB2312" w:eastAsia="仿宋_GB2312" w:cs="仿宋_GB2312"/>
          <w:sz w:val="32"/>
          <w:szCs w:val="32"/>
        </w:rPr>
      </w:pPr>
    </w:p>
    <w:p>
      <w:pPr>
        <w:spacing w:line="500" w:lineRule="exact"/>
        <w:jc w:val="center"/>
        <w:rPr>
          <w:rFonts w:ascii="方正小标宋简体" w:hAnsi="仿宋_GB2312" w:eastAsia="方正小标宋简体" w:cs="仿宋_GB2312"/>
          <w:sz w:val="44"/>
          <w:szCs w:val="44"/>
        </w:rPr>
      </w:pPr>
      <w:r>
        <w:rPr>
          <w:rFonts w:hint="eastAsia" w:ascii="方正小标宋简体" w:eastAsia="方正小标宋简体" w:cs="仿宋_GB2312"/>
          <w:sz w:val="44"/>
          <w:szCs w:val="44"/>
        </w:rPr>
        <w:t>单列门诊统筹支付药品目录</w:t>
      </w:r>
    </w:p>
    <w:p>
      <w:pPr>
        <w:spacing w:line="500" w:lineRule="exact"/>
        <w:rPr>
          <w:rFonts w:ascii="仿宋_GB2312" w:hAnsi="仿宋_GB2312" w:eastAsia="仿宋_GB2312" w:cs="仿宋_GB2312"/>
          <w:sz w:val="32"/>
          <w:szCs w:val="32"/>
        </w:rPr>
      </w:pPr>
    </w:p>
    <w:tbl>
      <w:tblPr>
        <w:tblStyle w:val="6"/>
        <w:tblW w:w="14034" w:type="dxa"/>
        <w:tblInd w:w="108" w:type="dxa"/>
        <w:tblLayout w:type="autofit"/>
        <w:tblCellMar>
          <w:top w:w="0" w:type="dxa"/>
          <w:left w:w="108" w:type="dxa"/>
          <w:bottom w:w="0" w:type="dxa"/>
          <w:right w:w="108" w:type="dxa"/>
        </w:tblCellMar>
      </w:tblPr>
      <w:tblGrid>
        <w:gridCol w:w="851"/>
        <w:gridCol w:w="3685"/>
        <w:gridCol w:w="1276"/>
        <w:gridCol w:w="8222"/>
      </w:tblGrid>
      <w:tr>
        <w:tblPrEx>
          <w:tblCellMar>
            <w:top w:w="0" w:type="dxa"/>
            <w:left w:w="108" w:type="dxa"/>
            <w:bottom w:w="0" w:type="dxa"/>
            <w:right w:w="108" w:type="dxa"/>
          </w:tblCellMar>
        </w:tblPrEx>
        <w:trPr>
          <w:trHeight w:val="600"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b/>
                <w:bCs/>
                <w:kern w:val="0"/>
                <w:sz w:val="28"/>
                <w:szCs w:val="28"/>
              </w:rPr>
            </w:pPr>
            <w:r>
              <w:rPr>
                <w:rFonts w:hint="eastAsia" w:ascii="黑体" w:hAnsi="黑体" w:eastAsia="黑体" w:cs="宋体"/>
                <w:b/>
                <w:bCs/>
                <w:kern w:val="0"/>
                <w:sz w:val="28"/>
                <w:szCs w:val="28"/>
              </w:rPr>
              <w:t>序号</w:t>
            </w:r>
          </w:p>
        </w:tc>
        <w:tc>
          <w:tcPr>
            <w:tcW w:w="368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b/>
                <w:bCs/>
                <w:kern w:val="0"/>
                <w:sz w:val="28"/>
                <w:szCs w:val="28"/>
              </w:rPr>
            </w:pPr>
            <w:r>
              <w:rPr>
                <w:rFonts w:hint="eastAsia" w:ascii="黑体" w:hAnsi="黑体" w:eastAsia="黑体" w:cs="宋体"/>
                <w:b/>
                <w:bCs/>
                <w:kern w:val="0"/>
                <w:sz w:val="28"/>
                <w:szCs w:val="28"/>
              </w:rPr>
              <w:t>药品名称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b/>
                <w:bCs/>
                <w:kern w:val="0"/>
                <w:sz w:val="28"/>
                <w:szCs w:val="28"/>
              </w:rPr>
            </w:pPr>
            <w:r>
              <w:rPr>
                <w:rFonts w:hint="eastAsia" w:ascii="黑体" w:hAnsi="黑体" w:eastAsia="黑体" w:cs="宋体"/>
                <w:b/>
                <w:bCs/>
                <w:kern w:val="0"/>
                <w:sz w:val="28"/>
                <w:szCs w:val="28"/>
              </w:rPr>
              <w:t>剂型</w:t>
            </w:r>
          </w:p>
        </w:tc>
        <w:tc>
          <w:tcPr>
            <w:tcW w:w="822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黑体" w:hAnsi="黑体" w:eastAsia="黑体" w:cs="宋体"/>
                <w:b/>
                <w:bCs/>
                <w:kern w:val="0"/>
                <w:sz w:val="28"/>
                <w:szCs w:val="28"/>
              </w:rPr>
            </w:pPr>
            <w:r>
              <w:rPr>
                <w:rFonts w:hint="eastAsia" w:ascii="黑体" w:hAnsi="黑体" w:eastAsia="黑体" w:cs="宋体"/>
                <w:b/>
                <w:bCs/>
                <w:kern w:val="0"/>
                <w:sz w:val="28"/>
                <w:szCs w:val="28"/>
              </w:rPr>
              <w:t>单列门诊统筹支付限定支付范围</w:t>
            </w:r>
          </w:p>
        </w:tc>
      </w:tr>
      <w:tr>
        <w:tblPrEx>
          <w:tblCellMar>
            <w:top w:w="0" w:type="dxa"/>
            <w:left w:w="108" w:type="dxa"/>
            <w:bottom w:w="0" w:type="dxa"/>
            <w:right w:w="108" w:type="dxa"/>
          </w:tblCellMar>
        </w:tblPrEx>
        <w:trPr>
          <w:trHeight w:val="248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注射用重组人凝血因子Ⅶa</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用于下列患者群体出血的治疗，以及外科手术或有创操作出血的防治：</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1.先天性凝血因子VII（FVII）缺乏症患者；2.具有血小板膜糖蛋白IIb－IIIa（GPIIb－IIIa）和/或人白细胞抗原（HLA）抗体和既往或现在对血小板输注无效或不佳的血小板无力症患者。</w:t>
            </w:r>
          </w:p>
        </w:tc>
      </w:tr>
      <w:tr>
        <w:tblPrEx>
          <w:tblCellMar>
            <w:top w:w="0" w:type="dxa"/>
            <w:left w:w="108" w:type="dxa"/>
            <w:bottom w:w="0" w:type="dxa"/>
            <w:right w:w="108" w:type="dxa"/>
          </w:tblCellMar>
        </w:tblPrEx>
        <w:trPr>
          <w:trHeight w:val="113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伊布替尼胶囊</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限华氏巨球蛋白血症患者的治疗，按说明书用药。</w:t>
            </w:r>
          </w:p>
        </w:tc>
      </w:tr>
      <w:tr>
        <w:tblPrEx>
          <w:tblCellMar>
            <w:top w:w="0" w:type="dxa"/>
            <w:left w:w="108" w:type="dxa"/>
            <w:bottom w:w="0" w:type="dxa"/>
            <w:right w:w="108" w:type="dxa"/>
          </w:tblCellMar>
        </w:tblPrEx>
        <w:trPr>
          <w:trHeight w:val="1698"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3</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磷酸芦可替尼片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限中危或高危的原发性骨髓纤维化（PMF）、真性红细胞增多症继发的骨髓纤维化（PPV-MF）或原发性血小板增多症继发的骨髓纤维化（PET-MF）的患者。</w:t>
            </w:r>
          </w:p>
        </w:tc>
      </w:tr>
      <w:tr>
        <w:tblPrEx>
          <w:tblCellMar>
            <w:top w:w="0" w:type="dxa"/>
            <w:left w:w="108" w:type="dxa"/>
            <w:bottom w:w="0" w:type="dxa"/>
            <w:right w:w="108" w:type="dxa"/>
          </w:tblCellMar>
        </w:tblPrEx>
        <w:trPr>
          <w:trHeight w:val="1068"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4</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醋酸戈舍瑞林缓释植入剂</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限子宫内膜异位症。</w:t>
            </w:r>
          </w:p>
        </w:tc>
      </w:tr>
      <w:tr>
        <w:tblPrEx>
          <w:tblCellMar>
            <w:top w:w="0" w:type="dxa"/>
            <w:left w:w="108" w:type="dxa"/>
            <w:bottom w:w="0" w:type="dxa"/>
            <w:right w:w="108" w:type="dxa"/>
          </w:tblCellMar>
        </w:tblPrEx>
        <w:trPr>
          <w:trHeight w:val="1708"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5</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依维莫司片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限以下情况方可支付：1.不需立即手术治疗的结节性硬化症相关的肾血管平滑肌脂肪瘤（TSC-AML)成人患者。2.不能手术的结节性硬化症相关的室管膜下巨细胞星型细胞瘤的患者。</w:t>
            </w:r>
          </w:p>
        </w:tc>
      </w:tr>
      <w:tr>
        <w:tblPrEx>
          <w:tblCellMar>
            <w:top w:w="0" w:type="dxa"/>
            <w:left w:w="108" w:type="dxa"/>
            <w:bottom w:w="0" w:type="dxa"/>
            <w:right w:w="108" w:type="dxa"/>
          </w:tblCellMar>
        </w:tblPrEx>
        <w:trPr>
          <w:trHeight w:val="98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6</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注射用醋酸奥曲肽微球</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限肢端肥大症，按说明书用药。</w:t>
            </w:r>
          </w:p>
        </w:tc>
      </w:tr>
      <w:tr>
        <w:tblPrEx>
          <w:tblCellMar>
            <w:top w:w="0" w:type="dxa"/>
            <w:left w:w="108" w:type="dxa"/>
            <w:bottom w:w="0" w:type="dxa"/>
            <w:right w:w="108" w:type="dxa"/>
          </w:tblCellMar>
        </w:tblPrEx>
        <w:trPr>
          <w:trHeight w:val="112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7</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醋酸兰瑞肽缓释注射液（预充式）</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限肢端肥大症，按说明书用药。</w:t>
            </w:r>
          </w:p>
        </w:tc>
      </w:tr>
      <w:tr>
        <w:tblPrEx>
          <w:tblCellMar>
            <w:top w:w="0" w:type="dxa"/>
            <w:left w:w="108" w:type="dxa"/>
            <w:bottom w:w="0" w:type="dxa"/>
            <w:right w:w="108" w:type="dxa"/>
          </w:tblCellMar>
        </w:tblPrEx>
        <w:trPr>
          <w:trHeight w:val="110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8</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注射用英夫利西单抗</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限以下情况方可支付：1.克罗恩病患者的二线治疗。2.中重度溃疡性结肠炎患者的二线治疗。</w:t>
            </w:r>
          </w:p>
        </w:tc>
      </w:tr>
      <w:tr>
        <w:tblPrEx>
          <w:tblCellMar>
            <w:top w:w="0" w:type="dxa"/>
            <w:left w:w="108" w:type="dxa"/>
            <w:bottom w:w="0" w:type="dxa"/>
            <w:right w:w="108" w:type="dxa"/>
          </w:tblCellMar>
        </w:tblPrEx>
        <w:trPr>
          <w:trHeight w:val="128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9</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马来酸阿伐曲泊帕片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限择期行诊断性操作或者手术的慢性肝病相关血小板减少症的成年患者。</w:t>
            </w:r>
          </w:p>
        </w:tc>
      </w:tr>
      <w:tr>
        <w:tblPrEx>
          <w:tblCellMar>
            <w:top w:w="0" w:type="dxa"/>
            <w:left w:w="108" w:type="dxa"/>
            <w:bottom w:w="0" w:type="dxa"/>
            <w:right w:w="108" w:type="dxa"/>
          </w:tblCellMar>
        </w:tblPrEx>
        <w:trPr>
          <w:trHeight w:val="489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10</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阿达木单抗</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注射剂</w:t>
            </w:r>
          </w:p>
        </w:tc>
        <w:tc>
          <w:tcPr>
            <w:tcW w:w="8222" w:type="dxa"/>
            <w:tcBorders>
              <w:top w:val="nil"/>
              <w:left w:val="nil"/>
              <w:bottom w:val="single" w:color="auto" w:sz="4" w:space="0"/>
              <w:right w:val="single" w:color="auto" w:sz="4" w:space="0"/>
            </w:tcBorders>
            <w:shd w:val="clear" w:color="auto" w:fill="auto"/>
            <w:vAlign w:val="center"/>
          </w:tcPr>
          <w:p>
            <w:pPr>
              <w:widowControl/>
              <w:spacing w:line="40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1.克罗恩病。用于充足皮质类固醇和/或免疫抑制治疗应答不充分、不耐受或禁忌的中重度活动性克罗恩病成年患者。2.葡萄膜炎。本品适用于治疗对糖皮质激素应答不充分、需要节制使用糖皮质激素、或不适合进行糖皮质激素治疗的成年非感染性中间葡萄膜炎、后葡萄膜炎和全葡萄膜炎患者。3.多关节型幼年特发性关节炎。本品与甲氨蝶呤合用，用于治疗对一种或多种改善病情抗风湿药（DMARDs）疗效不佳的2岁及2岁以上活动性多关节型幼年特发性关节炎患者。当患者无法耐受甲氨蝶呤治疗，或者连续使用甲氨蝶呤治疗效果不佳时，本品可作为单药治疗。本品尚未在此适应症的2岁以下患儿中进行过研究。4.儿童克罗恩病：本品适用于对糖皮质激素或免疫调节剂（例如:硫唑嘌呤、6-巯基嘌呤、甲氨蝶呤）应答不足的6岁及以上的中重度活动性克罗恩病的患儿减轻症状和体征，诱导和维持临床缓解。</w:t>
            </w:r>
          </w:p>
        </w:tc>
      </w:tr>
      <w:tr>
        <w:tblPrEx>
          <w:tblCellMar>
            <w:top w:w="0" w:type="dxa"/>
            <w:left w:w="108" w:type="dxa"/>
            <w:bottom w:w="0" w:type="dxa"/>
            <w:right w:w="108" w:type="dxa"/>
          </w:tblCellMar>
        </w:tblPrEx>
        <w:trPr>
          <w:trHeight w:val="113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11</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乙磺酸尼达尼布软胶囊</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限特发性肺纤维化（IPF）或系统性硬化病相关间质性肺疾病（SSc-ILD）患者。</w:t>
            </w:r>
          </w:p>
        </w:tc>
      </w:tr>
      <w:tr>
        <w:tblPrEx>
          <w:tblCellMar>
            <w:top w:w="0" w:type="dxa"/>
            <w:left w:w="108" w:type="dxa"/>
            <w:bottom w:w="0" w:type="dxa"/>
            <w:right w:w="108" w:type="dxa"/>
          </w:tblCellMar>
        </w:tblPrEx>
        <w:trPr>
          <w:trHeight w:val="124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12</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乌司奴单抗注射液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克罗恩病：本品适用于对传统治疗或肿瘤坏死因子α（TNF-α）拮抗剂应答不足、失应答或无法耐受的成年中重度活动性克罗恩病患者。</w:t>
            </w:r>
          </w:p>
        </w:tc>
      </w:tr>
      <w:tr>
        <w:tblPrEx>
          <w:tblCellMar>
            <w:top w:w="0" w:type="dxa"/>
            <w:left w:w="108" w:type="dxa"/>
            <w:bottom w:w="0" w:type="dxa"/>
            <w:right w:w="108" w:type="dxa"/>
          </w:tblCellMar>
        </w:tblPrEx>
        <w:trPr>
          <w:trHeight w:val="92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13</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注射用维得利珠单抗</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限中度至重度活动性溃疡性结肠炎的二线用药或中度至重度活动性克罗恩病的二线用药。</w:t>
            </w:r>
          </w:p>
        </w:tc>
      </w:tr>
      <w:tr>
        <w:tblPrEx>
          <w:tblCellMar>
            <w:top w:w="0" w:type="dxa"/>
            <w:left w:w="108" w:type="dxa"/>
            <w:bottom w:w="0" w:type="dxa"/>
            <w:right w:w="108" w:type="dxa"/>
          </w:tblCellMar>
        </w:tblPrEx>
        <w:trPr>
          <w:trHeight w:val="112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14</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乌司奴单抗注射液(静脉输注)</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本品适用于对传统治疗或肿瘤坏死因子α（TNF-α）拮抗剂应答不足、失应答或无法耐受的成年中重度活动性克罗恩病患者。</w:t>
            </w:r>
          </w:p>
        </w:tc>
      </w:tr>
      <w:tr>
        <w:tblPrEx>
          <w:tblCellMar>
            <w:top w:w="0" w:type="dxa"/>
            <w:left w:w="108" w:type="dxa"/>
            <w:bottom w:w="0" w:type="dxa"/>
            <w:right w:w="108" w:type="dxa"/>
          </w:tblCellMar>
        </w:tblPrEx>
        <w:trPr>
          <w:trHeight w:val="98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15</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注射用阿替普酶</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限急性心肌梗死发病12小时内、脑梗死发病3小时内的溶栓治疗，超过说明书规定用药时限的不予支付。</w:t>
            </w:r>
          </w:p>
        </w:tc>
      </w:tr>
      <w:tr>
        <w:tblPrEx>
          <w:tblCellMar>
            <w:top w:w="0" w:type="dxa"/>
            <w:left w:w="108" w:type="dxa"/>
            <w:bottom w:w="0" w:type="dxa"/>
            <w:right w:w="108" w:type="dxa"/>
          </w:tblCellMar>
        </w:tblPrEx>
        <w:trPr>
          <w:trHeight w:val="99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16</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甲苯磺酸艾多沙班片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限华法林治疗控制不良或出血高危的深静脉血栓、肺栓塞患者。</w:t>
            </w:r>
          </w:p>
        </w:tc>
      </w:tr>
      <w:tr>
        <w:tblPrEx>
          <w:tblCellMar>
            <w:top w:w="0" w:type="dxa"/>
            <w:left w:w="108" w:type="dxa"/>
            <w:bottom w:w="0" w:type="dxa"/>
            <w:right w:w="108" w:type="dxa"/>
          </w:tblCellMar>
        </w:tblPrEx>
        <w:trPr>
          <w:trHeight w:val="126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17</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氯苯唑酸软胶囊</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本品适用于治疗成人野生型或遗传型转甲状腺素蛋白淀粉样变性心肌病（ATTR-CM），以减少心血管死亡及心血管相关住院。</w:t>
            </w:r>
          </w:p>
        </w:tc>
      </w:tr>
      <w:tr>
        <w:tblPrEx>
          <w:tblCellMar>
            <w:top w:w="0" w:type="dxa"/>
            <w:left w:w="108" w:type="dxa"/>
            <w:bottom w:w="0" w:type="dxa"/>
            <w:right w:w="108" w:type="dxa"/>
          </w:tblCellMar>
        </w:tblPrEx>
        <w:trPr>
          <w:trHeight w:val="111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18</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度普利尤单抗注射液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限对传统治疗无效、有禁忌或不耐受的中重度特应性皮炎患者，需按说明书用药。</w:t>
            </w:r>
          </w:p>
        </w:tc>
      </w:tr>
      <w:tr>
        <w:tblPrEx>
          <w:tblCellMar>
            <w:top w:w="0" w:type="dxa"/>
            <w:left w:w="108" w:type="dxa"/>
            <w:bottom w:w="0" w:type="dxa"/>
            <w:right w:w="108" w:type="dxa"/>
          </w:tblCellMar>
        </w:tblPrEx>
        <w:trPr>
          <w:trHeight w:val="1273"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19</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注射用两性霉素B胆固醇硫酸酯复合物</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本品适用于患有深部真菌感染的患者；因肾损伤或药物毒性而不能使用有效剂量的两性霉素B的患者，或已经接受过两性霉素B治疗无效的患者均可使用。</w:t>
            </w:r>
          </w:p>
        </w:tc>
      </w:tr>
      <w:tr>
        <w:tblPrEx>
          <w:tblCellMar>
            <w:top w:w="0" w:type="dxa"/>
            <w:left w:w="108" w:type="dxa"/>
            <w:bottom w:w="0" w:type="dxa"/>
            <w:right w:w="108" w:type="dxa"/>
          </w:tblCellMar>
        </w:tblPrEx>
        <w:trPr>
          <w:trHeight w:val="78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20</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克立硼罗软膏</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适用于2岁及以上轻度至中度特应性皮炎患者的局部外用治疗。</w:t>
            </w:r>
          </w:p>
        </w:tc>
      </w:tr>
      <w:tr>
        <w:tblPrEx>
          <w:tblCellMar>
            <w:top w:w="0" w:type="dxa"/>
            <w:left w:w="108" w:type="dxa"/>
            <w:bottom w:w="0" w:type="dxa"/>
            <w:right w:w="108" w:type="dxa"/>
          </w:tblCellMar>
        </w:tblPrEx>
        <w:trPr>
          <w:trHeight w:val="99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21</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泊沙康唑口服混悬液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限以下情况方可支付：1.伊曲康唑或氟康唑难治性口咽念珠菌病。2.接合菌纲类感染。</w:t>
            </w:r>
          </w:p>
        </w:tc>
      </w:tr>
      <w:tr>
        <w:tblPrEx>
          <w:tblCellMar>
            <w:top w:w="0" w:type="dxa"/>
            <w:left w:w="108" w:type="dxa"/>
            <w:bottom w:w="0" w:type="dxa"/>
            <w:right w:w="108" w:type="dxa"/>
          </w:tblCellMar>
        </w:tblPrEx>
        <w:trPr>
          <w:trHeight w:val="84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22</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麦格司他胶囊</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限C型尼曼匹克病患者。</w:t>
            </w:r>
          </w:p>
        </w:tc>
      </w:tr>
      <w:tr>
        <w:tblPrEx>
          <w:tblCellMar>
            <w:top w:w="0" w:type="dxa"/>
            <w:left w:w="108" w:type="dxa"/>
            <w:bottom w:w="0" w:type="dxa"/>
            <w:right w:w="108" w:type="dxa"/>
          </w:tblCellMar>
        </w:tblPrEx>
        <w:trPr>
          <w:trHeight w:val="69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23</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诺西那生钠注射液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本品用于治疗5q脊髓性肌萎缩症。</w:t>
            </w:r>
          </w:p>
        </w:tc>
      </w:tr>
      <w:tr>
        <w:tblPrEx>
          <w:tblCellMar>
            <w:top w:w="0" w:type="dxa"/>
            <w:left w:w="108" w:type="dxa"/>
            <w:bottom w:w="0" w:type="dxa"/>
            <w:right w:w="108" w:type="dxa"/>
          </w:tblCellMar>
        </w:tblPrEx>
        <w:trPr>
          <w:trHeight w:val="83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24</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特立氟胺片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限常规治疗无效的多发性硬化患者。</w:t>
            </w:r>
          </w:p>
        </w:tc>
      </w:tr>
      <w:tr>
        <w:tblPrEx>
          <w:tblCellMar>
            <w:top w:w="0" w:type="dxa"/>
            <w:left w:w="108" w:type="dxa"/>
            <w:bottom w:w="0" w:type="dxa"/>
            <w:right w:w="108" w:type="dxa"/>
          </w:tblCellMar>
        </w:tblPrEx>
        <w:trPr>
          <w:trHeight w:val="84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25</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西尼莫德片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限成人复发型多发性硬化的患者。</w:t>
            </w:r>
          </w:p>
        </w:tc>
      </w:tr>
      <w:tr>
        <w:tblPrEx>
          <w:tblCellMar>
            <w:top w:w="0" w:type="dxa"/>
            <w:left w:w="108" w:type="dxa"/>
            <w:bottom w:w="0" w:type="dxa"/>
            <w:right w:w="108" w:type="dxa"/>
          </w:tblCellMar>
        </w:tblPrEx>
        <w:trPr>
          <w:trHeight w:val="844"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26</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盐酸芬戈莫德胶囊</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限10岁及以上患者复发型多发性硬化（RMS）的患者。</w:t>
            </w:r>
          </w:p>
        </w:tc>
      </w:tr>
      <w:tr>
        <w:tblPrEx>
          <w:tblCellMar>
            <w:top w:w="0" w:type="dxa"/>
            <w:left w:w="108" w:type="dxa"/>
            <w:bottom w:w="0" w:type="dxa"/>
            <w:right w:w="108" w:type="dxa"/>
          </w:tblCellMar>
        </w:tblPrEx>
        <w:trPr>
          <w:trHeight w:val="84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27</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氘丁苯那嗪片</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限与亨廷顿病有关的舞蹈病或成人迟发性运动障碍。</w:t>
            </w:r>
          </w:p>
        </w:tc>
      </w:tr>
      <w:tr>
        <w:tblPrEx>
          <w:tblCellMar>
            <w:top w:w="0" w:type="dxa"/>
            <w:left w:w="108" w:type="dxa"/>
            <w:bottom w:w="0" w:type="dxa"/>
            <w:right w:w="108" w:type="dxa"/>
          </w:tblCellMar>
        </w:tblPrEx>
        <w:trPr>
          <w:trHeight w:val="84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28</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依达拉奉氯化钠注射液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限肌萎缩侧索硬化（ALS）的患者。</w:t>
            </w:r>
          </w:p>
        </w:tc>
      </w:tr>
      <w:tr>
        <w:tblPrEx>
          <w:tblCellMar>
            <w:top w:w="0" w:type="dxa"/>
            <w:left w:w="108" w:type="dxa"/>
            <w:bottom w:w="0" w:type="dxa"/>
            <w:right w:w="108" w:type="dxa"/>
          </w:tblCellMar>
        </w:tblPrEx>
        <w:trPr>
          <w:trHeight w:val="163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29</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阿加糖酶α注射用浓溶液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本品用于确诊为法布雷病（α-半乳糖苷酶A缺乏症）患者的长期酶替代治疗。本品适用于成人、儿童和青少年。尚未确定本品在0-6岁儿童中的安全性和有效性。</w:t>
            </w:r>
          </w:p>
        </w:tc>
      </w:tr>
      <w:tr>
        <w:tblPrEx>
          <w:tblCellMar>
            <w:top w:w="0" w:type="dxa"/>
            <w:left w:w="108" w:type="dxa"/>
            <w:bottom w:w="0" w:type="dxa"/>
            <w:right w:w="108" w:type="dxa"/>
          </w:tblCellMar>
        </w:tblPrEx>
        <w:trPr>
          <w:trHeight w:val="255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30</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地塞米松玻璃体内植入剂</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视网膜静脉阻塞（RVO）的黄斑水肿患者，并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5支，每个年度最多支付2支。</w:t>
            </w:r>
          </w:p>
        </w:tc>
      </w:tr>
      <w:tr>
        <w:tblPrEx>
          <w:tblCellMar>
            <w:top w:w="0" w:type="dxa"/>
            <w:left w:w="108" w:type="dxa"/>
            <w:bottom w:w="0" w:type="dxa"/>
            <w:right w:w="108" w:type="dxa"/>
          </w:tblCellMar>
        </w:tblPrEx>
        <w:trPr>
          <w:trHeight w:val="3537"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31</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康柏西普眼用注射液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疾病：1.50岁以上的湿性年龄相关性黄斑变性（AMD）；2.糖尿病性黄斑水肿（DME）引起的视力损害；3.脉络膜新生血管（CNV）导致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r>
      <w:tr>
        <w:tblPrEx>
          <w:tblCellMar>
            <w:top w:w="0" w:type="dxa"/>
            <w:left w:w="108" w:type="dxa"/>
            <w:bottom w:w="0" w:type="dxa"/>
            <w:right w:w="108" w:type="dxa"/>
          </w:tblCellMar>
        </w:tblPrEx>
        <w:trPr>
          <w:trHeight w:val="300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32</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阿柏西普眼内注射溶液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疾病：1.50岁以上的湿性年龄相关性黄斑变性（AMD）；2.糖尿病性黄斑水肿（DME）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r>
      <w:tr>
        <w:tblPrEx>
          <w:tblCellMar>
            <w:top w:w="0" w:type="dxa"/>
            <w:left w:w="108" w:type="dxa"/>
            <w:bottom w:w="0" w:type="dxa"/>
            <w:right w:w="108" w:type="dxa"/>
          </w:tblCellMar>
        </w:tblPrEx>
        <w:trPr>
          <w:trHeight w:val="375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33</w:t>
            </w:r>
          </w:p>
        </w:tc>
        <w:tc>
          <w:tcPr>
            <w:tcW w:w="3685"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雷珠单抗注射液</w:t>
            </w:r>
          </w:p>
        </w:tc>
        <w:tc>
          <w:tcPr>
            <w:tcW w:w="1276" w:type="dxa"/>
            <w:tcBorders>
              <w:top w:val="nil"/>
              <w:left w:val="nil"/>
              <w:bottom w:val="single" w:color="auto" w:sz="4" w:space="0"/>
              <w:right w:val="single" w:color="auto" w:sz="4" w:space="0"/>
            </w:tcBorders>
            <w:shd w:val="clear" w:color="auto" w:fill="auto"/>
            <w:vAlign w:val="center"/>
          </w:tcPr>
          <w:p>
            <w:pPr>
              <w:widowControl/>
              <w:spacing w:line="38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　</w:t>
            </w:r>
          </w:p>
        </w:tc>
        <w:tc>
          <w:tcPr>
            <w:tcW w:w="8222" w:type="dxa"/>
            <w:tcBorders>
              <w:top w:val="nil"/>
              <w:left w:val="nil"/>
              <w:bottom w:val="single" w:color="auto" w:sz="4" w:space="0"/>
              <w:right w:val="single" w:color="auto" w:sz="4" w:space="0"/>
            </w:tcBorders>
            <w:shd w:val="clear" w:color="auto" w:fill="auto"/>
            <w:vAlign w:val="center"/>
          </w:tcPr>
          <w:p>
            <w:pPr>
              <w:widowControl/>
              <w:spacing w:line="380" w:lineRule="exact"/>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限以下疾病：1.50岁以上的湿性年龄相关性黄斑变性（AMD）；2.糖尿病性黄斑水肿（DME）引起的视力损害；3.脉络膜新生血管（CNV）导致的视力损害；4.继发于视网膜静脉阻塞（RVO）的黄斑水肿引起的视力损害。应同时符合以下条件：1.需三级综合医院眼科或二级及以上眼科专科医院医师处方；2.首次处方时病眼基线矫正视力0.05-0.5；3.事前审查后方可用，初次申请需有血管造影或OCT（全身情况不允许的患者可以提供OCT血管成像）证据；4.每眼累计最多支付9支，第1年度最多支付5支。阿柏西普、雷珠单抗和康柏西普的药品支数合并计算。</w:t>
            </w:r>
          </w:p>
        </w:tc>
      </w:tr>
      <w:tr>
        <w:tblPrEx>
          <w:tblCellMar>
            <w:top w:w="0" w:type="dxa"/>
            <w:left w:w="108" w:type="dxa"/>
            <w:bottom w:w="0" w:type="dxa"/>
            <w:right w:w="108" w:type="dxa"/>
          </w:tblCellMar>
        </w:tblPrEx>
        <w:trPr>
          <w:trHeight w:val="812" w:hRule="atLeast"/>
        </w:trPr>
        <w:tc>
          <w:tcPr>
            <w:tcW w:w="14034" w:type="dxa"/>
            <w:gridSpan w:val="4"/>
            <w:tcBorders>
              <w:top w:val="nil"/>
              <w:left w:val="nil"/>
              <w:bottom w:val="nil"/>
              <w:right w:val="nil"/>
            </w:tcBorders>
            <w:shd w:val="clear" w:color="auto" w:fill="auto"/>
            <w:noWrap/>
            <w:vAlign w:val="center"/>
          </w:tcPr>
          <w:p>
            <w:pPr>
              <w:widowControl/>
              <w:spacing w:line="3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备注：单列门诊统筹支付药品待遇与门诊特殊慢性病病种待遇不重复享受。</w:t>
            </w: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default" w:eastAsia="宋体"/>
          <w:lang w:val="en-US" w:eastAsia="zh-CN"/>
        </w:rPr>
      </w:pPr>
      <w:bookmarkStart w:id="0" w:name="_GoBack"/>
      <w:bookmarkEnd w:id="0"/>
    </w:p>
    <w:sectPr>
      <w:footerReference r:id="rId3" w:type="default"/>
      <w:footerReference r:id="rId4" w:type="even"/>
      <w:pgSz w:w="16838" w:h="11906" w:orient="landscape"/>
      <w:pgMar w:top="1588" w:right="1418" w:bottom="1304" w:left="141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280" w:firstLineChars="10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5E"/>
    <w:rsid w:val="00041B0F"/>
    <w:rsid w:val="00073E5E"/>
    <w:rsid w:val="002078F8"/>
    <w:rsid w:val="0026791F"/>
    <w:rsid w:val="00273F30"/>
    <w:rsid w:val="002E08CF"/>
    <w:rsid w:val="00355F47"/>
    <w:rsid w:val="004047A9"/>
    <w:rsid w:val="004644CE"/>
    <w:rsid w:val="00610B4F"/>
    <w:rsid w:val="00641A69"/>
    <w:rsid w:val="00693E15"/>
    <w:rsid w:val="006B1250"/>
    <w:rsid w:val="006D49E8"/>
    <w:rsid w:val="009F27FB"/>
    <w:rsid w:val="009F74B7"/>
    <w:rsid w:val="00A53E1A"/>
    <w:rsid w:val="00A87EC3"/>
    <w:rsid w:val="00AC1532"/>
    <w:rsid w:val="00C73792"/>
    <w:rsid w:val="00E60389"/>
    <w:rsid w:val="015A5675"/>
    <w:rsid w:val="0EFA64DE"/>
    <w:rsid w:val="36B53B14"/>
    <w:rsid w:val="3D035C93"/>
    <w:rsid w:val="490A2DDB"/>
    <w:rsid w:val="578A0894"/>
    <w:rsid w:val="60A204E8"/>
    <w:rsid w:val="6EBF6026"/>
    <w:rsid w:val="7EF539A0"/>
    <w:rsid w:val="7EF6A07E"/>
    <w:rsid w:val="F739A683"/>
    <w:rsid w:val="F973E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ascii="Times New Roman" w:hAnsi="Times New Roman" w:cs="Times New Roman"/>
      <w:sz w:val="28"/>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日期 Char"/>
    <w:basedOn w:val="7"/>
    <w:link w:val="2"/>
    <w:semiHidden/>
    <w:uiPriority w:val="99"/>
    <w:rPr>
      <w:rFonts w:ascii="Calibri" w:hAnsi="Calibri" w:eastAsia="宋体" w:cs="Times New Roman"/>
      <w:kern w:val="2"/>
      <w:sz w:val="21"/>
      <w:szCs w:val="22"/>
    </w:rPr>
  </w:style>
  <w:style w:type="character" w:customStyle="1" w:styleId="12">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13</Pages>
  <Words>783</Words>
  <Characters>4464</Characters>
  <Lines>37</Lines>
  <Paragraphs>10</Paragraphs>
  <TotalTime>58</TotalTime>
  <ScaleCrop>false</ScaleCrop>
  <LinksUpToDate>false</LinksUpToDate>
  <CharactersWithSpaces>5237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2022-04-21T07:35:00Z</dcterms:created>
  <dc:creator>待遇保障处-黄孟欣</dc:creator>
  <cp:lastModifiedBy>林小玲</cp:lastModifiedBy>
  <cp:lastPrinted>2022-05-16T01:27:00Z</cp:lastPrinted>
  <dcterms:modified xsi:type="dcterms:W3CDTF">2022-05-20T02:15:11Z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