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3A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p>
    <w:p w14:paraId="7A7B7C2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市民宗委202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lang w:eastAsia="zh-CN"/>
        </w:rPr>
        <w:t>年法治政府建设年度报告</w:t>
      </w:r>
    </w:p>
    <w:p w14:paraId="40F1603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p>
    <w:p w14:paraId="3C225E0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今年来，市民宗委以习近平法治思想和习近平总书记关于加强和改进民族工作的重要思想为指导，以铸牢中华民族共同体意识为主线，全面落实《法治政府建设实施纲要（2021—2025年）》要求，扎实推进法治政府建设各项工作。现将有关情况报告如下。</w:t>
      </w:r>
    </w:p>
    <w:p w14:paraId="6EFB761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cs="仿宋_GB2312"/>
          <w:kern w:val="2"/>
          <w:sz w:val="32"/>
          <w:szCs w:val="32"/>
          <w:lang w:val="en-US" w:eastAsia="zh-CN" w:bidi="ar-SA"/>
        </w:rPr>
      </w:pPr>
      <w:r>
        <w:rPr>
          <w:rFonts w:hint="eastAsia" w:ascii="黑体" w:hAnsi="黑体" w:eastAsia="黑体" w:cs="黑体"/>
          <w:kern w:val="2"/>
          <w:sz w:val="32"/>
          <w:szCs w:val="32"/>
          <w:lang w:val="en-US" w:eastAsia="zh-CN" w:bidi="ar-SA"/>
        </w:rPr>
        <w:t>一、推进法治政府建设的主要举措和成效</w:t>
      </w:r>
    </w:p>
    <w:p w14:paraId="5BF157A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（一）强化法治思想引领，夯实法治建设根基</w:t>
      </w:r>
    </w:p>
    <w:p w14:paraId="0D2AB82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cs="仿宋_GB2312"/>
          <w:kern w:val="2"/>
          <w:sz w:val="32"/>
          <w:szCs w:val="32"/>
          <w:lang w:val="en-US" w:eastAsia="zh-CN" w:bidi="ar-SA"/>
        </w:rPr>
      </w:pPr>
      <w:r>
        <w:rPr>
          <w:rFonts w:hint="eastAsia" w:ascii="仿宋_GB2312" w:hAnsi="仿宋_GB2312" w:cs="仿宋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深入学习贯彻习近平法治思想。一</w:t>
      </w:r>
      <w:r>
        <w:rPr>
          <w:rFonts w:hint="eastAsia" w:ascii="仿宋_GB2312" w:hAnsi="仿宋_GB2312" w:eastAsia="仿宋_GB2312" w:cs="仿宋_GB2312"/>
          <w:kern w:val="2"/>
          <w:sz w:val="32"/>
          <w:szCs w:val="32"/>
          <w:lang w:val="en-US" w:eastAsia="zh-CN" w:bidi="ar-SA"/>
        </w:rPr>
        <w:t>是</w:t>
      </w:r>
      <w:r>
        <w:rPr>
          <w:rFonts w:hint="eastAsia" w:ascii="仿宋_GB2312" w:hAnsi="仿宋_GB2312" w:cs="仿宋_GB2312"/>
          <w:kern w:val="2"/>
          <w:sz w:val="32"/>
          <w:szCs w:val="32"/>
          <w:lang w:val="en-US" w:eastAsia="zh-CN" w:bidi="ar-SA"/>
        </w:rPr>
        <w:t>加强理论学习。</w:t>
      </w:r>
      <w:r>
        <w:rPr>
          <w:rFonts w:hint="eastAsia" w:ascii="仿宋_GB2312" w:hAnsi="仿宋_GB2312" w:eastAsia="仿宋_GB2312" w:cs="仿宋_GB2312"/>
          <w:kern w:val="2"/>
          <w:sz w:val="32"/>
          <w:szCs w:val="32"/>
          <w:lang w:val="en-US" w:eastAsia="zh-CN" w:bidi="ar-SA"/>
        </w:rPr>
        <w:t>坚持将党的二十大精神、习近平法治思想和中央全面依法治国工作会议精神、</w:t>
      </w:r>
      <w:r>
        <w:rPr>
          <w:rFonts w:hint="eastAsia" w:ascii="仿宋_GB2312" w:hAnsi="仿宋_GB2312" w:cs="仿宋_GB2312"/>
          <w:kern w:val="2"/>
          <w:sz w:val="32"/>
          <w:szCs w:val="32"/>
          <w:lang w:val="en-US" w:eastAsia="zh-CN" w:bidi="ar-SA"/>
        </w:rPr>
        <w:t>《中华人民共和国宪法》</w:t>
      </w:r>
      <w:r>
        <w:rPr>
          <w:rFonts w:hint="eastAsia" w:ascii="仿宋_GB2312" w:hAnsi="仿宋_GB2312" w:eastAsia="仿宋_GB2312" w:cs="仿宋_GB2312"/>
          <w:kern w:val="2"/>
          <w:sz w:val="32"/>
          <w:szCs w:val="32"/>
          <w:lang w:val="en-US" w:eastAsia="zh-CN" w:bidi="ar-SA"/>
        </w:rPr>
        <w:t>《中华人民共和国民法典》《习近平法治思想学习纲要》《中华人民共和国法治宣传教育法》等列入我委党组（中心组）集体理论学习内容</w:t>
      </w:r>
      <w:r>
        <w:rPr>
          <w:rFonts w:hint="eastAsia" w:ascii="仿宋_GB2312" w:hAnsi="仿宋_GB2312" w:cs="仿宋_GB2312"/>
          <w:kern w:val="2"/>
          <w:sz w:val="32"/>
          <w:szCs w:val="32"/>
          <w:lang w:val="en-US" w:eastAsia="zh-CN" w:bidi="ar-SA"/>
        </w:rPr>
        <w:t>。</w:t>
      </w:r>
    </w:p>
    <w:p w14:paraId="296A0C2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党政主要负责人履行推进法制建设第一责任人职责。</w:t>
      </w:r>
      <w:r>
        <w:rPr>
          <w:rFonts w:hint="eastAsia" w:ascii="仿宋_GB2312" w:hAnsi="仿宋_GB2312" w:cs="仿宋_GB2312"/>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成立由主要负责同志任组长的法治政府建设领导小组形成“主要领导亲自抓、分管领导具体抓、各科室协同抓”的工作格局。全年召开法治建设专题部署会2次，确保各项工作落地见效。</w:t>
      </w:r>
    </w:p>
    <w:p w14:paraId="32ADD0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3.提升依法履职能力。将法治培训纳入干部日常培训体系，每年举办铸牢中华民族共同体意识、农村宗教治理等专题培训班，邀请法律顾问开展《中华人民共和国民法典》等专题授课，累计组织领导干部、基层工作者专题学习10余次，覆盖1000余人次；制定并印发《民宗委领导干部应知应会党内法规和法律法规清单》，持续提升领导干部法治观念、法治思维和依法办事能力，以规范化执法护航民族宗教领域和谐稳定。</w:t>
      </w:r>
    </w:p>
    <w:p w14:paraId="134297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4.创新普法宣传载体。</w:t>
      </w:r>
      <w:r>
        <w:rPr>
          <w:rFonts w:hint="eastAsia" w:ascii="仿宋_GB2312" w:hAnsi="仿宋_GB2312" w:eastAsia="仿宋_GB2312" w:cs="仿宋_GB2312"/>
          <w:kern w:val="2"/>
          <w:sz w:val="32"/>
          <w:szCs w:val="32"/>
          <w:lang w:val="en-US" w:eastAsia="zh-CN" w:bidi="ar-SA"/>
        </w:rPr>
        <w:t>结合“广西三月三·法治伴你行”“民族团结进步宣传月”“宗教政策法规学习月”等重要节点，通过政策法规专题培训、现场宣讲、文艺演出等形式，广泛宣传民族宗教政策法规。全年举办各类主题宣传活动50余场次，发放宣传资料3万余份，覆盖群众4万余人次。深入开展“法律六进”活动，组织普法队伍走进机关、乡村、社区、学校、企业、宗教活动场所，通过网络知识问答、法治故事分享、悬挂横幅等方式开展面对面宣传，“八五”普法期间累计开展活动10余场，解答群众咨询500余人次，有效提升了群众对相关法律法规的知晓度和认同感。</w:t>
      </w:r>
    </w:p>
    <w:p w14:paraId="7F5414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二</w:t>
      </w:r>
      <w:r>
        <w:rPr>
          <w:rFonts w:hint="eastAsia" w:ascii="仿宋_GB2312" w:hAnsi="仿宋_GB2312" w:eastAsia="仿宋_GB2312" w:cs="仿宋_GB2312"/>
          <w:kern w:val="2"/>
          <w:sz w:val="32"/>
          <w:szCs w:val="32"/>
          <w:lang w:val="en-US" w:eastAsia="zh-CN" w:bidi="ar-SA"/>
        </w:rPr>
        <w:t>）规范行政执法行为，提升执法</w:t>
      </w:r>
      <w:r>
        <w:rPr>
          <w:rFonts w:hint="eastAsia" w:ascii="仿宋_GB2312" w:hAnsi="仿宋_GB2312" w:cs="仿宋_GB2312"/>
          <w:kern w:val="2"/>
          <w:sz w:val="32"/>
          <w:szCs w:val="32"/>
          <w:lang w:val="en-US" w:eastAsia="zh-CN" w:bidi="ar-SA"/>
        </w:rPr>
        <w:t>质量</w:t>
      </w:r>
      <w:r>
        <w:rPr>
          <w:rFonts w:hint="eastAsia" w:ascii="仿宋_GB2312" w:hAnsi="仿宋_GB2312" w:eastAsia="仿宋_GB2312" w:cs="仿宋_GB2312"/>
          <w:kern w:val="2"/>
          <w:sz w:val="32"/>
          <w:szCs w:val="32"/>
          <w:lang w:val="en-US" w:eastAsia="zh-CN" w:bidi="ar-SA"/>
        </w:rPr>
        <w:t>。一是</w:t>
      </w:r>
      <w:r>
        <w:rPr>
          <w:rFonts w:hint="eastAsia" w:ascii="仿宋_GB2312" w:hAnsi="仿宋_GB2312" w:cs="仿宋_GB2312"/>
          <w:kern w:val="2"/>
          <w:sz w:val="32"/>
          <w:szCs w:val="32"/>
          <w:lang w:val="en-US" w:eastAsia="zh-CN" w:bidi="ar-SA"/>
        </w:rPr>
        <w:t>健全制度体系</w:t>
      </w:r>
      <w:r>
        <w:rPr>
          <w:rFonts w:hint="eastAsia" w:ascii="仿宋_GB2312" w:hAnsi="仿宋_GB2312" w:eastAsia="仿宋_GB2312" w:cs="仿宋_GB2312"/>
          <w:kern w:val="2"/>
          <w:sz w:val="32"/>
          <w:szCs w:val="32"/>
          <w:lang w:val="en-US" w:eastAsia="zh-CN" w:bidi="ar-SA"/>
        </w:rPr>
        <w:t>，提升民族事务治理效能。</w:t>
      </w:r>
      <w:r>
        <w:rPr>
          <w:rFonts w:hint="eastAsia" w:ascii="仿宋_GB2312" w:hAnsi="仿宋_GB2312" w:cs="仿宋_GB2312"/>
          <w:kern w:val="2"/>
          <w:sz w:val="32"/>
          <w:szCs w:val="32"/>
          <w:lang w:val="en-US" w:eastAsia="zh-CN" w:bidi="ar-SA"/>
        </w:rPr>
        <w:t>转发《自治区民宗委关于印发广西壮族自治区民宗系统行政处罚裁量权规则和广西壮族自治区民宗系统行政处罚裁量权基准等四个行政裁量权基准的通知》，明确各领域裁量权基准，进一步提高执法公正性。</w:t>
      </w:r>
      <w:r>
        <w:rPr>
          <w:rFonts w:hint="eastAsia" w:ascii="仿宋_GB2312" w:hAnsi="仿宋_GB2312" w:eastAsia="仿宋_GB2312" w:cs="仿宋_GB2312"/>
          <w:kern w:val="2"/>
          <w:sz w:val="32"/>
          <w:szCs w:val="32"/>
          <w:lang w:val="en-US" w:eastAsia="zh-CN" w:bidi="ar-SA"/>
        </w:rPr>
        <w:t>梳理本部门权责清单，行政处罚16项，行政检查2项，行政确认1项，行政奖励1项，其他行政权力4项，明确执法主体、权限和程序。全年开展行政检查10次，未发现违规情况。二是严格落实执法制度。全面推行行政执法公示、执法全过程记录、重大执法决定法制审核“三项制度”，规范执法流程、强化过程管控，坚决杜绝违法或不当执法行为，为民族事务执法公平公正提供坚实制度保障。</w:t>
      </w:r>
    </w:p>
    <w:p w14:paraId="732715D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（三）完善决策制度体系，提升决策科学化水平。</w:t>
      </w:r>
      <w:r>
        <w:rPr>
          <w:rFonts w:hint="eastAsia" w:ascii="仿宋_GB2312" w:hAnsi="仿宋_GB2312" w:eastAsia="仿宋_GB2312" w:cs="仿宋_GB2312"/>
          <w:kern w:val="2"/>
          <w:sz w:val="32"/>
          <w:szCs w:val="32"/>
          <w:lang w:val="en-US" w:eastAsia="zh-CN" w:bidi="ar-SA"/>
        </w:rPr>
        <w:t>配备1名公职律师和1名法律顾问，为决策提供专业法律支撑。严格遵循决策调研、咨询论证、公众参与、风险评估、合法性审查、集体讨论决定的法定程序，确保重大行政决策合法合规、科学民主。法律顾问</w:t>
      </w:r>
      <w:bookmarkStart w:id="0" w:name="_GoBack"/>
      <w:bookmarkEnd w:id="0"/>
      <w:r>
        <w:rPr>
          <w:rFonts w:hint="eastAsia" w:ascii="仿宋_GB2312" w:hAnsi="仿宋_GB2312" w:eastAsia="仿宋_GB2312" w:cs="仿宋_GB2312"/>
          <w:kern w:val="2"/>
          <w:sz w:val="32"/>
          <w:szCs w:val="32"/>
          <w:lang w:val="en-US" w:eastAsia="zh-CN" w:bidi="ar-SA"/>
        </w:rPr>
        <w:t>参与日常法律事务，协助审核合同协议，针对民族成份变更争议等重点问题精准提供法律意见，有效防范决策法律风险。</w:t>
      </w:r>
    </w:p>
    <w:p w14:paraId="5D7100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eastAsia="仿宋_GB2312" w:cs="仿宋_GB2312" w:asciiTheme="minorAscii" w:hAnsiTheme="minorAscii"/>
          <w:kern w:val="2"/>
          <w:sz w:val="32"/>
          <w:szCs w:val="32"/>
          <w:lang w:val="en-US" w:eastAsia="zh-CN" w:bidi="ar-SA"/>
        </w:rPr>
        <w:t>（</w:t>
      </w:r>
      <w:r>
        <w:rPr>
          <w:rFonts w:hint="eastAsia" w:cs="仿宋_GB2312"/>
          <w:kern w:val="2"/>
          <w:sz w:val="32"/>
          <w:szCs w:val="32"/>
          <w:lang w:val="en-US" w:eastAsia="zh-CN" w:bidi="ar-SA"/>
        </w:rPr>
        <w:t>四</w:t>
      </w:r>
      <w:r>
        <w:rPr>
          <w:rFonts w:hint="eastAsia" w:eastAsia="仿宋_GB2312" w:cs="仿宋_GB2312" w:asciiTheme="minorAscii" w:hAnsiTheme="minorAscii"/>
          <w:kern w:val="2"/>
          <w:sz w:val="32"/>
          <w:szCs w:val="32"/>
          <w:lang w:val="en-US" w:eastAsia="zh-CN" w:bidi="ar-SA"/>
        </w:rPr>
        <w:t>）健全纠纷化解机制，筑牢社会和谐防线</w:t>
      </w:r>
      <w:r>
        <w:rPr>
          <w:rFonts w:hint="eastAsia"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坚持和发展新时代“枫桥经验”，以多元共治模式推动矛盾纠纷源头化解。全面推广“火塘夜话”“三会兴屯”“融议心安”等体现中华民族共同体意识的基层治理模式，覆盖率超98%。结合“321”工作法，健全县、乡、村三级联动调解机制，提升矛盾化解效能，累计化解群众急难愁盼问题2100余件，推进民生实事项目30余个，调解成功率达96%，实现“小事不出村、大事不出乡、矛盾不上交”。</w:t>
      </w:r>
    </w:p>
    <w:p w14:paraId="6DABDAB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二、推进法治政府建设存在的不足</w:t>
      </w:r>
    </w:p>
    <w:p w14:paraId="0FC61A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cs="仿宋_GB2312"/>
          <w:kern w:val="2"/>
          <w:sz w:val="32"/>
          <w:szCs w:val="32"/>
          <w:lang w:val="en-US" w:eastAsia="zh-CN" w:bidi="ar-SA"/>
        </w:rPr>
      </w:pPr>
      <w:r>
        <w:rPr>
          <w:rFonts w:hint="eastAsia" w:cs="仿宋_GB2312"/>
          <w:kern w:val="2"/>
          <w:sz w:val="32"/>
          <w:szCs w:val="32"/>
          <w:lang w:val="en-US" w:eastAsia="zh-CN" w:bidi="ar-SA"/>
        </w:rPr>
        <w:t>一是</w:t>
      </w:r>
      <w:r>
        <w:rPr>
          <w:rFonts w:hint="default" w:cs="仿宋_GB2312"/>
          <w:kern w:val="2"/>
          <w:sz w:val="32"/>
          <w:szCs w:val="32"/>
          <w:lang w:val="en-US" w:eastAsia="zh-CN" w:bidi="ar-SA"/>
        </w:rPr>
        <w:t>对相关法律法规学习不够深刻</w:t>
      </w:r>
      <w:r>
        <w:rPr>
          <w:rFonts w:hint="eastAsia" w:cs="仿宋_GB2312"/>
          <w:kern w:val="2"/>
          <w:sz w:val="32"/>
          <w:szCs w:val="32"/>
          <w:lang w:val="en-US" w:eastAsia="zh-CN" w:bidi="ar-SA"/>
        </w:rPr>
        <w:t>。部分干部对民族宗教领域相关法律法规的系统性学习不够，理解不够透彻，运用法治思维和法治方式解决复杂问题的能力有待进一步提升。</w:t>
      </w:r>
    </w:p>
    <w:p w14:paraId="3A6151F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cs="仿宋_GB2312"/>
          <w:kern w:val="2"/>
          <w:sz w:val="32"/>
          <w:szCs w:val="32"/>
          <w:lang w:val="en-US" w:eastAsia="zh-CN" w:bidi="ar-SA"/>
        </w:rPr>
      </w:pPr>
      <w:r>
        <w:rPr>
          <w:rFonts w:hint="eastAsia" w:cs="仿宋_GB2312"/>
          <w:kern w:val="2"/>
          <w:sz w:val="32"/>
          <w:szCs w:val="32"/>
          <w:lang w:val="en-US" w:eastAsia="zh-CN" w:bidi="ar-SA"/>
        </w:rPr>
        <w:t>二是</w:t>
      </w:r>
      <w:r>
        <w:rPr>
          <w:rFonts w:hint="default" w:cs="仿宋_GB2312"/>
          <w:kern w:val="2"/>
          <w:sz w:val="32"/>
          <w:szCs w:val="32"/>
          <w:lang w:val="en-US" w:eastAsia="zh-CN" w:bidi="ar-SA"/>
        </w:rPr>
        <w:t>法治宣传教育的载体形式不够丰富，</w:t>
      </w:r>
      <w:r>
        <w:rPr>
          <w:rFonts w:hint="eastAsia" w:cs="仿宋_GB2312"/>
          <w:kern w:val="2"/>
          <w:sz w:val="32"/>
          <w:szCs w:val="32"/>
          <w:lang w:val="en-US" w:eastAsia="zh-CN" w:bidi="ar-SA"/>
        </w:rPr>
        <w:t>针对性不强</w:t>
      </w:r>
      <w:r>
        <w:rPr>
          <w:rFonts w:hint="default" w:cs="仿宋_GB2312"/>
          <w:kern w:val="2"/>
          <w:sz w:val="32"/>
          <w:szCs w:val="32"/>
          <w:lang w:val="en-US" w:eastAsia="zh-CN" w:bidi="ar-SA"/>
        </w:rPr>
        <w:t>。</w:t>
      </w:r>
    </w:p>
    <w:p w14:paraId="3C2DC04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三、下一年度推进法治政府建设的主要安排</w:t>
      </w:r>
    </w:p>
    <w:p w14:paraId="05A1C1D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cs="仿宋_GB2312"/>
          <w:kern w:val="2"/>
          <w:sz w:val="32"/>
          <w:szCs w:val="32"/>
          <w:lang w:val="en-US" w:eastAsia="zh-CN" w:bidi="ar-SA"/>
        </w:rPr>
      </w:pPr>
      <w:r>
        <w:rPr>
          <w:rFonts w:hint="default" w:cs="仿宋_GB2312"/>
          <w:kern w:val="2"/>
          <w:sz w:val="32"/>
          <w:szCs w:val="32"/>
          <w:lang w:val="en-US" w:eastAsia="zh-CN" w:bidi="ar-SA"/>
        </w:rPr>
        <w:t>一是深化理论武装提能力。持续深入学习贯彻习近平法治思想，常态化开展专题培训、研讨交流和案例教学，将法律法规学习与业务工作深度融合，不断提升干部法治素养和依法履职能力。</w:t>
      </w:r>
      <w:r>
        <w:rPr>
          <w:rFonts w:hint="eastAsia" w:cs="仿宋_GB2312"/>
          <w:kern w:val="2"/>
          <w:sz w:val="32"/>
          <w:szCs w:val="32"/>
          <w:lang w:val="en-US" w:eastAsia="zh-CN" w:bidi="ar-SA"/>
        </w:rPr>
        <w:t>二是</w:t>
      </w:r>
      <w:r>
        <w:rPr>
          <w:rFonts w:hint="default" w:cs="仿宋_GB2312"/>
          <w:kern w:val="2"/>
          <w:sz w:val="32"/>
          <w:szCs w:val="32"/>
          <w:lang w:val="en-US" w:eastAsia="zh-CN" w:bidi="ar-SA"/>
        </w:rPr>
        <w:t>强化普法宣传，针对不同对象、不同群体，创新宣传教育方式，采取群众喜闻乐见、通俗易懂、容易吸收的形式</w:t>
      </w:r>
      <w:r>
        <w:rPr>
          <w:rFonts w:hint="eastAsia" w:cs="仿宋_GB2312"/>
          <w:kern w:val="2"/>
          <w:sz w:val="32"/>
          <w:szCs w:val="32"/>
          <w:lang w:val="en-US" w:eastAsia="zh-CN" w:bidi="ar-SA"/>
        </w:rPr>
        <w:t>宣传</w:t>
      </w:r>
      <w:r>
        <w:rPr>
          <w:rFonts w:hint="default" w:cs="仿宋_GB2312"/>
          <w:kern w:val="2"/>
          <w:sz w:val="32"/>
          <w:szCs w:val="32"/>
          <w:lang w:val="en-US" w:eastAsia="zh-CN" w:bidi="ar-SA"/>
        </w:rPr>
        <w:t>，推动办事依法、遇事找法、解决问题用法、化解矛盾靠法蔚然成风。</w:t>
      </w:r>
    </w:p>
    <w:p w14:paraId="3D24069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cs="仿宋_GB2312"/>
          <w:kern w:val="2"/>
          <w:sz w:val="32"/>
          <w:szCs w:val="32"/>
          <w:lang w:val="en-US" w:eastAsia="zh-CN" w:bidi="ar-SA"/>
        </w:rPr>
      </w:pPr>
    </w:p>
    <w:p w14:paraId="4DE4F6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cs="仿宋_GB2312"/>
          <w:kern w:val="2"/>
          <w:sz w:val="32"/>
          <w:szCs w:val="32"/>
          <w:lang w:val="en-US" w:eastAsia="zh-CN" w:bidi="ar-SA"/>
        </w:rPr>
      </w:pPr>
    </w:p>
    <w:p w14:paraId="7E66D5E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cs="仿宋_GB2312"/>
          <w:kern w:val="2"/>
          <w:sz w:val="32"/>
          <w:szCs w:val="32"/>
          <w:lang w:val="en-US" w:eastAsia="zh-CN" w:bidi="ar-SA"/>
        </w:rPr>
      </w:pPr>
    </w:p>
    <w:sectPr>
      <w:pgSz w:w="11906" w:h="16838"/>
      <w:pgMar w:top="1701" w:right="1587"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E264D4-7100-41F1-9E47-6DAFC3656A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971C6A4-4CD0-4728-A132-4E9EC78DD2D5}"/>
  </w:font>
  <w:font w:name="仿宋_GB2312">
    <w:panose1 w:val="02010609030101010101"/>
    <w:charset w:val="86"/>
    <w:family w:val="auto"/>
    <w:pitch w:val="default"/>
    <w:sig w:usb0="00000001" w:usb1="080E0000" w:usb2="00000000" w:usb3="00000000" w:csb0="00040000" w:csb1="00000000"/>
    <w:embedRegular r:id="rId3" w:fontKey="{D139C0BF-031C-4C1F-87ED-0858F80725D3}"/>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E337E7A0-6524-4B9D-8B7D-6DA5FB8C528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EB4B69"/>
    <w:rsid w:val="0ED65123"/>
    <w:rsid w:val="0FEB543B"/>
    <w:rsid w:val="18A4181E"/>
    <w:rsid w:val="1A1D3C1F"/>
    <w:rsid w:val="1FFB1FA0"/>
    <w:rsid w:val="230B55B2"/>
    <w:rsid w:val="253E603E"/>
    <w:rsid w:val="32C75047"/>
    <w:rsid w:val="3EB56B26"/>
    <w:rsid w:val="4CBC645E"/>
    <w:rsid w:val="51775AAC"/>
    <w:rsid w:val="52966033"/>
    <w:rsid w:val="571B3EF6"/>
    <w:rsid w:val="5C252142"/>
    <w:rsid w:val="63DE3C8D"/>
    <w:rsid w:val="65175F9D"/>
    <w:rsid w:val="67D90381"/>
    <w:rsid w:val="686978E7"/>
    <w:rsid w:val="6A670AC9"/>
    <w:rsid w:val="6C5B06A3"/>
    <w:rsid w:val="6F1D26F6"/>
    <w:rsid w:val="723C5861"/>
    <w:rsid w:val="744C4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cs="仿宋_GB2312" w:asciiTheme="minorAscii" w:hAnsiTheme="minorAscii"/>
      <w:kern w:val="2"/>
      <w:sz w:val="32"/>
      <w:szCs w:val="3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o Spacing"/>
    <w:qFormat/>
    <w:uiPriority w:val="1"/>
    <w:pPr>
      <w:adjustRightInd w:val="0"/>
      <w:snapToGrid w:val="0"/>
      <w:jc w:val="both"/>
    </w:pPr>
    <w:rPr>
      <w:rFonts w:ascii="Tahoma" w:hAnsi="Tahoma" w:eastAsia="仿宋" w:cs="Times New Roman"/>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4</Pages>
  <Words>1810</Words>
  <Characters>1843</Characters>
  <Lines>0</Lines>
  <Paragraphs>0</Paragraphs>
  <TotalTime>85</TotalTime>
  <ScaleCrop>false</ScaleCrop>
  <LinksUpToDate>false</LinksUpToDate>
  <CharactersWithSpaces>1843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cp:lastModifiedBy>
  <dcterms:modified xsi:type="dcterms:W3CDTF">2025-11-21T08:14:05Z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6357BE481D304D3E93CC4D2275B56E7E</vt:lpwstr>
  </property>
  <property fmtid="{D5CDD505-2E9C-101B-9397-08002B2CF9AE}" pid="4" name="KSOTemplateDocerSaveRecord">
    <vt:lpwstr>eyJoZGlkIjoiZDZlODI2MDY0NmFmNTdlNWFiYTdhNTJhMDk2NDliNmYiLCJ1c2VySWQiOiI1MTU5NDQ5MTcifQ==</vt:lpwstr>
  </property>
</Properties>
</file>