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80" w:lineRule="exact"/>
        <w:jc w:val="center"/>
        <w:textAlignment w:val="auto"/>
        <w:outlineLvl w:val="9"/>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柳州市公安局</w:t>
      </w: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25</w:t>
      </w:r>
      <w:r>
        <w:rPr>
          <w:rFonts w:hint="eastAsia" w:ascii="方正小标宋简体" w:hAnsi="方正小标宋简体" w:eastAsia="方正小标宋简体" w:cs="方正小标宋简体"/>
          <w:b w:val="0"/>
          <w:bCs/>
          <w:sz w:val="44"/>
          <w:szCs w:val="44"/>
        </w:rPr>
        <w:t>年</w:t>
      </w:r>
      <w:r>
        <w:rPr>
          <w:rFonts w:hint="eastAsia" w:ascii="方正小标宋简体" w:hAnsi="方正小标宋简体" w:eastAsia="方正小标宋简体" w:cs="方正小标宋简体"/>
          <w:b w:val="0"/>
          <w:bCs/>
          <w:sz w:val="44"/>
          <w:szCs w:val="44"/>
          <w:lang w:eastAsia="zh-CN"/>
        </w:rPr>
        <w:t>度法治政府建设</w:t>
      </w:r>
    </w:p>
    <w:p>
      <w:pPr>
        <w:keepNext w:val="0"/>
        <w:keepLines w:val="0"/>
        <w:pageBreakBefore w:val="0"/>
        <w:widowControl/>
        <w:kinsoku/>
        <w:wordWrap/>
        <w:overflowPunct/>
        <w:topLinePunct w:val="0"/>
        <w:autoSpaceDE/>
        <w:autoSpaceDN/>
        <w:bidi w:val="0"/>
        <w:adjustRightInd/>
        <w:snapToGrid/>
        <w:spacing w:line="580" w:lineRule="exact"/>
        <w:jc w:val="center"/>
        <w:textAlignment w:val="auto"/>
        <w:outlineLvl w:val="9"/>
        <w:rPr>
          <w:rFonts w:hint="eastAsia" w:ascii="方正小标宋简体" w:hAnsi="方正小标宋简体" w:eastAsia="方正小标宋简体" w:cs="方正小标宋简体"/>
          <w:b/>
          <w:sz w:val="44"/>
          <w:szCs w:val="44"/>
          <w:lang w:val="en-US" w:eastAsia="zh-CN"/>
        </w:rPr>
      </w:pPr>
      <w:r>
        <w:rPr>
          <w:rFonts w:hint="eastAsia" w:ascii="方正小标宋简体" w:hAnsi="方正小标宋简体" w:eastAsia="方正小标宋简体" w:cs="方正小标宋简体"/>
          <w:b w:val="0"/>
          <w:bCs/>
          <w:sz w:val="44"/>
          <w:szCs w:val="44"/>
          <w:lang w:eastAsia="zh-CN"/>
        </w:rPr>
        <w:t>工作报告</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年，柳州市公安局</w:t>
      </w:r>
      <w:r>
        <w:rPr>
          <w:rFonts w:hint="default" w:ascii="Times New Roman" w:hAnsi="Times New Roman" w:eastAsia="仿宋_GB2312" w:cs="Times New Roman"/>
          <w:sz w:val="32"/>
          <w:szCs w:val="32"/>
        </w:rPr>
        <w:t>在市委</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市政府的</w:t>
      </w:r>
      <w:r>
        <w:rPr>
          <w:rFonts w:hint="default" w:ascii="Times New Roman" w:hAnsi="Times New Roman" w:eastAsia="仿宋_GB2312" w:cs="Times New Roman"/>
          <w:sz w:val="32"/>
          <w:szCs w:val="32"/>
          <w:lang w:eastAsia="zh-CN"/>
        </w:rPr>
        <w:t>坚强</w:t>
      </w:r>
      <w:r>
        <w:rPr>
          <w:rFonts w:hint="default" w:ascii="Times New Roman" w:hAnsi="Times New Roman" w:eastAsia="仿宋_GB2312" w:cs="Times New Roman"/>
          <w:sz w:val="32"/>
          <w:szCs w:val="32"/>
        </w:rPr>
        <w:t>领导下，</w:t>
      </w:r>
      <w:r>
        <w:rPr>
          <w:rFonts w:hint="default" w:ascii="Times New Roman" w:hAnsi="Times New Roman" w:eastAsia="仿宋_GB2312" w:cs="Times New Roman"/>
          <w:sz w:val="32"/>
          <w:szCs w:val="32"/>
          <w:lang w:val="en-US" w:eastAsia="zh-CN"/>
        </w:rPr>
        <w:t>坚持以习近平新时代中国特色社会主义思想为指导</w:t>
      </w:r>
      <w:r>
        <w:rPr>
          <w:rFonts w:hint="default" w:ascii="Times New Roman" w:hAnsi="Times New Roman" w:eastAsia="仿宋_GB2312" w:cs="Times New Roman"/>
          <w:sz w:val="32"/>
          <w:szCs w:val="32"/>
        </w:rPr>
        <w:t>，紧密围绕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法治柳州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w:t>
      </w:r>
      <w:r>
        <w:rPr>
          <w:rFonts w:hint="default" w:ascii="Times New Roman" w:hAnsi="Times New Roman" w:eastAsia="仿宋_GB2312" w:cs="Times New Roman"/>
          <w:sz w:val="32"/>
          <w:szCs w:val="32"/>
        </w:rPr>
        <w:t>设总目标，大力推进公安机关依法行政和执法规范化建设，</w:t>
      </w:r>
      <w:r>
        <w:rPr>
          <w:rFonts w:hint="default" w:ascii="Times New Roman" w:hAnsi="Times New Roman" w:eastAsia="仿宋_GB2312" w:cs="Times New Roman"/>
          <w:color w:val="auto"/>
          <w:sz w:val="32"/>
          <w:szCs w:val="32"/>
          <w:lang w:eastAsia="zh-CN"/>
        </w:rPr>
        <w:t>不断完善</w:t>
      </w:r>
      <w:r>
        <w:rPr>
          <w:rFonts w:hint="default" w:ascii="Times New Roman" w:hAnsi="Times New Roman" w:eastAsia="仿宋_GB2312" w:cs="Times New Roman"/>
          <w:color w:val="auto"/>
          <w:sz w:val="32"/>
          <w:szCs w:val="32"/>
        </w:rPr>
        <w:t>执法理念、制度建设、执法监督、</w:t>
      </w:r>
      <w:r>
        <w:rPr>
          <w:rFonts w:hint="default" w:ascii="Times New Roman" w:hAnsi="Times New Roman" w:eastAsia="仿宋_GB2312" w:cs="Times New Roman"/>
          <w:color w:val="auto"/>
          <w:sz w:val="32"/>
          <w:szCs w:val="32"/>
          <w:lang w:eastAsia="zh-CN"/>
        </w:rPr>
        <w:t>法治宣传</w:t>
      </w:r>
      <w:r>
        <w:rPr>
          <w:rFonts w:hint="default" w:ascii="Times New Roman" w:hAnsi="Times New Roman" w:eastAsia="仿宋_GB2312" w:cs="Times New Roman"/>
          <w:color w:val="auto"/>
          <w:sz w:val="32"/>
          <w:szCs w:val="32"/>
        </w:rPr>
        <w:t>等工作机制，</w:t>
      </w:r>
      <w:r>
        <w:rPr>
          <w:rFonts w:hint="default" w:ascii="Times New Roman" w:hAnsi="Times New Roman" w:eastAsia="仿宋_GB2312" w:cs="Times New Roman"/>
          <w:sz w:val="32"/>
          <w:szCs w:val="32"/>
        </w:rPr>
        <w:t>有效服务和保障柳州经济</w:t>
      </w:r>
      <w:r>
        <w:rPr>
          <w:rFonts w:hint="default" w:ascii="Times New Roman" w:hAnsi="Times New Roman" w:eastAsia="仿宋_GB2312" w:cs="Times New Roman"/>
          <w:sz w:val="32"/>
          <w:szCs w:val="32"/>
          <w:lang w:eastAsia="zh-CN"/>
        </w:rPr>
        <w:t>社会</w:t>
      </w:r>
      <w:r>
        <w:rPr>
          <w:rFonts w:hint="default" w:ascii="Times New Roman" w:hAnsi="Times New Roman" w:eastAsia="仿宋_GB2312" w:cs="Times New Roman"/>
          <w:sz w:val="32"/>
          <w:szCs w:val="32"/>
        </w:rPr>
        <w:t>高质量发展</w:t>
      </w:r>
      <w:r>
        <w:rPr>
          <w:rFonts w:hint="eastAsia" w:eastAsia="仿宋_GB2312" w:cs="Times New Roman"/>
          <w:sz w:val="32"/>
          <w:szCs w:val="32"/>
          <w:lang w:eastAsia="zh-CN"/>
        </w:rPr>
        <w:t>，</w:t>
      </w:r>
      <w:r>
        <w:rPr>
          <w:rFonts w:hint="eastAsia" w:ascii="仿宋_GB2312" w:hAnsi="仿宋_GB2312" w:eastAsia="仿宋_GB2312" w:cs="仿宋_GB2312"/>
          <w:sz w:val="32"/>
          <w:szCs w:val="32"/>
        </w:rPr>
        <w:t>积极构建与“专业+机制+大数据”新型警务运行模式相适应的法治保障体系，切实提升公安机关新质战斗力。现将有关情况报告如下：</w:t>
      </w:r>
    </w:p>
    <w:p>
      <w:pPr>
        <w:pStyle w:val="10"/>
        <w:keepNext w:val="0"/>
        <w:keepLines w:val="0"/>
        <w:pageBreakBefore w:val="0"/>
        <w:widowControl/>
        <w:numPr>
          <w:ilvl w:val="0"/>
          <w:numId w:val="1"/>
        </w:numPr>
        <w:kinsoku/>
        <w:wordWrap/>
        <w:topLinePunct w:val="0"/>
        <w:bidi w:val="0"/>
        <w:snapToGrid/>
        <w:spacing w:line="56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主要举措和成效</w:t>
      </w:r>
    </w:p>
    <w:p>
      <w:pPr>
        <w:pStyle w:val="10"/>
        <w:keepNext w:val="0"/>
        <w:keepLines w:val="0"/>
        <w:pageBreakBefore w:val="0"/>
        <w:widowControl/>
        <w:numPr>
          <w:ilvl w:val="0"/>
          <w:numId w:val="2"/>
        </w:numPr>
        <w:kinsoku/>
        <w:wordWrap/>
        <w:overflowPunct/>
        <w:topLinePunct w:val="0"/>
        <w:autoSpaceDE/>
        <w:autoSpaceDN/>
        <w:bidi w:val="0"/>
        <w:adjustRightInd/>
        <w:snapToGrid/>
        <w:spacing w:line="560" w:lineRule="exact"/>
        <w:ind w:firstLine="642" w:firstLineChars="200"/>
        <w:jc w:val="both"/>
        <w:textAlignment w:val="auto"/>
        <w:rPr>
          <w:rFonts w:ascii="楷体_GB2312" w:eastAsia="楷体_GB2312" w:hAnsiTheme="minorHAnsi" w:cstheme="minorBidi"/>
          <w:b/>
          <w:bCs w:val="0"/>
          <w:color w:val="000000" w:themeColor="text1"/>
          <w:kern w:val="2"/>
          <w:sz w:val="32"/>
          <w:szCs w:val="32"/>
          <w14:textFill>
            <w14:solidFill>
              <w14:schemeClr w14:val="tx1"/>
            </w14:solidFill>
          </w14:textFill>
        </w:rPr>
      </w:pPr>
      <w:r>
        <w:rPr>
          <w:rFonts w:ascii="楷体_GB2312" w:eastAsia="楷体_GB2312" w:hAnsiTheme="minorHAnsi" w:cstheme="minorBidi"/>
          <w:b/>
          <w:bCs w:val="0"/>
          <w:color w:val="000000" w:themeColor="text1"/>
          <w:kern w:val="2"/>
          <w:sz w:val="32"/>
          <w:szCs w:val="32"/>
          <w14:textFill>
            <w14:solidFill>
              <w14:schemeClr w14:val="tx1"/>
            </w14:solidFill>
          </w14:textFill>
        </w:rPr>
        <w:t>抓牢理论武装</w:t>
      </w:r>
    </w:p>
    <w:p>
      <w:pPr>
        <w:pStyle w:val="10"/>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lang w:val="en-US" w:eastAsia="zh-CN"/>
        </w:rPr>
        <w:t>年，我局</w:t>
      </w:r>
      <w:r>
        <w:rPr>
          <w:rFonts w:ascii="Times New Roman" w:hAnsi="Times New Roman" w:eastAsia="仿宋_GB2312"/>
          <w:color w:val="auto"/>
          <w:sz w:val="32"/>
          <w:szCs w:val="32"/>
        </w:rPr>
        <w:t>始终坚持把学习贯彻习近平新时代中国特色社会主义思想作为首要政治</w:t>
      </w:r>
      <w:r>
        <w:rPr>
          <w:rFonts w:ascii="Times New Roman" w:hAnsi="Times New Roman" w:eastAsia="仿宋_GB2312" w:cs="Times New Roman"/>
          <w:color w:val="auto"/>
          <w:sz w:val="32"/>
          <w:szCs w:val="32"/>
        </w:rPr>
        <w:t>任务，严格落实“第一议题”、理论中心组学习等学习制度。</w:t>
      </w:r>
      <w:r>
        <w:rPr>
          <w:rFonts w:hint="eastAsia" w:ascii="Times New Roman" w:hAnsi="Times New Roman" w:eastAsia="仿宋_GB2312" w:cs="Times New Roman"/>
          <w:color w:val="auto"/>
          <w:sz w:val="32"/>
          <w:szCs w:val="32"/>
          <w:highlight w:val="none"/>
          <w:lang w:val="en-US" w:eastAsia="zh-CN"/>
        </w:rPr>
        <w:t>严格落实</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olor w:val="000000" w:themeColor="text1"/>
          <w:sz w:val="32"/>
          <w:szCs w:val="32"/>
          <w14:textFill>
            <w14:solidFill>
              <w14:schemeClr w14:val="tx1"/>
            </w14:solidFill>
          </w14:textFill>
        </w:rPr>
        <w:t>柳州市公安局领导干部应知应会党内法规和法律法规清单</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olor w:val="000000" w:themeColor="text1"/>
          <w:sz w:val="32"/>
          <w:szCs w:val="32"/>
          <w14:textFill>
            <w14:solidFill>
              <w14:schemeClr w14:val="tx1"/>
            </w14:solidFill>
          </w14:textFill>
        </w:rPr>
        <w:t>将习近平法治思想</w:t>
      </w:r>
      <w:r>
        <w:rPr>
          <w:rFonts w:hint="eastAsia" w:ascii="Times New Roman" w:hAnsi="Times New Roman" w:eastAsia="仿宋_GB2312"/>
          <w:color w:val="000000" w:themeColor="text1"/>
          <w:sz w:val="32"/>
          <w:szCs w:val="32"/>
          <w:lang w:eastAsia="zh-CN"/>
          <w14:textFill>
            <w14:solidFill>
              <w14:schemeClr w14:val="tx1"/>
            </w14:solidFill>
          </w14:textFill>
        </w:rPr>
        <w:t>等内容</w:t>
      </w:r>
      <w:r>
        <w:rPr>
          <w:rFonts w:ascii="Times New Roman" w:hAnsi="Times New Roman" w:eastAsia="仿宋_GB2312"/>
          <w:color w:val="000000" w:themeColor="text1"/>
          <w:sz w:val="32"/>
          <w:szCs w:val="32"/>
          <w14:textFill>
            <w14:solidFill>
              <w14:schemeClr w14:val="tx1"/>
            </w14:solidFill>
          </w14:textFill>
        </w:rPr>
        <w:t>纳入各级公安机关党委理论中心组学习重点内容</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default" w:ascii="Times New Roman" w:hAnsi="Times New Roman" w:eastAsia="仿宋_GB2312"/>
          <w:color w:val="000000" w:themeColor="text1"/>
          <w:sz w:val="32"/>
          <w:szCs w:val="32"/>
          <w14:textFill>
            <w14:solidFill>
              <w14:schemeClr w14:val="tx1"/>
            </w14:solidFill>
          </w14:textFill>
        </w:rPr>
        <w:t>党委理论学习中心组</w:t>
      </w:r>
      <w:r>
        <w:rPr>
          <w:rFonts w:ascii="Times New Roman" w:hAnsi="Times New Roman" w:eastAsia="仿宋_GB2312"/>
          <w:color w:val="000000" w:themeColor="text1"/>
          <w:sz w:val="32"/>
          <w:szCs w:val="32"/>
          <w14:textFill>
            <w14:solidFill>
              <w14:schemeClr w14:val="tx1"/>
            </w14:solidFill>
          </w14:textFill>
        </w:rPr>
        <w:t>组织</w:t>
      </w:r>
      <w:r>
        <w:rPr>
          <w:rFonts w:hint="default" w:ascii="Times New Roman" w:hAnsi="Times New Roman" w:eastAsia="仿宋_GB2312"/>
          <w:color w:val="000000" w:themeColor="text1"/>
          <w:sz w:val="32"/>
          <w:szCs w:val="32"/>
          <w14:textFill>
            <w14:solidFill>
              <w14:schemeClr w14:val="tx1"/>
            </w14:solidFill>
          </w14:textFill>
        </w:rPr>
        <w:t>专题学习研讨，第一时间传达学习党中央决策部署、研究贯彻落实意见，把学习成果转化为推动公安工作现代化的强大动力。</w:t>
      </w:r>
    </w:p>
    <w:p>
      <w:pPr>
        <w:keepNext w:val="0"/>
        <w:keepLines w:val="0"/>
        <w:pageBreakBefore w:val="0"/>
        <w:kinsoku/>
        <w:wordWrap/>
        <w:overflowPunct/>
        <w:topLinePunct w:val="0"/>
        <w:autoSpaceDE/>
        <w:autoSpaceDN/>
        <w:bidi w:val="0"/>
        <w:adjustRightInd/>
        <w:snapToGrid/>
        <w:spacing w:line="560" w:lineRule="exact"/>
        <w:ind w:firstLine="642" w:firstLineChars="200"/>
        <w:jc w:val="both"/>
        <w:textAlignment w:val="auto"/>
        <w:rPr>
          <w:rFonts w:hint="eastAsia" w:ascii="楷体_GB2312" w:eastAsia="楷体_GB2312" w:hAnsiTheme="minorHAnsi" w:cstheme="minorBidi"/>
          <w:b/>
          <w:bCs w:val="0"/>
          <w:color w:val="000000" w:themeColor="text1"/>
          <w:kern w:val="2"/>
          <w:sz w:val="32"/>
          <w:szCs w:val="32"/>
          <w:lang w:val="en-US" w:eastAsia="zh-CN"/>
          <w14:textFill>
            <w14:solidFill>
              <w14:schemeClr w14:val="tx1"/>
            </w14:solidFill>
          </w14:textFill>
        </w:rPr>
      </w:pPr>
      <w:r>
        <w:rPr>
          <w:rFonts w:hint="eastAsia" w:ascii="楷体_GB2312" w:eastAsia="楷体_GB2312" w:hAnsiTheme="minorHAnsi" w:cstheme="minorBidi"/>
          <w:b/>
          <w:bCs w:val="0"/>
          <w:color w:val="000000" w:themeColor="text1"/>
          <w:kern w:val="2"/>
          <w:sz w:val="32"/>
          <w:szCs w:val="32"/>
          <w:lang w:val="en-US" w:eastAsia="zh-CN"/>
          <w14:textFill>
            <w14:solidFill>
              <w14:schemeClr w14:val="tx1"/>
            </w14:solidFill>
          </w14:textFill>
        </w:rPr>
        <w:t>（二）坚持风险防控，维护社会稳定</w:t>
      </w:r>
    </w:p>
    <w:p>
      <w:pPr>
        <w:keepNext w:val="0"/>
        <w:keepLines w:val="0"/>
        <w:pageBreakBefore w:val="0"/>
        <w:kinsoku/>
        <w:wordWrap/>
        <w:overflowPunct/>
        <w:topLinePunct w:val="0"/>
        <w:autoSpaceDE/>
        <w:autoSpaceDN/>
        <w:bidi w:val="0"/>
        <w:adjustRightInd/>
        <w:snapToGrid/>
        <w:spacing w:line="560" w:lineRule="exact"/>
        <w:ind w:firstLine="642" w:firstLineChars="200"/>
        <w:jc w:val="both"/>
        <w:textAlignment w:val="auto"/>
        <w:rPr>
          <w:rFonts w:hint="eastAsia"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一是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筑牢矛盾纠纷化解防线。</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深入推进“化解矛盾风险 维护社会稳定”专项行动，依托“百万警进千万家”活动，组织民警深入社区走访，主动摸排矛盾隐患。建立“矛调衔接”平台，推动派出所调解室全覆盖，形成矛盾纠纷多元化解格局。全国“两会”期间保持“北京零非访”双零佳绩。持续深化命案预防“生命防护网”专项行动，建立严重精神障碍患者“一人一策”动态管理服务机制，协同卫健、社区等力量落实管控措施，有效防范“民转刑”“刑转命”案件风险</w:t>
      </w:r>
      <w:r>
        <w:rPr>
          <w:rFonts w:hint="eastAsia" w:eastAsia="仿宋_GB2312"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二是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织密社会面防控网络。</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严格落实公安武警联勤巡逻和“1、3、5分钟”快速反应机制，动态优化核心区、重点部位和人员密集场所的快反圈层布局，强化显性用警和动态布防。推进街面警务室标准化建设与实战化运行，积极发动和组织义警等群防群治力量参与社会面巡防，提升整体巡防效能。深化平安校园建设，全面落实“护学岗”和“高峰勤务”机制，推动校园周边硬质隔离等安防设施应建尽建。全市公安交管部门持续开展“飙车炸街”等突出交通违法行为专项整治，加强路面执法和警示曝光，保障道路交通秩序安全有序。</w:t>
      </w:r>
    </w:p>
    <w:p>
      <w:pPr>
        <w:keepNext w:val="0"/>
        <w:keepLines w:val="0"/>
        <w:pageBreakBefore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三是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强化重点行业和特殊群体管控。</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深化对行业场所、寄递物流、特种行业的治安管理，建立覆盖源头、流程、环节的“不漏管、不流失、不炸响”全链条监管体系。强化涉访涉诉、涉个人极端等重点风险舆情的监测研判与联动处置。加强对严重不良行为未成年人、刑满释放人员等重点群体的常态化走访、教育和帮扶，依法依规开展未成年人专门矫治工作。全市公安监管场所持续推进基础设施与管理机制提档升级，严守安全底线，确保监管秩序持续平稳。</w:t>
      </w:r>
    </w:p>
    <w:p>
      <w:pPr>
        <w:keepNext w:val="0"/>
        <w:keepLines w:val="0"/>
        <w:pageBreakBefore w:val="0"/>
        <w:kinsoku/>
        <w:wordWrap/>
        <w:topLinePunct w:val="0"/>
        <w:bidi w:val="0"/>
        <w:snapToGrid/>
        <w:spacing w:line="560" w:lineRule="exact"/>
        <w:ind w:firstLine="642" w:firstLineChars="200"/>
        <w:jc w:val="both"/>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eastAsia" w:eastAsia="楷体_GB2312" w:cs="Times New Roman"/>
          <w:b/>
          <w:bCs/>
          <w:color w:val="000000" w:themeColor="text1"/>
          <w:sz w:val="32"/>
          <w:szCs w:val="32"/>
          <w:lang w:val="en-US" w:eastAsia="zh-CN"/>
          <w14:textFill>
            <w14:solidFill>
              <w14:schemeClr w14:val="tx1"/>
            </w14:solidFill>
          </w14:textFill>
        </w:rPr>
        <w:t>三</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坚持</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依法行政，</w:t>
      </w:r>
      <w:r>
        <w:rPr>
          <w:rFonts w:hint="default" w:ascii="Times New Roman" w:hAnsi="Times New Roman" w:eastAsia="楷体_GB2312" w:cs="Times New Roman"/>
          <w:b/>
          <w:bCs/>
          <w:color w:val="000000" w:themeColor="text1"/>
          <w:sz w:val="32"/>
          <w:szCs w:val="32"/>
          <w14:textFill>
            <w14:solidFill>
              <w14:schemeClr w14:val="tx1"/>
            </w14:solidFill>
          </w14:textFill>
        </w:rPr>
        <w:t>严格公正规范文明执法</w:t>
      </w:r>
    </w:p>
    <w:p>
      <w:pPr>
        <w:keepNext w:val="0"/>
        <w:keepLines w:val="0"/>
        <w:pageBreakBefore w:val="0"/>
        <w:kinsoku/>
        <w:wordWrap/>
        <w:topLinePunct w:val="0"/>
        <w:bidi w:val="0"/>
        <w:snapToGrid/>
        <w:spacing w:line="560" w:lineRule="exact"/>
        <w:ind w:firstLine="642" w:firstLineChars="200"/>
        <w:jc w:val="both"/>
        <w:textAlignment w:val="auto"/>
        <w:rPr>
          <w:rFonts w:hint="eastAsia" w:ascii="Times New Roman" w:hAnsi="Times New Roman" w:eastAsia="仿宋_GB2312" w:cs="Times New Roman"/>
          <w:color w:val="000000" w:themeColor="text1"/>
          <w:sz w:val="32"/>
          <w:szCs w:val="32"/>
          <w14:textFill>
            <w14:solidFill>
              <w14:schemeClr w14:val="tx1"/>
            </w14:solidFill>
          </w14:textFill>
        </w:rPr>
      </w:pPr>
      <w:r>
        <w:rPr>
          <w:rFonts w:hint="eastAsia" w:eastAsia="仿宋_GB2312" w:cs="Times New Roman"/>
          <w:b/>
          <w:bCs/>
          <w:color w:val="000000" w:themeColor="text1"/>
          <w:sz w:val="32"/>
          <w:szCs w:val="32"/>
          <w:lang w:val="en-US" w:eastAsia="zh-CN"/>
          <w14:textFill>
            <w14:solidFill>
              <w14:schemeClr w14:val="tx1"/>
            </w14:solidFill>
          </w14:textFill>
        </w:rPr>
        <w:t>一是</w:t>
      </w:r>
      <w:r>
        <w:rPr>
          <w:rFonts w:hint="eastAsia" w:ascii="Times New Roman" w:hAnsi="Times New Roman" w:eastAsia="仿宋_GB2312" w:cs="Times New Roman"/>
          <w:b/>
          <w:bCs/>
          <w:color w:val="000000" w:themeColor="text1"/>
          <w:sz w:val="32"/>
          <w:szCs w:val="32"/>
          <w14:textFill>
            <w14:solidFill>
              <w14:schemeClr w14:val="tx1"/>
            </w14:solidFill>
          </w14:textFill>
        </w:rPr>
        <w:t>严格依法行政</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严格执行重大行政决策法定程序，坚持重大事项充分征求意见，重大行政决策决议、决定规范合法，集体决策过程中主要领导坚持末位表态制度；推进政府信息公开动态规范管理，对已出台的地方性法规、规章、规范性文件等重点信息系统清理和集中统一公开。建立以内部法律顾问为主体、外聘法律顾问为补充的法律顾问队伍，随时为公安机关处置各类复杂疑难案事件提供专业法律支撑。</w:t>
      </w:r>
    </w:p>
    <w:p>
      <w:pPr>
        <w:keepNext w:val="0"/>
        <w:keepLines w:val="0"/>
        <w:pageBreakBefore w:val="0"/>
        <w:kinsoku/>
        <w:wordWrap/>
        <w:overflowPunct/>
        <w:topLinePunct w:val="0"/>
        <w:autoSpaceDE/>
        <w:autoSpaceDN/>
        <w:bidi w:val="0"/>
        <w:adjustRightInd/>
        <w:snapToGrid/>
        <w:spacing w:line="560" w:lineRule="exact"/>
        <w:ind w:firstLine="642" w:firstLineChars="200"/>
        <w:jc w:val="both"/>
        <w:textAlignment w:val="auto"/>
        <w:rPr>
          <w:rFonts w:hint="eastAsia" w:eastAsia="仿宋_GB2312" w:cs="Times New Roman"/>
          <w:b w:val="0"/>
          <w:bCs w:val="0"/>
          <w:color w:val="000000" w:themeColor="text1"/>
          <w:sz w:val="32"/>
          <w:szCs w:val="32"/>
          <w:lang w:val="en-US" w:eastAsia="zh-CN"/>
          <w14:textFill>
            <w14:solidFill>
              <w14:schemeClr w14:val="tx1"/>
            </w14:solidFill>
          </w14:textFill>
        </w:rPr>
      </w:pPr>
      <w:r>
        <w:rPr>
          <w:rFonts w:hint="eastAsia" w:eastAsia="仿宋_GB2312" w:cs="Times New Roman"/>
          <w:b/>
          <w:bCs/>
          <w:color w:val="000000" w:themeColor="text1"/>
          <w:sz w:val="32"/>
          <w:szCs w:val="32"/>
          <w:lang w:val="en-US" w:eastAsia="zh-CN"/>
          <w14:textFill>
            <w14:solidFill>
              <w14:schemeClr w14:val="tx1"/>
            </w14:solidFill>
          </w14:textFill>
        </w:rPr>
        <w:t>二是构建规范执法培训体系。</w:t>
      </w:r>
      <w:r>
        <w:rPr>
          <w:rFonts w:hint="eastAsia" w:eastAsia="仿宋_GB2312" w:cs="Times New Roman"/>
          <w:b w:val="0"/>
          <w:bCs w:val="0"/>
          <w:color w:val="000000" w:themeColor="text1"/>
          <w:sz w:val="32"/>
          <w:szCs w:val="32"/>
          <w:lang w:val="en-US" w:eastAsia="zh-CN"/>
          <w14:textFill>
            <w14:solidFill>
              <w14:schemeClr w14:val="tx1"/>
            </w14:solidFill>
          </w14:textFill>
        </w:rPr>
        <w:t>以“法治公安建设深化年”活动为抓手，通过组织法治大讲堂、邀请专家学者授课等形式，推动广大领导干部和民警深刻领会习近平法治思想的丰富内涵和精神实质，筑牢理论根基，提升法治素养。同步创新建立“执法充电站”培训机制，通过典型案例剖析、模拟执法演练、以案说法、舆情培训会等多元化形式，系统提升民警证据意识、程序意识和规范意识，切实增强法治观念和法治思维能力。针对参加法律职业资格考试和高级执法资格考试人员，定制专项培训课程，有效提升执法队伍专业化水平。</w:t>
      </w:r>
    </w:p>
    <w:p>
      <w:pPr>
        <w:keepNext w:val="0"/>
        <w:keepLines w:val="0"/>
        <w:pageBreakBefore w:val="0"/>
        <w:kinsoku/>
        <w:wordWrap/>
        <w:topLinePunct w:val="0"/>
        <w:bidi w:val="0"/>
        <w:snapToGrid/>
        <w:spacing w:line="560" w:lineRule="exact"/>
        <w:ind w:firstLine="642" w:firstLineChars="200"/>
        <w:jc w:val="both"/>
        <w:textAlignment w:val="auto"/>
        <w:rPr>
          <w:rFonts w:hint="eastAsia" w:ascii="Times New Roman" w:hAnsi="Times New Roman" w:eastAsia="仿宋_GB2312" w:cs="Times New Roman"/>
          <w:sz w:val="32"/>
          <w:szCs w:val="32"/>
        </w:rPr>
      </w:pPr>
      <w:r>
        <w:rPr>
          <w:rFonts w:hint="eastAsia" w:ascii="仿宋_GB2312" w:hAnsi="仿宋_GB2312" w:eastAsia="仿宋_GB2312" w:cs="仿宋_GB2312"/>
          <w:b/>
          <w:bCs/>
          <w:color w:val="000000"/>
          <w:sz w:val="32"/>
          <w:szCs w:val="32"/>
          <w:lang w:val="en-US" w:eastAsia="zh-CN"/>
        </w:rPr>
        <w:t>三是完善常态化执法监督模式。</w:t>
      </w:r>
      <w:r>
        <w:rPr>
          <w:rFonts w:hint="eastAsia" w:ascii="Times New Roman" w:hAnsi="Times New Roman" w:eastAsia="仿宋_GB2312"/>
          <w:sz w:val="32"/>
          <w:szCs w:val="32"/>
        </w:rPr>
        <w:t>迭代升级</w:t>
      </w:r>
      <w:r>
        <w:rPr>
          <w:rFonts w:ascii="Times New Roman" w:hAnsi="Times New Roman" w:eastAsia="仿宋_GB2312"/>
          <w:sz w:val="32"/>
          <w:szCs w:val="32"/>
        </w:rPr>
        <w:t>柳州公安法制</w:t>
      </w:r>
      <w:r>
        <w:rPr>
          <w:rFonts w:hint="eastAsia" w:ascii="仿宋_GB2312" w:hAnsi="仿宋_GB2312" w:eastAsia="仿宋_GB2312" w:cs="仿宋_GB2312"/>
          <w:sz w:val="32"/>
          <w:szCs w:val="32"/>
        </w:rPr>
        <w:t>“数字驾驶舱”执法监督模块和创建大数据预警模型</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优化整合执法监督全息管控平台，</w:t>
      </w:r>
      <w:r>
        <w:rPr>
          <w:rFonts w:hint="eastAsia" w:ascii="Times New Roman" w:hAnsi="Times New Roman" w:eastAsia="仿宋_GB2312" w:cs="Times New Roman"/>
          <w:sz w:val="32"/>
          <w:szCs w:val="32"/>
        </w:rPr>
        <w:t>推动执法办案管理中心视频监控等数字监督手段与</w:t>
      </w:r>
      <w:r>
        <w:rPr>
          <w:rFonts w:ascii="Times New Roman" w:hAnsi="Times New Roman" w:eastAsia="仿宋_GB2312" w:cs="Times New Roman"/>
          <w:sz w:val="32"/>
          <w:szCs w:val="32"/>
        </w:rPr>
        <w:t>情指行一体化实战中心</w:t>
      </w:r>
      <w:r>
        <w:rPr>
          <w:rFonts w:hint="eastAsia" w:ascii="Times New Roman" w:hAnsi="Times New Roman" w:eastAsia="仿宋_GB2312" w:cs="Times New Roman"/>
          <w:sz w:val="32"/>
          <w:szCs w:val="32"/>
        </w:rPr>
        <w:t>接入融通，</w:t>
      </w:r>
      <w:r>
        <w:rPr>
          <w:rFonts w:ascii="Times New Roman" w:hAnsi="Times New Roman" w:eastAsia="仿宋_GB2312" w:cs="Times New Roman"/>
          <w:sz w:val="32"/>
          <w:szCs w:val="32"/>
        </w:rPr>
        <w:t>紧盯警情、人、案、物、场所、卷综等执法要素，</w:t>
      </w:r>
      <w:r>
        <w:rPr>
          <w:rFonts w:hint="eastAsia" w:ascii="Times New Roman" w:hAnsi="Times New Roman" w:eastAsia="仿宋_GB2312" w:cs="Times New Roman"/>
          <w:sz w:val="32"/>
          <w:szCs w:val="32"/>
        </w:rPr>
        <w:t>常态化开展执法突出问题风险预警处置和质效巡查，对</w:t>
      </w:r>
      <w:r>
        <w:rPr>
          <w:rFonts w:ascii="Times New Roman" w:hAnsi="Times New Roman" w:eastAsia="仿宋_GB2312" w:cs="Times New Roman"/>
          <w:sz w:val="32"/>
          <w:szCs w:val="32"/>
        </w:rPr>
        <w:t>执法风险问题监督点</w:t>
      </w:r>
      <w:r>
        <w:rPr>
          <w:rFonts w:hint="eastAsia" w:ascii="Times New Roman" w:hAnsi="Times New Roman" w:eastAsia="仿宋_GB2312" w:cs="Times New Roman"/>
          <w:sz w:val="32"/>
          <w:szCs w:val="32"/>
        </w:rPr>
        <w:t>开展</w:t>
      </w:r>
      <w:r>
        <w:rPr>
          <w:rFonts w:ascii="Times New Roman" w:hAnsi="Times New Roman" w:eastAsia="仿宋_GB2312" w:cs="Times New Roman"/>
          <w:sz w:val="32"/>
          <w:szCs w:val="32"/>
        </w:rPr>
        <w:t>全流程实时智能监督，有效提升执法监督效率</w:t>
      </w:r>
      <w:r>
        <w:rPr>
          <w:rFonts w:hint="eastAsia" w:ascii="Times New Roman" w:hAnsi="Times New Roman" w:eastAsia="仿宋_GB2312" w:cs="Times New Roman"/>
          <w:sz w:val="32"/>
          <w:szCs w:val="32"/>
        </w:rPr>
        <w:t>，牢牢守住办案中心执法“零事故”安全底线。</w:t>
      </w:r>
    </w:p>
    <w:p>
      <w:pPr>
        <w:keepNext w:val="0"/>
        <w:keepLines w:val="0"/>
        <w:pageBreakBefore w:val="0"/>
        <w:kinsoku/>
        <w:wordWrap/>
        <w:topLinePunct w:val="0"/>
        <w:bidi w:val="0"/>
        <w:snapToGrid/>
        <w:spacing w:line="560" w:lineRule="exact"/>
        <w:ind w:firstLine="642" w:firstLineChars="200"/>
        <w:jc w:val="both"/>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（四）坚持改革创新，</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进一步优化法治化营商环境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eastAsia="仿宋_GB2312" w:cs="Times New Roman"/>
          <w:b/>
          <w:bCs/>
          <w:color w:val="000000" w:themeColor="text1"/>
          <w:sz w:val="32"/>
          <w:szCs w:val="32"/>
          <w:lang w:val="en-US" w:eastAsia="zh-CN"/>
          <w14:textFill>
            <w14:solidFill>
              <w14:schemeClr w14:val="tx1"/>
            </w14:solidFill>
          </w14:textFill>
        </w:rPr>
        <w:t>一是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加快推动“全程网办”改革创新。</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打造柳州特色“网上办”应用生态链，研发推出“身份证自助拍照”“旅店扫码自助入住”“驾考122”等柳州特色网办小程序，推动公安政务服务从“能办”向“好办、智办、快办”迭代升级。</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楷体_GB2312" w:hAnsi="楷体_GB2312" w:eastAsia="楷体_GB2312" w:cs="楷体_GB2312"/>
          <w:b/>
          <w:bCs w:val="0"/>
          <w:color w:val="auto"/>
          <w:sz w:val="32"/>
          <w:szCs w:val="32"/>
          <w:lang w:eastAsia="zh-CN" w:bidi="ar"/>
        </w:rPr>
      </w:pP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二</w:t>
      </w:r>
      <w:r>
        <w:rPr>
          <w:rFonts w:hint="eastAsia" w:eastAsia="仿宋_GB2312" w:cs="Times New Roman"/>
          <w:b/>
          <w:bCs/>
          <w:color w:val="000000" w:themeColor="text1"/>
          <w:sz w:val="32"/>
          <w:szCs w:val="32"/>
          <w:lang w:val="en-US" w:eastAsia="zh-CN"/>
          <w14:textFill>
            <w14:solidFill>
              <w14:schemeClr w14:val="tx1"/>
            </w14:solidFill>
          </w14:textFill>
        </w:rPr>
        <w:t>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助力营造法治化营商环境。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建立“警企对接”机制，分层级开展“护航企业发展”专项活动，提供“防侦破追访”全链条服务。</w:t>
      </w:r>
      <w:r>
        <w:rPr>
          <w:rFonts w:hint="eastAsia" w:ascii="楷体_GB2312" w:hAnsi="楷体_GB2312" w:eastAsia="楷体_GB2312" w:cs="楷体_GB2312"/>
          <w:b/>
          <w:bCs w:val="0"/>
          <w:color w:val="auto"/>
          <w:sz w:val="32"/>
          <w:szCs w:val="32"/>
          <w:lang w:eastAsia="zh-CN" w:bidi="ar"/>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eastAsia="仿宋_GB2312" w:cs="Times New Roman"/>
          <w:b/>
          <w:bCs/>
          <w:color w:val="000000" w:themeColor="text1"/>
          <w:sz w:val="32"/>
          <w:szCs w:val="32"/>
          <w:lang w:val="en-US" w:eastAsia="zh-CN"/>
          <w14:textFill>
            <w14:solidFill>
              <w14:schemeClr w14:val="tx1"/>
            </w14:solidFill>
          </w14:textFill>
        </w:rPr>
        <w:t>三是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纵深推进“一窗通办”品牌建设。</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 xml:space="preserve">推动形成“15分钟公安便民服务圈”，全市共设立89个警务服务站，实现所有县区“一窗通办”窗口全覆盖，开设“五合一”窗口40个、“二合一”窗口15个，群众办事便利度显著提升。  </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150"/>
        <w:jc w:val="both"/>
        <w:textAlignment w:val="auto"/>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eastAsia="仿宋_GB2312" w:cs="Times New Roman"/>
          <w:b/>
          <w:bCs/>
          <w:color w:val="000000" w:themeColor="text1"/>
          <w:sz w:val="32"/>
          <w:szCs w:val="32"/>
          <w:lang w:val="en-US" w:eastAsia="zh-CN"/>
          <w14:textFill>
            <w14:solidFill>
              <w14:schemeClr w14:val="tx1"/>
            </w14:solidFill>
          </w14:textFill>
        </w:rPr>
        <w:t>四是</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创新公安宣传与社会服务模式。</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在全区率先设立“柳州警媒融创传播中心”，打造“柳州公安”新媒体矩阵，抖音账号粉丝突破50万，成为全区首个拥有独立IP商标的地市级公安机关。首创“义·跑”公益警务活动，联动5000余名警察参与反诈宣传。</w:t>
      </w:r>
    </w:p>
    <w:p>
      <w:pPr>
        <w:keepNext w:val="0"/>
        <w:keepLines w:val="0"/>
        <w:pageBreakBefore w:val="0"/>
        <w:kinsoku/>
        <w:wordWrap/>
        <w:topLinePunct w:val="0"/>
        <w:bidi w:val="0"/>
        <w:snapToGrid/>
        <w:spacing w:line="560" w:lineRule="exact"/>
        <w:ind w:firstLine="642" w:firstLineChars="200"/>
        <w:jc w:val="both"/>
        <w:textAlignment w:val="auto"/>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（五）坚持普法宣传，推动法治宣传教育多样化</w:t>
      </w: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both"/>
        <w:textAlignment w:val="auto"/>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一</w:t>
      </w:r>
      <w:r>
        <w:rPr>
          <w:rFonts w:hint="eastAsia" w:cs="Times New Roman"/>
          <w:b/>
          <w:bCs/>
          <w:color w:val="000000" w:themeColor="text1"/>
          <w:kern w:val="2"/>
          <w:sz w:val="32"/>
          <w:szCs w:val="32"/>
          <w:lang w:val="en-US" w:eastAsia="zh-CN"/>
          <w14:textFill>
            <w14:solidFill>
              <w14:schemeClr w14:val="tx1"/>
            </w14:solidFill>
          </w14:textFill>
        </w:rPr>
        <w:t>是</w:t>
      </w: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开展专题普法行动。</w:t>
      </w:r>
      <w:r>
        <w:rPr>
          <w:rFonts w:hint="default" w:ascii="Times New Roman" w:hAnsi="Times New Roman" w:eastAsia="仿宋_GB2312" w:cs="Times New Roman"/>
          <w:b w:val="0"/>
          <w:bCs w:val="0"/>
          <w:color w:val="000000" w:themeColor="text1"/>
          <w:kern w:val="2"/>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025年，我局全面实施</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法律六进</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工程，推动</w:t>
      </w:r>
      <w:r>
        <w:rPr>
          <w:rFonts w:hint="eastAsia" w:cs="Times New Roman"/>
          <w:color w:val="000000" w:themeColor="text1"/>
          <w:kern w:val="2"/>
          <w:sz w:val="32"/>
          <w:szCs w:val="32"/>
          <w:lang w:val="en-US" w:eastAsia="zh-CN"/>
          <w14:textFill>
            <w14:solidFill>
              <w14:schemeClr w14:val="tx1"/>
            </w14:solidFill>
          </w14:textFill>
        </w:rPr>
        <w:t>法治</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宣传走深走实。结合群众关注的借款纠纷、合同纠纷等热点问题，组织民警深入社区、乡村开展普法宣讲，通过现场讲解、案例分析等形式，提升群众对民法典的知晓率和运用能力。结合</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三月三</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民族节庆、</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4·15</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全民国家安全教育日等节点，因地制宜开展法治宣传教育活动。</w:t>
      </w: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both"/>
        <w:textAlignment w:val="auto"/>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二</w:t>
      </w:r>
      <w:r>
        <w:rPr>
          <w:rFonts w:hint="eastAsia" w:cs="Times New Roman"/>
          <w:b/>
          <w:bCs/>
          <w:color w:val="000000" w:themeColor="text1"/>
          <w:kern w:val="2"/>
          <w:sz w:val="32"/>
          <w:szCs w:val="32"/>
          <w:lang w:val="en-US" w:eastAsia="zh-CN"/>
          <w14:textFill>
            <w14:solidFill>
              <w14:schemeClr w14:val="tx1"/>
            </w14:solidFill>
          </w14:textFill>
        </w:rPr>
        <w:t>是</w:t>
      </w: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深化</w:t>
      </w: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w:t>
      </w: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法律六进</w:t>
      </w: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w:t>
      </w: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普法矩阵。</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我局构建</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1+N</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普法体系，推动民法典宣传向基层延伸。在全市中小学开展</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民法典护航青春</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专项行动，组织民警担任法治副校长，将民法典知识融入</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开学第一课</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，开展青少年法治教育活动。在工业园区、社区设立普法宣传点，针对企业合同管理、群众日常纠纷等问题开展专项普法，提升普法针对性和实效性。</w:t>
      </w: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jc w:val="both"/>
        <w:textAlignment w:val="auto"/>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三</w:t>
      </w:r>
      <w:r>
        <w:rPr>
          <w:rFonts w:hint="eastAsia" w:cs="Times New Roman"/>
          <w:b/>
          <w:bCs/>
          <w:color w:val="000000" w:themeColor="text1"/>
          <w:kern w:val="2"/>
          <w:sz w:val="32"/>
          <w:szCs w:val="32"/>
          <w:lang w:val="en-US" w:eastAsia="zh-CN"/>
          <w14:textFill>
            <w14:solidFill>
              <w14:schemeClr w14:val="tx1"/>
            </w14:solidFill>
          </w14:textFill>
        </w:rPr>
        <w:t>是</w:t>
      </w: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创新普法宣传传播模式。</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我局运用新媒体技术提升普法实效，通过</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两微一端</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平台发布民法典普法短视频，结合</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美丽乡村行</w:t>
      </w:r>
      <w:r>
        <w:rPr>
          <w:rFonts w:hint="eastAsia" w:cs="Times New Roman"/>
          <w:color w:val="000000" w:themeColor="text1"/>
          <w:kern w:val="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eastAsia="zh-CN"/>
          <w14:textFill>
            <w14:solidFill>
              <w14:schemeClr w14:val="tx1"/>
            </w14:solidFill>
          </w14:textFill>
        </w:rPr>
        <w:t>等活动开展巡回宣讲，扩大普法覆盖面。联合主流媒体推出普法短剧，通过真实案例改编，增强群众对民法典的理解和认同。组织反诈知识竞赛、短视频创意交流等活动，吸引群众广泛参与，营造全民学法用法的良好氛围。</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Times New Roman"/>
          <w:sz w:val="32"/>
          <w:szCs w:val="32"/>
          <w:lang w:eastAsia="zh-CN"/>
        </w:rPr>
      </w:pPr>
      <w:r>
        <w:rPr>
          <w:rFonts w:hint="eastAsia" w:eastAsia="黑体" w:cs="Times New Roman"/>
          <w:sz w:val="32"/>
          <w:szCs w:val="32"/>
          <w:lang w:val="en-US" w:eastAsia="zh-CN"/>
        </w:rPr>
        <w:t>二</w:t>
      </w:r>
      <w:r>
        <w:rPr>
          <w:rFonts w:hint="default" w:ascii="Times New Roman" w:hAnsi="Times New Roman" w:eastAsia="黑体" w:cs="Times New Roman"/>
          <w:sz w:val="32"/>
          <w:szCs w:val="32"/>
        </w:rPr>
        <w:t>、</w:t>
      </w:r>
      <w:r>
        <w:rPr>
          <w:rFonts w:hint="eastAsia" w:eastAsia="黑体" w:cs="Times New Roman"/>
          <w:sz w:val="32"/>
          <w:szCs w:val="32"/>
          <w:lang w:val="en-US" w:eastAsia="zh-CN"/>
        </w:rPr>
        <w:t>推进法治政府建设存在的不足以及原因</w:t>
      </w:r>
    </w:p>
    <w:p>
      <w:pPr>
        <w:pStyle w:val="6"/>
        <w:rPr>
          <w:rFonts w:hint="eastAsia" w:ascii="楷体_GB2312" w:hAnsi="楷体_GB2312" w:eastAsia="楷体_GB2312" w:cs="楷体_GB2312"/>
          <w:b/>
          <w:bCs/>
          <w:lang w:eastAsia="zh-CN"/>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一</w:t>
      </w:r>
      <w:r>
        <w:rPr>
          <w:rFonts w:hint="eastAsia" w:cs="Times New Roman"/>
          <w:b/>
          <w:bCs/>
          <w:color w:val="000000" w:themeColor="text1"/>
          <w:kern w:val="2"/>
          <w:sz w:val="32"/>
          <w:szCs w:val="32"/>
          <w:lang w:val="en-US" w:eastAsia="zh-CN"/>
          <w14:textFill>
            <w14:solidFill>
              <w14:schemeClr w14:val="tx1"/>
            </w14:solidFill>
          </w14:textFill>
        </w:rPr>
        <w:t>是</w:t>
      </w: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社会综合治理存在短板。</w:t>
      </w:r>
      <w:r>
        <w:rPr>
          <w:rFonts w:hint="eastAsia" w:ascii="Times New Roman" w:hAnsi="Times New Roman" w:cs="Times New Roman"/>
          <w:lang w:eastAsia="zh-CN"/>
        </w:rPr>
        <w:t xml:space="preserve">重点人员管控、群防群治等机制缺乏明确支撑，与村两委、网格员的沟通联动不够顺畅，基层治理合力尚未形成。未成年人盗窃电动车案件虽有所遏制，但问题仍未根治，涉案嫌疑人低龄化趋势明显，现有处罚措施威慑力不足，社会治理精细化水平有待提升。 </w:t>
      </w:r>
      <w:r>
        <w:rPr>
          <w:rFonts w:hint="eastAsia" w:ascii="楷体_GB2312" w:hAnsi="楷体_GB2312" w:eastAsia="楷体_GB2312" w:cs="楷体_GB2312"/>
          <w:b/>
          <w:bCs/>
          <w:lang w:eastAsia="zh-CN"/>
        </w:rPr>
        <w:t xml:space="preserve"> </w:t>
      </w:r>
    </w:p>
    <w:p>
      <w:pPr>
        <w:pStyle w:val="6"/>
        <w:rPr>
          <w:rFonts w:hint="eastAsia" w:ascii="Times New Roman" w:hAnsi="Times New Roman" w:cs="Times New Roman"/>
          <w:lang w:eastAsia="zh-CN"/>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二</w:t>
      </w:r>
      <w:r>
        <w:rPr>
          <w:rFonts w:hint="eastAsia" w:cs="Times New Roman"/>
          <w:b/>
          <w:bCs/>
          <w:color w:val="000000" w:themeColor="text1"/>
          <w:kern w:val="2"/>
          <w:sz w:val="32"/>
          <w:szCs w:val="32"/>
          <w:lang w:val="en-US" w:eastAsia="zh-CN"/>
          <w14:textFill>
            <w14:solidFill>
              <w14:schemeClr w14:val="tx1"/>
            </w14:solidFill>
          </w14:textFill>
        </w:rPr>
        <w:t>是</w:t>
      </w: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法制队伍实战支撑能力有待提升。</w:t>
      </w:r>
      <w:r>
        <w:rPr>
          <w:rFonts w:hint="eastAsia" w:ascii="Times New Roman" w:hAnsi="Times New Roman" w:cs="Times New Roman"/>
          <w:lang w:eastAsia="zh-CN"/>
        </w:rPr>
        <w:t>部分单位法制员专业素养不足，经验储备薄弱，服务咨询方式单一，对基层办案民警的法律指导存在精准性不足、针对性不强等问题，影响执法规范化水平和打击犯罪质效，需加强法制员专业培训，健全实战化能力提升机制。</w:t>
      </w:r>
    </w:p>
    <w:p>
      <w:pPr>
        <w:pStyle w:val="6"/>
        <w:rPr>
          <w:rFonts w:hint="eastAsia" w:ascii="Times New Roman" w:hAnsi="Times New Roman" w:cs="Times New Roman"/>
          <w:lang w:eastAsia="zh-CN"/>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三</w:t>
      </w:r>
      <w:r>
        <w:rPr>
          <w:rFonts w:hint="eastAsia" w:cs="Times New Roman"/>
          <w:b/>
          <w:bCs/>
          <w:color w:val="000000" w:themeColor="text1"/>
          <w:kern w:val="2"/>
          <w:sz w:val="32"/>
          <w:szCs w:val="32"/>
          <w:lang w:val="en-US" w:eastAsia="zh-CN"/>
          <w14:textFill>
            <w14:solidFill>
              <w14:schemeClr w14:val="tx1"/>
            </w14:solidFill>
          </w14:textFill>
        </w:rPr>
        <w:t>是</w:t>
      </w: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基层执法规范化建设仍存短板。</w:t>
      </w:r>
      <w:r>
        <w:rPr>
          <w:rFonts w:hint="eastAsia" w:ascii="Times New Roman" w:hAnsi="Times New Roman" w:cs="Times New Roman"/>
          <w:lang w:eastAsia="zh-CN"/>
        </w:rPr>
        <w:t>部分基层所队在监督立案、撤销立案、纠正违法等关键环节存在程序瑕疵，执法证据固定、法律适用、文书制作等环节标准不一，执法监督机制运行不畅，损害司法公信力，亟需强化执法全流程监督和规范化建设。</w:t>
      </w:r>
    </w:p>
    <w:p>
      <w:pPr>
        <w:pStyle w:val="6"/>
        <w:rPr>
          <w:rFonts w:hint="eastAsia" w:ascii="Times New Roman" w:hAnsi="Times New Roman" w:cs="Times New Roman"/>
          <w:lang w:eastAsia="zh-CN"/>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四</w:t>
      </w:r>
      <w:r>
        <w:rPr>
          <w:rFonts w:hint="eastAsia" w:cs="Times New Roman"/>
          <w:b/>
          <w:bCs/>
          <w:color w:val="000000" w:themeColor="text1"/>
          <w:kern w:val="2"/>
          <w:sz w:val="32"/>
          <w:szCs w:val="32"/>
          <w:lang w:val="en-US" w:eastAsia="zh-CN"/>
          <w14:textFill>
            <w14:solidFill>
              <w14:schemeClr w14:val="tx1"/>
            </w14:solidFill>
          </w14:textFill>
        </w:rPr>
        <w:t>是</w:t>
      </w: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普法宣传实效性不足。</w:t>
      </w:r>
      <w:r>
        <w:rPr>
          <w:rFonts w:hint="eastAsia" w:ascii="Times New Roman" w:hAnsi="Times New Roman" w:cs="Times New Roman"/>
          <w:lang w:eastAsia="zh-CN"/>
        </w:rPr>
        <w:t>部分基层单位普法宣传形式单一、内容滞后，未能结合群众实际需求精准施策，宣传覆盖面和渗透力不足，群众法治意识提升缓慢，需创新宣传载体、拓展宣传深度，推动普法工作走实走深。</w:t>
      </w:r>
    </w:p>
    <w:p>
      <w:pPr>
        <w:spacing w:line="560" w:lineRule="exact"/>
        <w:ind w:firstLine="640" w:firstLineChars="200"/>
        <w:rPr>
          <w:rFonts w:hint="eastAsia" w:ascii="黑体" w:hAnsi="黑体" w:eastAsia="黑体" w:cs="黑体"/>
          <w:kern w:val="2"/>
          <w:sz w:val="32"/>
          <w:lang w:val="en-US" w:eastAsia="zh-CN"/>
        </w:rPr>
      </w:pPr>
      <w:r>
        <w:rPr>
          <w:rFonts w:hint="eastAsia" w:ascii="黑体" w:hAnsi="黑体" w:eastAsia="黑体" w:cs="黑体"/>
          <w:kern w:val="2"/>
          <w:sz w:val="32"/>
          <w:lang w:val="en-US" w:eastAsia="zh-CN"/>
        </w:rPr>
        <w:t>三、党政主要负责人履行推进法治建设第一责任人职责，加强法治政府建设的有关情况</w:t>
      </w:r>
    </w:p>
    <w:p>
      <w:pPr>
        <w:spacing w:line="560" w:lineRule="exact"/>
        <w:ind w:firstLine="642" w:firstLineChars="200"/>
        <w:rPr>
          <w:rFonts w:hint="eastAsia" w:ascii="仿宋_GB2312" w:hAnsi="仿宋_GB2312" w:eastAsia="仿宋_GB2312" w:cs="仿宋_GB2312"/>
          <w:sz w:val="32"/>
          <w:szCs w:val="32"/>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（一）加强党对法治建设的领导。</w:t>
      </w:r>
      <w:r>
        <w:rPr>
          <w:rFonts w:hint="eastAsia" w:ascii="仿宋_GB2312" w:hAnsi="仿宋_GB2312" w:eastAsia="仿宋_GB2312" w:cs="仿宋_GB2312"/>
          <w:sz w:val="32"/>
          <w:szCs w:val="32"/>
        </w:rPr>
        <w:t>将学习贯彻党的二十大、二十届二中、三中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四中</w:t>
      </w:r>
      <w:r>
        <w:rPr>
          <w:rFonts w:hint="eastAsia" w:ascii="仿宋_GB2312" w:hAnsi="仿宋_GB2312" w:eastAsia="仿宋_GB2312" w:cs="仿宋_GB2312"/>
          <w:sz w:val="32"/>
          <w:szCs w:val="32"/>
        </w:rPr>
        <w:t>全会精神，学习贯彻习近平总书记重要讲话、重要指示批示和习近平法治思想等列为市公安局党委会第一议题，要求全市公安机关各警种部门主要负责同志发挥好示范引领作用，切实履行好推进法治建设第一责任人责任，把法治建设放在心上、扛在肩上、抓在手上，统筹整合资源力量，自觉主动地将习近平法治思想贯穿法治公安建设的各领域和全过程。</w:t>
      </w:r>
    </w:p>
    <w:p>
      <w:pPr>
        <w:spacing w:line="560" w:lineRule="exact"/>
        <w:ind w:firstLine="642" w:firstLineChars="200"/>
        <w:rPr>
          <w:rFonts w:hint="eastAsia" w:ascii="仿宋_GB2312" w:hAnsi="仿宋_GB2312" w:eastAsia="仿宋_GB2312" w:cs="仿宋_GB2312"/>
          <w:sz w:val="32"/>
          <w:szCs w:val="32"/>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（二）全面落实行政机关负责人出庭应诉工作。</w:t>
      </w:r>
      <w:r>
        <w:rPr>
          <w:rFonts w:hint="eastAsia" w:ascii="仿宋_GB2312" w:hAnsi="仿宋_GB2312" w:eastAsia="仿宋_GB2312" w:cs="仿宋_GB2312"/>
          <w:sz w:val="32"/>
          <w:szCs w:val="32"/>
        </w:rPr>
        <w:t xml:space="preserve">加强和规范行政机关负责人出庭应诉工作，强化全市公安机关各级领导法治意识、促进执法规范化养成，提升妥善处理纠纷、化解矛盾的能力和水平。对当事人不服市公安局作出的行政复议提起行政诉讼的案件，市公安局主要负责人严格按照相关规定积极参与诉讼活动，并将出庭应诉、支持人民法院受理和审理行政案件、履行人民法院生效裁判、行政应诉能力建设以及出庭应诉等情况纳入全市公安机关年度执法质量考评范围。 </w:t>
      </w:r>
    </w:p>
    <w:p>
      <w:pPr>
        <w:spacing w:line="560" w:lineRule="exact"/>
        <w:ind w:firstLine="642" w:firstLineChars="200"/>
        <w:rPr>
          <w:rFonts w:hint="eastAsia" w:ascii="仿宋_GB2312" w:hAnsi="仿宋_GB2312" w:eastAsia="仿宋_GB2312" w:cs="仿宋_GB2312"/>
          <w:sz w:val="32"/>
          <w:szCs w:val="32"/>
        </w:rPr>
      </w:pPr>
      <w:r>
        <w:rPr>
          <w:rFonts w:hint="eastAsia" w:ascii="Times New Roman" w:hAnsi="Times New Roman" w:eastAsia="仿宋_GB2312" w:cs="Times New Roman"/>
          <w:b/>
          <w:bCs/>
          <w:color w:val="000000" w:themeColor="text1"/>
          <w:kern w:val="2"/>
          <w:sz w:val="32"/>
          <w:szCs w:val="32"/>
          <w:lang w:val="en-US" w:eastAsia="zh-CN"/>
          <w14:textFill>
            <w14:solidFill>
              <w14:schemeClr w14:val="tx1"/>
            </w14:solidFill>
          </w14:textFill>
        </w:rPr>
        <w:t>（三）扎实推进执法公开。</w:t>
      </w:r>
      <w:r>
        <w:rPr>
          <w:rFonts w:hint="eastAsia" w:ascii="仿宋_GB2312" w:hAnsi="仿宋_GB2312" w:eastAsia="仿宋_GB2312" w:cs="仿宋_GB2312"/>
          <w:b/>
          <w:bCs/>
          <w:sz w:val="32"/>
          <w:szCs w:val="32"/>
        </w:rPr>
        <w:t>一是</w:t>
      </w:r>
      <w:r>
        <w:rPr>
          <w:rFonts w:hint="eastAsia" w:ascii="仿宋_GB2312" w:hAnsi="仿宋_GB2312" w:eastAsia="仿宋_GB2312" w:cs="仿宋_GB2312"/>
          <w:bCs/>
          <w:sz w:val="32"/>
          <w:szCs w:val="32"/>
        </w:rPr>
        <w:t>全面</w:t>
      </w:r>
      <w:r>
        <w:rPr>
          <w:rFonts w:hint="eastAsia" w:ascii="仿宋_GB2312" w:hAnsi="仿宋_GB2312" w:eastAsia="仿宋_GB2312" w:cs="仿宋_GB2312"/>
          <w:sz w:val="32"/>
          <w:szCs w:val="32"/>
        </w:rPr>
        <w:t>梳理行政审批事项，动态调整行政审批事项清单，进一步加强对行政权力的监督和制约。及时更新政府信息公开指南、公开目录，充分保障群众知情权、参与权、监督权。</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严格落实行政执法“三项制度”。将行政执法公示制度、行政执法全流程记录制度、重大执法决定法制审核制度作为全市公安机关执法规范化建设重点工程，并将行政执法结果在广西互联网交通安全综合服务管理平台、八桂警察阳光执法网和市公安局互联网网站进行公开。</w:t>
      </w:r>
    </w:p>
    <w:p>
      <w:pPr>
        <w:pStyle w:val="6"/>
        <w:rPr>
          <w:rFonts w:hint="default"/>
          <w:lang w:eastAsia="zh-CN"/>
        </w:rPr>
      </w:pPr>
      <w:r>
        <w:rPr>
          <w:rFonts w:hint="eastAsia" w:ascii="黑体" w:hAnsi="黑体" w:eastAsia="黑体" w:cs="黑体"/>
          <w:lang w:val="en-US" w:eastAsia="zh-CN"/>
        </w:rPr>
        <w:t>四</w:t>
      </w:r>
      <w:r>
        <w:rPr>
          <w:rFonts w:hint="eastAsia" w:ascii="黑体" w:hAnsi="黑体" w:eastAsia="黑体" w:cs="黑体"/>
          <w:lang w:eastAsia="zh-CN"/>
        </w:rPr>
        <w:t>、</w:t>
      </w:r>
      <w:r>
        <w:rPr>
          <w:rFonts w:hint="eastAsia"/>
          <w:lang w:eastAsia="zh-CN"/>
        </w:rPr>
        <w:t>202</w:t>
      </w:r>
      <w:r>
        <w:rPr>
          <w:rFonts w:hint="eastAsia"/>
          <w:lang w:val="en-US" w:eastAsia="zh-CN"/>
        </w:rPr>
        <w:t>6</w:t>
      </w:r>
      <w:r>
        <w:rPr>
          <w:rFonts w:hint="eastAsia" w:ascii="黑体" w:hAnsi="黑体" w:eastAsia="黑体" w:cs="黑体"/>
          <w:lang w:eastAsia="zh-CN"/>
        </w:rPr>
        <w:t>年度推进法治政府建设的主要安排</w:t>
      </w:r>
    </w:p>
    <w:p>
      <w:pPr>
        <w:pStyle w:val="6"/>
        <w:rPr>
          <w:rFonts w:hint="default"/>
          <w:lang w:eastAsia="zh-CN"/>
        </w:rPr>
      </w:pPr>
      <w:r>
        <w:rPr>
          <w:rFonts w:hint="default"/>
          <w:lang w:eastAsia="zh-CN"/>
        </w:rPr>
        <w:t xml:space="preserve">2026年，我局将深入贯彻落实市委市政府和市委政法委部署要求，紧紧围绕建设更高水平平安柳州目标，持续提升公安机关新质战斗力，为推进中国式现代化柳州实践提供坚强安全保障。  </w:t>
      </w:r>
    </w:p>
    <w:p>
      <w:pPr>
        <w:pStyle w:val="6"/>
        <w:rPr>
          <w:rFonts w:hint="default"/>
          <w:lang w:eastAsia="zh-CN"/>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（一）进一步筑牢政治安全防线。</w:t>
      </w:r>
      <w:r>
        <w:rPr>
          <w:rFonts w:hint="default"/>
          <w:lang w:eastAsia="zh-CN"/>
        </w:rPr>
        <w:t xml:space="preserve">坚定不移贯彻总体国家安全观，强化政治安全风险研判和情报线索收集，严密防范敌对势力渗透颠覆活动，落实反恐防恐各项措施，提升应对重大突发事件和复杂局面的能力，坚决守住政治安全底线。  </w:t>
      </w:r>
    </w:p>
    <w:p>
      <w:pPr>
        <w:pStyle w:val="6"/>
        <w:rPr>
          <w:rFonts w:hint="default"/>
          <w:lang w:eastAsia="zh-CN"/>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（二）进一步深化打击犯罪效能。</w:t>
      </w:r>
      <w:r>
        <w:rPr>
          <w:rFonts w:hint="default"/>
          <w:lang w:eastAsia="zh-CN"/>
        </w:rPr>
        <w:t xml:space="preserve">聚焦电信网络诈骗等新型犯罪，依托大数据建立精准反制模型，强化全链条打击治理，严打黑灰产产业链条。以“零容忍”态度重拳出击各类违法犯罪，持续优化“线上预警+线下拦截”机制，切实守护人民群众“钱袋子”。  </w:t>
      </w:r>
    </w:p>
    <w:p>
      <w:pPr>
        <w:pStyle w:val="6"/>
        <w:rPr>
          <w:rFonts w:hint="default"/>
          <w:lang w:eastAsia="zh-CN"/>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（三）进一步推进主动预防警务。</w:t>
      </w:r>
      <w:r>
        <w:rPr>
          <w:rFonts w:hint="default"/>
          <w:lang w:eastAsia="zh-CN"/>
        </w:rPr>
        <w:t xml:space="preserve">健全基础管控中心运行机制，强化社区警务和基层治理，深化矛盾纠纷排查化解和命案预防工作。加强重点行业管理及未成年人违法犯罪预防矫治，推进交通安全综合治理，以安全畅通的交通环境护航经济社会发展。  </w:t>
      </w:r>
    </w:p>
    <w:p>
      <w:pPr>
        <w:pStyle w:val="6"/>
        <w:rPr>
          <w:rFonts w:hint="default"/>
          <w:lang w:eastAsia="zh-CN"/>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（四）进一步优化法治化营商环境。</w:t>
      </w:r>
      <w:r>
        <w:rPr>
          <w:rFonts w:hint="default"/>
          <w:lang w:eastAsia="zh-CN"/>
        </w:rPr>
        <w:t xml:space="preserve">深化“创人民满意公安”活动，推进公安政务服务改革，拓展“互联网+公安”服务渠道，落实“一网通办、只进一门、最多跑一次”等便民措施，持续提升群众满意度和企业获得感。  </w:t>
      </w:r>
    </w:p>
    <w:p>
      <w:pPr>
        <w:pStyle w:val="6"/>
        <w:rPr>
          <w:rFonts w:hint="default"/>
          <w:lang w:eastAsia="zh-CN"/>
        </w:rPr>
      </w:pPr>
      <w:r>
        <w:rPr>
          <w:rFonts w:hint="default" w:ascii="Times New Roman" w:hAnsi="Times New Roman" w:eastAsia="仿宋_GB2312" w:cs="Times New Roman"/>
          <w:b/>
          <w:bCs/>
          <w:color w:val="000000" w:themeColor="text1"/>
          <w:kern w:val="2"/>
          <w:sz w:val="32"/>
          <w:szCs w:val="32"/>
          <w:lang w:val="en-US" w:eastAsia="zh-CN"/>
          <w14:textFill>
            <w14:solidFill>
              <w14:schemeClr w14:val="tx1"/>
            </w14:solidFill>
          </w14:textFill>
        </w:rPr>
        <w:t>（五）进一步锻造过硬公安队伍。</w:t>
      </w:r>
      <w:r>
        <w:rPr>
          <w:rFonts w:hint="default"/>
          <w:lang w:eastAsia="zh-CN"/>
        </w:rPr>
        <w:t>深入贯彻新时代党的建警治警方针，强化纪律作风建设，整治队伍“慵懒散浮怨”问题。创新“科技+”“网络+”训练模式，构建“教学研练战”一体化人才培养体系，打造政治过硬、业务精湛、作风优良的高素质公安队伍。</w:t>
      </w:r>
    </w:p>
    <w:p>
      <w:pPr>
        <w:pStyle w:val="6"/>
        <w:rPr>
          <w:rFonts w:hint="default"/>
          <w:lang w:eastAsia="zh-CN"/>
        </w:rPr>
      </w:pPr>
    </w:p>
    <w:p>
      <w:pPr>
        <w:pStyle w:val="6"/>
        <w:rPr>
          <w:rFonts w:hint="default"/>
          <w:lang w:eastAsia="zh-CN"/>
        </w:rPr>
      </w:pPr>
    </w:p>
    <w:p>
      <w:pPr>
        <w:pStyle w:val="6"/>
        <w:rPr>
          <w:rFonts w:hint="default"/>
          <w:lang w:eastAsia="zh-CN"/>
        </w:rPr>
      </w:pPr>
    </w:p>
    <w:p>
      <w:pPr>
        <w:pStyle w:val="9"/>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default" w:ascii="Times New Roman" w:hAnsi="Times New Roman" w:eastAsia="仿宋_GB2312" w:cs="Times New Roman"/>
          <w:sz w:val="32"/>
          <w:szCs w:val="32"/>
          <w:lang w:eastAsia="zh-CN"/>
        </w:rPr>
      </w:pPr>
      <w:bookmarkStart w:id="0" w:name="_GoBack"/>
      <w:bookmarkEnd w:id="0"/>
    </w:p>
    <w:p>
      <w:pPr>
        <w:pStyle w:val="9"/>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仿宋_GB2312" w:cs="Times New Roman"/>
          <w:sz w:val="32"/>
          <w:szCs w:val="32"/>
          <w:lang w:eastAsia="zh-CN"/>
        </w:rPr>
      </w:pPr>
    </w:p>
    <w:p>
      <w:pPr>
        <w:pStyle w:val="9"/>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仿宋_GB2312" w:cs="Times New Roman"/>
          <w:sz w:val="32"/>
          <w:szCs w:val="32"/>
          <w:lang w:eastAsia="zh-CN"/>
        </w:rPr>
      </w:pPr>
    </w:p>
    <w:sectPr>
      <w:footerReference r:id="rId3" w:type="default"/>
      <w:pgSz w:w="11906" w:h="16838"/>
      <w:pgMar w:top="2098" w:right="1417" w:bottom="1984" w:left="1587" w:header="720" w:footer="720" w:gutter="0"/>
      <w:lnNumType w:countBy="0" w:distance="360"/>
      <w:pgNumType w:fmt="numberInDash"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仿宋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-306705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4.15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HXcubLWAAAACAEAAA8AAAAAAAAAAQAgAAAAOAAAAGRycy9kb3ducmV2LnhtbFBLAQIUABQA&#10;AAAIAIdO4kCb0gwvFQIAABMEAAAOAAAAAAAAAAEAIAAAADsBAABkcnMvZTJvRG9jLnhtbFBLBQYA&#10;AAAABgAGAFkBAADCBQAAAAA=&#10;">
              <v:fill on="f" focussize="0,0"/>
              <v:stroke on="f" weight="0.5pt"/>
              <v:imagedata o:title=""/>
              <o:lock v:ext="edit" aspectratio="f"/>
              <v:textbox inset="0mm,0mm,0mm,0mm" style="mso-fit-shape-to-text:t;">
                <w:txbxContent>
                  <w:p>
                    <w:pPr>
                      <w:pStyle w:val="7"/>
                      <w:rPr>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6E22B"/>
    <w:multiLevelType w:val="singleLevel"/>
    <w:tmpl w:val="8BC6E22B"/>
    <w:lvl w:ilvl="0" w:tentative="0">
      <w:start w:val="1"/>
      <w:numFmt w:val="chineseCounting"/>
      <w:suff w:val="nothing"/>
      <w:lvlText w:val="（%1）"/>
      <w:lvlJc w:val="left"/>
      <w:rPr>
        <w:rFonts w:hint="eastAsia"/>
      </w:rPr>
    </w:lvl>
  </w:abstractNum>
  <w:abstractNum w:abstractNumId="1">
    <w:nsid w:val="6A1A4881"/>
    <w:multiLevelType w:val="singleLevel"/>
    <w:tmpl w:val="6A1A488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A2F5C"/>
    <w:rsid w:val="04EA7B82"/>
    <w:rsid w:val="077D5C22"/>
    <w:rsid w:val="08054586"/>
    <w:rsid w:val="0BCF702E"/>
    <w:rsid w:val="0CB33AF6"/>
    <w:rsid w:val="10F62F2F"/>
    <w:rsid w:val="14AD776B"/>
    <w:rsid w:val="154E763E"/>
    <w:rsid w:val="168F0DDE"/>
    <w:rsid w:val="20943DC9"/>
    <w:rsid w:val="21F8768B"/>
    <w:rsid w:val="23B85560"/>
    <w:rsid w:val="25E47605"/>
    <w:rsid w:val="2BD81FAF"/>
    <w:rsid w:val="327A043A"/>
    <w:rsid w:val="35E0625F"/>
    <w:rsid w:val="3708590C"/>
    <w:rsid w:val="4B5247E1"/>
    <w:rsid w:val="4E3262D5"/>
    <w:rsid w:val="50666563"/>
    <w:rsid w:val="530C4CDB"/>
    <w:rsid w:val="53B1176B"/>
    <w:rsid w:val="56593B3C"/>
    <w:rsid w:val="59C15A2B"/>
    <w:rsid w:val="623B13A9"/>
    <w:rsid w:val="68001868"/>
    <w:rsid w:val="6FFA26C8"/>
    <w:rsid w:val="700F05E0"/>
    <w:rsid w:val="723308CB"/>
    <w:rsid w:val="724431C6"/>
    <w:rsid w:val="74177F2A"/>
    <w:rsid w:val="7E8E4FAF"/>
    <w:rsid w:val="7FFF770B"/>
    <w:rsid w:val="B21F0766"/>
    <w:rsid w:val="FFDED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4">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before="0" w:after="140" w:line="276" w:lineRule="auto"/>
      <w:ind w:left="0" w:right="0"/>
      <w:jc w:val="both"/>
    </w:pPr>
    <w:rPr>
      <w:rFonts w:ascii="Calibri" w:hAnsi="Calibri" w:eastAsia="宋体" w:cs="Times New Roman"/>
      <w:kern w:val="2"/>
      <w:sz w:val="21"/>
      <w:szCs w:val="24"/>
      <w:lang w:val="en-US" w:eastAsia="zh-CN" w:bidi="ar-SA"/>
    </w:rPr>
  </w:style>
  <w:style w:type="paragraph" w:styleId="3">
    <w:name w:val="toc 2"/>
    <w:basedOn w:val="1"/>
    <w:next w:val="1"/>
    <w:qFormat/>
    <w:uiPriority w:val="0"/>
    <w:pPr>
      <w:ind w:left="420" w:leftChars="200"/>
    </w:pPr>
    <w:rPr>
      <w:rFonts w:ascii="Times New Roman" w:hAnsi="Times New Roman" w:eastAsia="宋体" w:cs="Times New Roman"/>
    </w:rPr>
  </w:style>
  <w:style w:type="paragraph" w:styleId="5">
    <w:name w:val="Normal Indent"/>
    <w:basedOn w:val="1"/>
    <w:qFormat/>
    <w:uiPriority w:val="0"/>
    <w:pPr>
      <w:ind w:firstLine="420" w:firstLineChars="200"/>
    </w:pPr>
  </w:style>
  <w:style w:type="paragraph" w:styleId="6">
    <w:name w:val="Body Text Indent"/>
    <w:basedOn w:val="1"/>
    <w:qFormat/>
    <w:uiPriority w:val="0"/>
    <w:pPr>
      <w:spacing w:line="560" w:lineRule="exact"/>
      <w:ind w:firstLine="658"/>
      <w:jc w:val="left"/>
    </w:pPr>
    <w:rPr>
      <w:rFonts w:eastAsia="仿宋_GB2312"/>
      <w:sz w:val="32"/>
    </w:r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Indent 3"/>
    <w:basedOn w:val="1"/>
    <w:qFormat/>
    <w:uiPriority w:val="0"/>
    <w:pPr>
      <w:spacing w:after="120"/>
      <w:ind w:left="420" w:leftChars="200"/>
    </w:pPr>
    <w:rPr>
      <w:rFonts w:ascii="Times New Roman" w:hAnsi="Times New Roman" w:eastAsia="宋体" w:cs="Times New Roman"/>
      <w:sz w:val="16"/>
      <w:szCs w:val="16"/>
    </w:rPr>
  </w:style>
  <w:style w:type="paragraph" w:styleId="1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next w:val="1"/>
    <w:qFormat/>
    <w:uiPriority w:val="0"/>
    <w:pPr>
      <w:spacing w:after="0"/>
      <w:ind w:left="200" w:firstLine="420" w:firstLineChars="200"/>
    </w:pPr>
    <w:rPr>
      <w:rFonts w:ascii="Calibri" w:hAnsi="Calibri" w:cs="Arial"/>
      <w:szCs w:val="36"/>
    </w:rPr>
  </w:style>
  <w:style w:type="paragraph" w:customStyle="1" w:styleId="15">
    <w:name w:val="Default"/>
    <w:next w:val="1"/>
    <w:qFormat/>
    <w:uiPriority w:val="0"/>
    <w:pPr>
      <w:widowControl w:val="0"/>
      <w:autoSpaceDE w:val="0"/>
      <w:autoSpaceDN w:val="0"/>
      <w:adjustRightInd w:val="0"/>
    </w:pPr>
    <w:rPr>
      <w:rFonts w:ascii="方正小标宋_GBK" w:hAnsi="方正小标宋_GBK" w:eastAsia="方正小标宋_GBK" w:cs="Times New Roman"/>
      <w:color w:val="000000"/>
      <w:sz w:val="24"/>
      <w:lang w:val="en-US" w:eastAsia="zh-CN" w:bidi="ar-SA"/>
    </w:rPr>
  </w:style>
  <w:style w:type="paragraph" w:customStyle="1" w:styleId="16">
    <w:name w:val="NormalNormal"/>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2023-11-24T11:17:00Z</dcterms:created>
  <dc:creator>Administrator</dc:creator>
  <cp:lastModifiedBy>gxxc</cp:lastModifiedBy>
  <cp:lastPrinted>2025-11-18T10:48:00Z</cp:lastPrinted>
  <dcterms:modified xsi:type="dcterms:W3CDTF">2026-01-15T10:53:50Z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26A629D1F39547248EDC194144A00BD2</vt:lpwstr>
  </property>
  <property fmtid="{D5CDD505-2E9C-101B-9397-08002B2CF9AE}" pid="4" name="docranid">
    <vt:lpwstr>B397DC4C409F4A18B514CD2A625F3043</vt:lpwstr>
  </property>
</Properties>
</file>