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三江侗族自治县2025年法治政府建设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年度报告</w:t>
      </w:r>
    </w:p>
    <w:p>
      <w:pPr>
        <w:pStyle w:val="10"/>
        <w:keepNext w:val="0"/>
        <w:keepLines w:val="0"/>
        <w:pageBreakBefore w:val="0"/>
        <w:widowControl/>
        <w:suppressLineNumbers w:val="0"/>
        <w:tabs>
          <w:tab w:val="left" w:pos="13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kern w:val="0"/>
          <w:position w:val="0"/>
          <w:sz w:val="32"/>
          <w:szCs w:val="32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tabs>
          <w:tab w:val="left" w:pos="13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  <w:bookmarkStart w:id="0" w:name="OLE_LINK5"/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年，三江侗族自治县坚持以习近平新时代中国特色社会主义思想为指导，深入贯彻落实党的二十大和二十届二中、三中、四中全会精神，严格对标《广西法治政府建设实施方案（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2021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—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2025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年）》及柳州市相关工作方案推进各项工作，推动法治政府建设取得新进展、新成效。</w:t>
      </w:r>
      <w:r>
        <w:rPr>
          <w:rFonts w:hint="default" w:ascii="Times New Roman" w:hAnsi="Times New Roman" w:eastAsia="仿宋_GB2312" w:cs="Times New Roman"/>
          <w:i w:val="0"/>
          <w:iCs w:val="0"/>
          <w:color w:val="auto"/>
          <w:spacing w:val="0"/>
          <w:sz w:val="32"/>
          <w:szCs w:val="32"/>
          <w:shd w:val="clear" w:color="auto" w:fill="FFFFFF"/>
        </w:rPr>
        <w:t>现将本年度</w:t>
      </w:r>
      <w:r>
        <w:rPr>
          <w:rFonts w:hint="default" w:ascii="Times New Roman" w:hAnsi="Times New Roman" w:eastAsia="仿宋_GB2312" w:cs="Times New Roman"/>
          <w:i w:val="0"/>
          <w:iCs w:val="0"/>
          <w:color w:val="auto"/>
          <w:spacing w:val="0"/>
          <w:sz w:val="32"/>
          <w:szCs w:val="32"/>
          <w:shd w:val="clear" w:color="auto" w:fill="FFFFFF"/>
          <w:lang w:eastAsia="zh-CN"/>
        </w:rPr>
        <w:t>法治建设工作</w:t>
      </w:r>
      <w:r>
        <w:rPr>
          <w:rFonts w:hint="default" w:ascii="Times New Roman" w:hAnsi="Times New Roman" w:eastAsia="仿宋_GB2312" w:cs="Times New Roman"/>
          <w:i w:val="0"/>
          <w:iCs w:val="0"/>
          <w:color w:val="auto"/>
          <w:spacing w:val="0"/>
          <w:sz w:val="32"/>
          <w:szCs w:val="32"/>
          <w:shd w:val="clear" w:color="auto" w:fill="FFFFFF"/>
        </w:rPr>
        <w:t>情况报告如下</w:t>
      </w:r>
      <w:r>
        <w:rPr>
          <w:rFonts w:hint="default" w:ascii="Times New Roman" w:hAnsi="Times New Roman" w:eastAsia="仿宋_GB2312" w:cs="Times New Roman"/>
          <w:i w:val="0"/>
          <w:iCs w:val="0"/>
          <w:color w:val="auto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</w:rPr>
        <w:t>主要举措和成效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  <w:lang w:eastAsia="zh-CN"/>
        </w:rPr>
        <w:t>（一）深化思想引领，筑牢法治根基。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eastAsia="zh-CN"/>
        </w:rPr>
        <w:t>坚持将学习习近平法治思想作为重要政治任务，通过党委（党组）理论学习中心组、专题学法等形式，实现领导干部学法全覆盖。截至目前，全县各级领导班子开展专题学法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120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eastAsia="zh-CN"/>
        </w:rPr>
        <w:t>余次。严格落实领导干部应知应会党内法规和法律法规清单制度，制定“首要任务+综合清单+专业清单”共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119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eastAsia="zh-CN"/>
        </w:rPr>
        <w:t>条，推动学法由“关键少数”向全体干部延伸。落实执法人员每年不少于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60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eastAsia="zh-CN"/>
        </w:rPr>
        <w:t>学时培训，持续提升政府工作人员法治素养与履职能力。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  <w:lang w:eastAsia="zh-CN"/>
        </w:rPr>
        <w:t>（二）压实第一责任，提升履职效能。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eastAsia="zh-CN"/>
        </w:rPr>
        <w:t>严格落实党政主要负责人履行推进法治建设第一责任人职责，召开年度述法会议，采取“现场+书面”述法、“点评+评议”“反馈+整改”相结合方式，实现乡镇及部门全覆盖。将履职情况纳入年终述职与考核，推动各级负责人对法治建设重要工作亲自部署、重大问题亲自过问、重点环节亲自协调、重要任务亲自督办。年末向县委、县政府专题报告法治政府建设情况，推动问题整改与成效巩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_GB2312" w:cs="Times New Roman"/>
          <w:color w:val="auto"/>
          <w:spacing w:val="0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楷体_GB2312" w:cs="Times New Roman"/>
          <w:color w:val="auto"/>
          <w:spacing w:val="0"/>
          <w:sz w:val="32"/>
          <w:szCs w:val="32"/>
          <w:lang w:eastAsia="zh-CN"/>
        </w:rPr>
        <w:t>规范行政决策，严守法治程序。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严格执行自治区、柳州市重大行政决策程序规定，落实重大行政决策目录公开与合法性审查制度，今年以来，出具合法性审查意见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件。开展规范性文件后评估工作，推动文件从“重制定”向“重管用”转变。完善政府法律顾问体系，提升决策科学性与合法性。目前已为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个党政机关配备公职律师，为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45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个单位聘任法律顾问。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default" w:ascii="Times New Roman" w:hAnsi="Times New Roman" w:cs="Times New Roman"/>
          <w:snapToGrid w:val="0"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楷体_GB2312" w:cs="Times New Roman"/>
          <w:color w:val="auto"/>
          <w:spacing w:val="0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楷体_GB2312" w:cs="Times New Roman"/>
          <w:color w:val="auto"/>
          <w:spacing w:val="0"/>
          <w:sz w:val="32"/>
          <w:szCs w:val="32"/>
          <w:lang w:val="en-US" w:eastAsia="zh-CN"/>
        </w:rPr>
        <w:t>）强化执法监督，优化营商环境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围绕“提升行政执法质量三年行动计划”，建成县乡两级行政执法协调监督工作体系。成立执法司法问题响应处置专班，对企业反映问题统一登记、分类转办、限时反馈，确保“件件有着落、事事有回音”。开展规范涉企执法专项行动，印发自查自纠通知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2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次、监督督办函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24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份，完成问题整改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2</w:t>
      </w:r>
      <w:r>
        <w:rPr>
          <w:rFonts w:hint="eastAsia" w:ascii="Times New Roman" w:hAnsi="Times New Roman" w:cs="Times New Roman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个，推动执法行为更加规范、透明。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多部门联动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开展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“法治护航进园区”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活动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bookmarkStart w:id="1" w:name="OLE_LINK6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为企业提供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下沉式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法律服务。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今年以来，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开展入企走访调研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次，召开企业负责人座谈会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次，</w:t>
      </w:r>
      <w:r>
        <w:rPr>
          <w:rFonts w:hint="eastAsia" w:ascii="Times New Roman" w:hAnsi="Times New Roman" w:cs="Times New Roman"/>
          <w:color w:val="auto"/>
          <w:sz w:val="32"/>
          <w:szCs w:val="32"/>
          <w:lang w:eastAsia="zh-CN"/>
        </w:rPr>
        <w:t>为企业审查合同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12份，为企业构建全链条法律防护网，</w:t>
      </w:r>
      <w:bookmarkEnd w:id="1"/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助力企业在政策框架内高效发展</w:t>
      </w:r>
      <w:r>
        <w:rPr>
          <w:rFonts w:hint="eastAsia" w:ascii="Times New Roman" w:hAnsi="Times New Roman" w:cs="Times New Roman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（五）创新复议机制，有效化解争议。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在工业园区设立“行政执法监督点+行政复议服务点”双融合服务平台，推行“复议调解+法律释明”工作法，成功调解涉企纠纷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件，</w:t>
      </w:r>
      <w:bookmarkStart w:id="2" w:name="OLE_LINK4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涉企复议案件调解率达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30%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bookmarkEnd w:id="2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建立“案件分析—问题预警—整改督办”闭环管理机制，截至目前，共收到行政复议申请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件；制发各类建议书、意见书、提醒函共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件，推动行政机关自我纠错、规范执法。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行政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复议调解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和解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率达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2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7.45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，行政诉讼败诉率为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"/>
        </w:rPr>
        <w:t>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，行政机关负责人出庭应诉率持续保持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，展现法治政府的良好形象。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OLE_LINK3"/>
      <w:r>
        <w:rPr>
          <w:rFonts w:hint="eastAsia" w:ascii="楷体_GB2312" w:hAnsi="楷体_GB2312" w:eastAsia="楷体_GB2312" w:cs="楷体_GB2312"/>
          <w:color w:val="auto"/>
          <w:spacing w:val="0"/>
          <w:sz w:val="32"/>
          <w:szCs w:val="32"/>
          <w:lang w:val="en-US" w:eastAsia="zh-CN"/>
        </w:rPr>
        <w:t>（六）推进全民普法，培育法治信仰。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构建“分层分类+精准滴灌”普法体系，针对国家工作人员、青少年、企业经营管理人员、基层群众等不同群体，开展形式多样的法治宣传教育。利用“法律明白人”“一村一法律顾问”等机制，结合典型案例开展“以案释法”，推动法律知识融入日常生活。结合“12·4”国家宪法日等节点开展专项普法宣传专题135场（次），发放普法资料、宣传品6万余份，受教育群众达8.5万人，解答法律咨询2700余人（次）；利用“法治三江”微信公众号发布 218篇法治文章。营造“办事依法、遇事找法、解决问题用法”的良好氛围。</w:t>
      </w:r>
    </w:p>
    <w:bookmarkEnd w:id="3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FF"/>
          <w:spacing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0"/>
          <w:kern w:val="2"/>
          <w:sz w:val="32"/>
          <w:szCs w:val="32"/>
          <w:lang w:val="en-US" w:eastAsia="zh-CN" w:bidi="ar-SA"/>
        </w:rPr>
        <w:t>（七）完善调解体系，夯实治理基础。</w:t>
      </w:r>
      <w:bookmarkStart w:id="4" w:name="OLE_LINK1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整合派出所、乡镇政府、村（社区）等多方力量，构建“横向覆盖、纵向贯通”的多元调解网络。全县现有人民调解组织210个、调解员1289名，实现“五落实、六统一”规范化建设。坚持“321”矛盾纠纷排查化解机制，结合常规与专项排查，做到早发现、早介入。全年调解纠纷1466起，成功率97.3%。设立被拘留人矛盾纠纷人民调解委员会、金融纠纷人民调解委员会，拓展调解覆盖面。聚力调处“三大纠纷”291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件，调结289件，调结率99.31%，未发生因调处不力引发的重大风险。</w:t>
      </w:r>
    </w:p>
    <w:bookmarkEnd w:id="4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0"/>
          <w:sz w:val="32"/>
          <w:szCs w:val="32"/>
          <w:lang w:val="en-US" w:eastAsia="zh-CN"/>
        </w:rPr>
        <w:t>二、</w:t>
      </w:r>
      <w:bookmarkStart w:id="5" w:name="OLE_LINK2"/>
      <w:r>
        <w:rPr>
          <w:rFonts w:hint="eastAsia" w:ascii="黑体" w:hAnsi="黑体" w:eastAsia="黑体" w:cs="黑体"/>
          <w:spacing w:val="0"/>
          <w:sz w:val="32"/>
          <w:szCs w:val="32"/>
          <w:lang w:val="en-US" w:eastAsia="zh-CN"/>
        </w:rPr>
        <w:t>存在的问题和不足</w:t>
      </w:r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虽然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2025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年法治政府建设取得了一些成效，但我们也清醒认识到工作中还存在一些不足：一是法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治意识与履职能力不均衡，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部分领导干部“重行政、轻法治”思维仍然存在，对重大决策合法性审查、行政规范性文件备案等法定程序重视不足；二是严格规范公正文明执法程序不够，行政执法公示、执法全过程记录、重大执法决定法制审核“三项制度”落实不够严格，不主动出示执法证件、不告知权利义务等情况时有发生；三是基层执法能力不足，乡镇执法人员缺乏系统的法律知识和专业执法技能培训，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执法装备配备不足，面对下沉的执法事项容易出现力不从心的情况。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/>
          <w:spacing w:val="0"/>
          <w:lang w:val="en-US" w:eastAsia="zh-CN"/>
        </w:rPr>
      </w:pPr>
      <w:r>
        <w:rPr>
          <w:rFonts w:hint="eastAsia" w:ascii="黑体" w:hAnsi="黑体" w:eastAsia="黑体" w:cs="黑体"/>
          <w:spacing w:val="0"/>
          <w:sz w:val="32"/>
          <w:szCs w:val="32"/>
          <w:lang w:val="en-US" w:eastAsia="zh-CN"/>
        </w:rPr>
        <w:t>三、下一步工作计划</w:t>
      </w:r>
      <w:r>
        <w:rPr>
          <w:rFonts w:hint="eastAsia"/>
          <w:spacing w:val="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（一）深化法治意识培育，营造全民法治氛围。</w:t>
      </w:r>
      <w:r>
        <w:rPr>
          <w:rFonts w:hint="eastAsia" w:ascii="Times New Roman" w:hAnsi="Times New Roman" w:eastAsia="仿宋_GB2312" w:cs="Times New Roman"/>
          <w:b w:val="0"/>
          <w:spacing w:val="0"/>
          <w:kern w:val="2"/>
          <w:sz w:val="32"/>
          <w:szCs w:val="32"/>
          <w:lang w:val="en-US" w:eastAsia="zh-CN" w:bidi="ar-SA"/>
        </w:rPr>
        <w:t>构建常态化干部学法机制，将习近平法治思想、新颁布法律法规纳入县委党校主体班次必修课，定期开展专题培训、线上学法打卡、线下法律知识竞赛等活动。全面梳理总结“八五”普法工作成果与经验，创新法律“进乡村、进社区、进企业、进学校”形式，利用农村“大喇叭”、社区文化广场、校园文化节等载体，开展贴近群众生活的案例式普法；打造“互联网</w:t>
      </w:r>
      <w:r>
        <w:rPr>
          <w:rFonts w:hint="eastAsia" w:ascii="仿宋_GB2312" w:hAnsi="仿宋_GB2312" w:eastAsia="仿宋_GB2312" w:cs="仿宋_GB2312"/>
          <w:b w:val="0"/>
          <w:spacing w:val="0"/>
          <w:kern w:val="2"/>
          <w:sz w:val="32"/>
          <w:szCs w:val="32"/>
          <w:lang w:val="en-US" w:eastAsia="zh-CN" w:bidi="ar-SA"/>
        </w:rPr>
        <w:t>+</w:t>
      </w:r>
      <w:r>
        <w:rPr>
          <w:rFonts w:hint="eastAsia" w:ascii="Times New Roman" w:hAnsi="Times New Roman" w:eastAsia="仿宋_GB2312" w:cs="Times New Roman"/>
          <w:b w:val="0"/>
          <w:spacing w:val="0"/>
          <w:kern w:val="2"/>
          <w:sz w:val="32"/>
          <w:szCs w:val="32"/>
          <w:lang w:val="en-US" w:eastAsia="zh-CN" w:bidi="ar-SA"/>
        </w:rPr>
        <w:t>”普法平台，借助短视频、直播等新媒体，制作通俗易懂的法治宣传作品，增强群众对法律的理解和信任。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spacing w:val="0"/>
          <w:kern w:val="2"/>
          <w:sz w:val="32"/>
          <w:szCs w:val="32"/>
          <w:lang w:val="en-US" w:eastAsia="zh-CN" w:bidi="ar-SA"/>
        </w:rPr>
        <w:t>（二）规范执法司法行为，提升法治运行质效。</w:t>
      </w:r>
      <w:r>
        <w:rPr>
          <w:rFonts w:hint="eastAsia" w:ascii="Times New Roman" w:hAnsi="Times New Roman" w:eastAsia="仿宋_GB2312" w:cs="Times New Roman"/>
          <w:b w:val="0"/>
          <w:spacing w:val="0"/>
          <w:kern w:val="2"/>
          <w:sz w:val="32"/>
          <w:szCs w:val="32"/>
          <w:lang w:val="en-US" w:eastAsia="zh-CN" w:bidi="ar-SA"/>
        </w:rPr>
        <w:t>完善行政执法“三项制度”，开展执法人员业务轮训和职业道德教育，提升执法规范化水平。建立司法机关与行政机关常态化沟通协调机制，</w:t>
      </w:r>
      <w:r>
        <w:rPr>
          <w:rFonts w:hint="eastAsia" w:ascii="Times New Roman" w:hAnsi="Times New Roman" w:eastAsia="仿宋_GB2312" w:cs="Times New Roman"/>
          <w:b w:val="0"/>
          <w:spacing w:val="-6"/>
          <w:kern w:val="2"/>
          <w:sz w:val="32"/>
          <w:szCs w:val="32"/>
          <w:lang w:val="en-US" w:eastAsia="zh-CN" w:bidi="ar-SA"/>
        </w:rPr>
        <w:t>定期召开联席会议，共同研究解决行政争议化解、非诉执行等问题。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spacing w:val="0"/>
          <w:kern w:val="2"/>
          <w:sz w:val="32"/>
          <w:szCs w:val="32"/>
          <w:lang w:val="en-US" w:eastAsia="zh-CN" w:bidi="ar-SA"/>
        </w:rPr>
        <w:t>（三）强化法治监督考核，确保法治工作落实。</w:t>
      </w:r>
      <w:r>
        <w:rPr>
          <w:rFonts w:hint="eastAsia" w:ascii="Times New Roman" w:hAnsi="Times New Roman" w:eastAsia="仿宋_GB2312" w:cs="Times New Roman"/>
          <w:b w:val="0"/>
          <w:spacing w:val="0"/>
          <w:kern w:val="2"/>
          <w:sz w:val="32"/>
          <w:szCs w:val="32"/>
          <w:lang w:val="en-US" w:eastAsia="zh-CN" w:bidi="ar-SA"/>
        </w:rPr>
        <w:t>完善内部监督体系，制定年度法治督察计划，对重点执法部门、重大行政决策事项开展专项督察；建立法治政府建设考核指标体系，提高考核权重，强化考核结果运用。拓宽外部监督渠道，搭建群众监督平台，及时受理群众对执法司法不公、违法行政等问题的举报；发挥人大、政协监督作用，定期邀请人大代表、政协委员参与法治调研、执法检查，听取意见建议，促进法治政府建设改进完善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spacing w:val="0"/>
          <w:kern w:val="2"/>
          <w:sz w:val="32"/>
          <w:szCs w:val="32"/>
          <w:lang w:val="en-US" w:eastAsia="zh-CN" w:bidi="ar-SA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spacing w:val="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16" w:firstLineChars="200"/>
        <w:jc w:val="center"/>
        <w:textAlignment w:val="auto"/>
        <w:rPr>
          <w:rFonts w:hint="default" w:ascii="Times New Roman" w:hAnsi="Times New Roman" w:eastAsia="仿宋_GB2312" w:cs="Times New Roman"/>
          <w:spacing w:val="-6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16" w:firstLineChars="200"/>
        <w:jc w:val="center"/>
        <w:textAlignment w:val="auto"/>
        <w:rPr>
          <w:rFonts w:hint="default" w:ascii="Times New Roman" w:hAnsi="Times New Roman" w:eastAsia="仿宋_GB2312" w:cs="Times New Roman"/>
          <w:spacing w:val="-6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16" w:firstLineChars="200"/>
        <w:jc w:val="center"/>
        <w:textAlignment w:val="auto"/>
        <w:rPr>
          <w:rFonts w:hint="default" w:ascii="Times New Roman" w:hAnsi="Times New Roman" w:eastAsia="仿宋_GB2312" w:cs="Times New Roman"/>
          <w:spacing w:val="-6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pacing w:val="6"/>
          <w:sz w:val="32"/>
          <w:szCs w:val="32"/>
          <w:lang w:val="en-US" w:eastAsia="zh-CN"/>
        </w:rPr>
      </w:pPr>
      <w:bookmarkStart w:id="6" w:name="_GoBack"/>
      <w:bookmarkEnd w:id="6"/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BdxysBMCAAAT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chineseCounting"/>
      <w:suff w:val="nothing"/>
      <w:lvlText w:val="%1、"/>
      <w:lvlJc w:val="left"/>
      <w:pPr>
        <w:widowControl/>
        <w:ind w:left="0" w:firstLine="0"/>
        <w:textAlignment w:val="baseline"/>
      </w:pPr>
    </w:lvl>
    <w:lvl w:ilvl="1" w:tentative="0">
      <w:start w:val="1"/>
      <w:numFmt w:val="chineseCounting"/>
      <w:suff w:val="nothing"/>
      <w:lvlText w:val="（%1）"/>
      <w:lvlJc w:val="left"/>
      <w:pPr>
        <w:widowControl/>
        <w:ind w:left="0" w:firstLine="0"/>
        <w:textAlignment w:val="baseline"/>
      </w:pPr>
    </w:lvl>
    <w:lvl w:ilvl="2" w:tentative="0">
      <w:start w:val="1"/>
      <w:numFmt w:val="decimal"/>
      <w:pStyle w:val="14"/>
      <w:suff w:val="nothing"/>
      <w:lvlText w:val="%1．"/>
      <w:lvlJc w:val="left"/>
      <w:pPr>
        <w:widowControl/>
        <w:ind w:left="0" w:firstLine="400"/>
        <w:textAlignment w:val="baseline"/>
      </w:pPr>
    </w:lvl>
    <w:lvl w:ilvl="3" w:tentative="0">
      <w:start w:val="1"/>
      <w:numFmt w:val="decimal"/>
      <w:suff w:val="nothing"/>
      <w:lvlText w:val="（%1）"/>
      <w:lvlJc w:val="left"/>
      <w:pPr>
        <w:widowControl/>
        <w:ind w:left="0" w:firstLine="402"/>
        <w:textAlignment w:val="baseline"/>
      </w:pPr>
    </w:lvl>
    <w:lvl w:ilvl="4" w:tentative="0">
      <w:start w:val="1"/>
      <w:numFmt w:val="decimalEnclosedCircleChinese"/>
      <w:suff w:val="nothing"/>
      <w:lvlText w:val="%1"/>
      <w:lvlJc w:val="left"/>
      <w:pPr>
        <w:widowControl/>
        <w:ind w:left="0" w:firstLine="402"/>
        <w:textAlignment w:val="baseline"/>
      </w:pPr>
    </w:lvl>
    <w:lvl w:ilvl="5" w:tentative="0">
      <w:start w:val="1"/>
      <w:numFmt w:val="decimal"/>
      <w:suff w:val="nothing"/>
      <w:lvlText w:val="%1）"/>
      <w:lvlJc w:val="left"/>
      <w:pPr>
        <w:widowControl/>
        <w:ind w:left="0" w:firstLine="402"/>
        <w:textAlignment w:val="baseline"/>
      </w:pPr>
    </w:lvl>
    <w:lvl w:ilvl="6" w:tentative="0">
      <w:start w:val="1"/>
      <w:numFmt w:val="lowerLetter"/>
      <w:suff w:val="nothing"/>
      <w:lvlText w:val="%1．"/>
      <w:lvlJc w:val="left"/>
      <w:pPr>
        <w:widowControl/>
        <w:ind w:left="0" w:firstLine="402"/>
        <w:textAlignment w:val="baseline"/>
      </w:pPr>
    </w:lvl>
    <w:lvl w:ilvl="7" w:tentative="0">
      <w:start w:val="1"/>
      <w:numFmt w:val="lowerLetter"/>
      <w:suff w:val="nothing"/>
      <w:lvlText w:val="%1）"/>
      <w:lvlJc w:val="left"/>
      <w:pPr>
        <w:widowControl/>
        <w:ind w:left="0" w:firstLine="402"/>
        <w:textAlignment w:val="baseline"/>
      </w:pPr>
    </w:lvl>
    <w:lvl w:ilvl="8" w:tentative="0">
      <w:start w:val="1"/>
      <w:numFmt w:val="lowerRoman"/>
      <w:suff w:val="nothing"/>
      <w:lvlText w:val="%1 "/>
      <w:lvlJc w:val="left"/>
      <w:pPr>
        <w:widowControl/>
        <w:ind w:left="0" w:firstLine="402"/>
        <w:textAlignment w:val="baseline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1ZTQ5Y2QwZTBiYTI2MDNkZGUxMmU2NDZjOThkZGUifQ=="/>
  </w:docVars>
  <w:rsids>
    <w:rsidRoot w:val="00000000"/>
    <w:rsid w:val="01384013"/>
    <w:rsid w:val="07612BEB"/>
    <w:rsid w:val="077343F9"/>
    <w:rsid w:val="07CF30D9"/>
    <w:rsid w:val="08402709"/>
    <w:rsid w:val="090408BA"/>
    <w:rsid w:val="0A1E73F3"/>
    <w:rsid w:val="0A810269"/>
    <w:rsid w:val="0B5A51D7"/>
    <w:rsid w:val="135E1F2F"/>
    <w:rsid w:val="13E07109"/>
    <w:rsid w:val="145536E5"/>
    <w:rsid w:val="174A2743"/>
    <w:rsid w:val="17947118"/>
    <w:rsid w:val="18E309FD"/>
    <w:rsid w:val="1F2A6363"/>
    <w:rsid w:val="1F4F7E21"/>
    <w:rsid w:val="22834F2F"/>
    <w:rsid w:val="22925D35"/>
    <w:rsid w:val="235B7CE6"/>
    <w:rsid w:val="23831584"/>
    <w:rsid w:val="23A13E9B"/>
    <w:rsid w:val="26925F05"/>
    <w:rsid w:val="28103C3A"/>
    <w:rsid w:val="28B20A5A"/>
    <w:rsid w:val="297A6E96"/>
    <w:rsid w:val="29ED6C5C"/>
    <w:rsid w:val="2B7D04BE"/>
    <w:rsid w:val="2CD626BC"/>
    <w:rsid w:val="2DB86C87"/>
    <w:rsid w:val="310738EC"/>
    <w:rsid w:val="34E9360C"/>
    <w:rsid w:val="36B64CB3"/>
    <w:rsid w:val="380D0904"/>
    <w:rsid w:val="39167C3E"/>
    <w:rsid w:val="39B27192"/>
    <w:rsid w:val="3A712D06"/>
    <w:rsid w:val="3BA80601"/>
    <w:rsid w:val="3CC77480"/>
    <w:rsid w:val="3FB7460D"/>
    <w:rsid w:val="41F6085C"/>
    <w:rsid w:val="457B43B4"/>
    <w:rsid w:val="46640BE0"/>
    <w:rsid w:val="470A765E"/>
    <w:rsid w:val="49330F82"/>
    <w:rsid w:val="495828CB"/>
    <w:rsid w:val="49C77815"/>
    <w:rsid w:val="4BB714C5"/>
    <w:rsid w:val="4CD507A3"/>
    <w:rsid w:val="502E65CB"/>
    <w:rsid w:val="51EB3EF3"/>
    <w:rsid w:val="531B7E68"/>
    <w:rsid w:val="5333550F"/>
    <w:rsid w:val="5F0FC76F"/>
    <w:rsid w:val="5F3357BD"/>
    <w:rsid w:val="61F27BF6"/>
    <w:rsid w:val="62F424A9"/>
    <w:rsid w:val="648E5907"/>
    <w:rsid w:val="652561CE"/>
    <w:rsid w:val="6693383A"/>
    <w:rsid w:val="68EC4B36"/>
    <w:rsid w:val="6A834EE9"/>
    <w:rsid w:val="6C025556"/>
    <w:rsid w:val="6F196D90"/>
    <w:rsid w:val="6F4F2DA8"/>
    <w:rsid w:val="6FE77948"/>
    <w:rsid w:val="704E510B"/>
    <w:rsid w:val="709A0570"/>
    <w:rsid w:val="752C7F8F"/>
    <w:rsid w:val="776FD024"/>
    <w:rsid w:val="7E647861"/>
    <w:rsid w:val="8DFB557F"/>
    <w:rsid w:val="93BF8AA9"/>
    <w:rsid w:val="B7CB194B"/>
    <w:rsid w:val="DAE816FC"/>
    <w:rsid w:val="F6DFC9CF"/>
    <w:rsid w:val="F78C47C2"/>
    <w:rsid w:val="F9FE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rFonts w:ascii="Times New Roman" w:hAnsi="Times New Roman" w:cs="Times New Roman"/>
      <w:b/>
      <w:bCs/>
      <w:sz w:val="32"/>
      <w:szCs w:val="32"/>
      <w:lang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/>
    </w:pPr>
    <w:rPr>
      <w:rFonts w:ascii="Calibri Light" w:hAnsi="Calibri Light" w:cs="Calibri Light"/>
      <w:sz w:val="24"/>
    </w:rPr>
  </w:style>
  <w:style w:type="paragraph" w:styleId="5">
    <w:name w:val="Body Text"/>
    <w:basedOn w:val="1"/>
    <w:next w:val="6"/>
    <w:qFormat/>
    <w:uiPriority w:val="0"/>
    <w:pPr>
      <w:ind w:left="100" w:leftChars="100" w:right="100" w:rightChars="100"/>
    </w:pPr>
    <w:rPr>
      <w:rFonts w:ascii="Calibri" w:hAnsi="Calibri"/>
    </w:rPr>
  </w:style>
  <w:style w:type="paragraph" w:styleId="6">
    <w:name w:val="Body Text First Indent 2"/>
    <w:basedOn w:val="7"/>
    <w:qFormat/>
    <w:uiPriority w:val="0"/>
    <w:pPr>
      <w:ind w:firstLine="420" w:firstLineChars="200"/>
    </w:p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basedOn w:val="12"/>
    <w:qFormat/>
    <w:uiPriority w:val="22"/>
    <w:rPr>
      <w:b/>
      <w:bCs/>
    </w:rPr>
  </w:style>
  <w:style w:type="paragraph" w:customStyle="1" w:styleId="14">
    <w:name w:val="Heading3"/>
    <w:basedOn w:val="1"/>
    <w:next w:val="1"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ind w:firstLine="400"/>
      <w:jc w:val="both"/>
      <w:textAlignment w:val="baseline"/>
    </w:pPr>
    <w:rPr>
      <w:rFonts w:ascii="Calibri" w:hAnsi="Calibri" w:eastAsia="宋体"/>
      <w:b/>
      <w:kern w:val="2"/>
      <w:sz w:val="32"/>
      <w:szCs w:val="24"/>
      <w:lang w:val="en-US" w:eastAsia="zh-CN" w:bidi="ar-SA"/>
    </w:rPr>
  </w:style>
  <w:style w:type="paragraph" w:customStyle="1" w:styleId="15">
    <w:name w:val="正文-公1"/>
    <w:basedOn w:val="1"/>
    <w:qFormat/>
    <w:uiPriority w:val="0"/>
    <w:pPr>
      <w:ind w:firstLine="200" w:firstLineChars="200"/>
    </w:pPr>
    <w:rPr>
      <w:rFonts w:eastAsia="仿宋_GB2312" w:cs="宋体"/>
      <w:sz w:val="21"/>
      <w:szCs w:val="32"/>
    </w:rPr>
  </w:style>
  <w:style w:type="paragraph" w:customStyle="1" w:styleId="16">
    <w:name w:val="Default"/>
    <w:next w:val="17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color w:val="000000"/>
      <w:sz w:val="24"/>
      <w:szCs w:val="24"/>
      <w:lang w:val="en-US" w:eastAsia="zh-CN" w:bidi="ar-SA"/>
    </w:rPr>
  </w:style>
  <w:style w:type="paragraph" w:customStyle="1" w:styleId="17">
    <w:name w:val="正文文字 6"/>
    <w:next w:val="1"/>
    <w:qFormat/>
    <w:uiPriority w:val="0"/>
    <w:pPr>
      <w:widowControl w:val="0"/>
      <w:ind w:left="240"/>
      <w:jc w:val="both"/>
    </w:pPr>
    <w:rPr>
      <w:rFonts w:ascii="宋体" w:hAnsi="Times New Roman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2519</Words>
  <Characters>2603</Characters>
  <Lines>0</Lines>
  <Paragraphs>0</Paragraphs>
  <TotalTime>26</TotalTime>
  <ScaleCrop>false</ScaleCrop>
  <LinksUpToDate>false</LinksUpToDate>
  <CharactersWithSpaces>2701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2014-11-01T12:08:00Z</dcterms:created>
  <dc:creator>Administrator</dc:creator>
  <cp:lastModifiedBy>gxxc</cp:lastModifiedBy>
  <dcterms:modified xsi:type="dcterms:W3CDTF">2026-01-19T11:31:37Z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  <property fmtid="{D5CDD505-2E9C-101B-9397-08002B2CF9AE}" pid="3" name="ICV">
    <vt:lpwstr>428AFAE57C9F49FCA81FF3F19729E044_13</vt:lpwstr>
  </property>
  <property fmtid="{D5CDD505-2E9C-101B-9397-08002B2CF9AE}" pid="4" name="KSOTemplateDocerSaveRecord">
    <vt:lpwstr>eyJoZGlkIjoiNzBkYjI1NzJiOTQ2OGUwMzQ5NjA0NzQyZmJhY2UyZjEifQ==</vt:lpwstr>
  </property>
</Properties>
</file>