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仿宋" w:cs="仿宋"/>
          <w:sz w:val="32"/>
          <w:szCs w:val="32"/>
        </w:rPr>
      </w:pPr>
      <w:r>
        <w:rPr>
          <w:rFonts w:hint="eastAsia" w:ascii="Times New Roman" w:hAnsi="Times New Roman" w:eastAsia="方正小标宋简体" w:cs="方正小标宋简体"/>
          <w:sz w:val="44"/>
          <w:szCs w:val="44"/>
        </w:rPr>
        <w:t>融安县2025年法治政府建设年度报告</w:t>
      </w:r>
    </w:p>
    <w:p>
      <w:pPr>
        <w:ind w:firstLine="640" w:firstLineChars="200"/>
        <w:rPr>
          <w:rFonts w:hint="eastAsia" w:ascii="Times New Roman" w:hAnsi="Times New Roman" w:eastAsia="仿宋_GB2312" w:cs="仿宋"/>
          <w:sz w:val="32"/>
          <w:szCs w:val="32"/>
        </w:rPr>
      </w:pPr>
    </w:p>
    <w:p>
      <w:pPr>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2025年，融安县以习近平新时代中国特色社会主义思想为指导，深入贯彻党的二十大及二十届二中、三中、四中全会精神，全面落实中央全面依法治国委员会系列部署要求，紧扣《法治政府建设实施纲要（2021－2025年）》目标任务，扎实推进依法行政，法治政府建设迈上新台阶、取得新成效。现将年度工作情况报告如下：</w:t>
      </w:r>
    </w:p>
    <w:p>
      <w:pPr>
        <w:ind w:firstLine="640" w:firstLineChars="200"/>
        <w:rPr>
          <w:rFonts w:hint="eastAsia" w:ascii="Times New Roman" w:hAnsi="Times New Roman" w:eastAsia="黑体" w:cs="黑体"/>
          <w:sz w:val="32"/>
          <w:szCs w:val="32"/>
        </w:rPr>
      </w:pPr>
      <w:r>
        <w:rPr>
          <w:rFonts w:hint="eastAsia" w:ascii="Times New Roman" w:hAnsi="Times New Roman" w:eastAsia="黑体" w:cs="黑体"/>
          <w:sz w:val="32"/>
          <w:szCs w:val="32"/>
        </w:rPr>
        <w:t>一、强化党的领导，健全法治政府推进机制</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（一）深学笃行习近平法治思想，筑牢思想根基</w:t>
      </w:r>
    </w:p>
    <w:p>
      <w:pPr>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坚持高位推动，将习近平法治思想列为党委（党组）理论学习中心组核心学习内容和干部教育培训必修课程。县委常委会、县政府党组率先垂范，制定年度详细学习计划，通过理论学习中心组学习、专题研讨、心得撰写等多种形式，引导各级领导干部深刻领会其重大意义、核心要义和精神实质，推动学思用贯通、知信行统一。2025年县委理论学习中心组、县政府常务会议累计学习习近平法治思想及党的二十大以来法治建设重大部署25篇次，有效提升领导干部运用法治思维和法治方式深化改革、推动发展、化解矛盾、维护稳定的能力。</w:t>
      </w:r>
    </w:p>
    <w:p>
      <w:pPr>
        <w:ind w:firstLine="640" w:firstLineChars="200"/>
        <w:rPr>
          <w:rFonts w:hint="eastAsia" w:ascii="Times New Roman" w:hAnsi="Times New Roman" w:eastAsia="仿宋" w:cs="仿宋"/>
          <w:sz w:val="32"/>
          <w:szCs w:val="32"/>
        </w:rPr>
      </w:pPr>
      <w:r>
        <w:rPr>
          <w:rFonts w:hint="eastAsia" w:ascii="Times New Roman" w:hAnsi="Times New Roman" w:eastAsia="仿宋_GB2312" w:cs="仿宋"/>
          <w:sz w:val="32"/>
          <w:szCs w:val="32"/>
        </w:rPr>
        <w:t>聚焦领导干部“关键少数”，拓展学习广度与深度，营造浓厚法治氛围。将习近平法治思想全面纳入干部教育培训整体规划，作为党校各类主体班次必修课，举办法治专题讲座2场，覆盖领导干部超300人。宣讲内容紧扣县域发展实际，聚焦人工智能普法、法治宣传教育法等热点领域，增强学习针对性与感染力。依托“广西国家工作人员学法用法考试”“广西干部网络学院”等平台，聚焦依法行政、公正司法、法治社会建设等重点领域开展学习，组织全县国家工作人员参加学法用法考试，参考率、合格率均达100%。通过线上线下融合模式，推动学习宣传向基层延伸，全面提升各级干部法治履职能力。</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（二）压实第一责任人职责，统筹推进法治建设</w:t>
      </w:r>
    </w:p>
    <w:p>
      <w:pPr>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始终将法治政府建设纳入县域总体发展规划，坚持党对法治建设的全面领导。主要负责人带头履行法治建设第一责任人职责，做到重要工作亲自部署、重大问题亲自过问、重点环节亲自协调、重要案件亲自督办。通过召开县委常委会会议、县政府常务会议、法治政府建设年度重点工作部署会及推进会等，及时传达学习法治政府建设重要会议和文件精神，定期听取工作汇报，研究解决重大问题。调整充实县委依法治县委员会，优化工作职责，制定《中共融安县委员会全面依法治县委员会2025年工作要点》，召开依法治县委员会及各协调小组会议3次，县委常委会会议、县政府常务会议累计听取2025年度法治政府建设、平安建设、社会稳定形势分析等工作汇报10次，精准部署推进重点法治建设任务。</w:t>
      </w:r>
    </w:p>
    <w:p>
      <w:pPr>
        <w:ind w:firstLine="640" w:firstLineChars="200"/>
        <w:rPr>
          <w:rFonts w:hint="eastAsia" w:ascii="Times New Roman" w:hAnsi="Times New Roman" w:eastAsia="仿宋_GB2312" w:cs="仿宋"/>
          <w:sz w:val="32"/>
          <w:szCs w:val="32"/>
        </w:rPr>
      </w:pPr>
      <w:r>
        <w:rPr>
          <w:rFonts w:hint="eastAsia" w:ascii="Times New Roman" w:hAnsi="Times New Roman" w:eastAsia="仿宋_GB2312" w:cs="仿宋"/>
          <w:sz w:val="32"/>
          <w:szCs w:val="32"/>
        </w:rPr>
        <w:t>将法治建设履职情况纳入党政主要负责人年度述责述职述廉报告，实现县委党委机关、政府部门、法院、检察院及各乡镇政府述法全覆盖。通过现场述法压实责任，带动基层法治实践提质增效。健全“主要领导亲自抓、分管领导具体抓、相关股室协同抓”的工作格局，将法治建设目标任务细化分解至各乡镇、各部门，明确责任主体与完成时限，构建一级抓一级、层层抓落实的工作体系。</w:t>
      </w:r>
    </w:p>
    <w:p>
      <w:pPr>
        <w:ind w:firstLine="640" w:firstLineChars="200"/>
        <w:rPr>
          <w:rFonts w:hint="eastAsia" w:ascii="Times New Roman" w:hAnsi="Times New Roman" w:eastAsia="黑体" w:cs="黑体"/>
          <w:sz w:val="32"/>
          <w:szCs w:val="32"/>
        </w:rPr>
      </w:pPr>
      <w:r>
        <w:rPr>
          <w:rFonts w:hint="eastAsia" w:ascii="Times New Roman" w:hAnsi="Times New Roman" w:eastAsia="黑体" w:cs="黑体"/>
          <w:sz w:val="32"/>
          <w:szCs w:val="32"/>
        </w:rPr>
        <w:t>二、健全机构职能体系，持续优化法治化营商环境</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（一）深化“放管服”改革，提升政务服务效能</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sz w:val="32"/>
          <w:szCs w:val="32"/>
        </w:rPr>
        <w:t>纵</w:t>
      </w:r>
      <w:bookmarkStart w:id="9" w:name="_GoBack"/>
      <w:r>
        <w:rPr>
          <w:rFonts w:hint="eastAsia" w:ascii="Times New Roman" w:hAnsi="Times New Roman" w:eastAsia="仿宋_GB2312" w:cs="仿宋"/>
          <w:color w:val="auto"/>
          <w:sz w:val="32"/>
          <w:szCs w:val="32"/>
        </w:rPr>
        <w:t>深推进“高效办成一件事”改革，全面推行集成化服务模式，破解企业群众办事堵点难点。通过梳理高频事项办理链条，整合跨部门审批要件，</w:t>
      </w:r>
      <w:r>
        <w:rPr>
          <w:rFonts w:hint="eastAsia" w:ascii="仿宋_GB2312" w:hAnsi="仿宋_GB2312" w:eastAsia="仿宋_GB2312" w:cs="仿宋_GB2312"/>
          <w:color w:val="auto"/>
          <w:sz w:val="32"/>
          <w:szCs w:val="32"/>
          <w:lang w:val="en-US" w:eastAsia="zh-CN"/>
        </w:rPr>
        <w:t>推动2025年国家部署的21项重点事项及自治区部署的41项重点事项落地</w:t>
      </w:r>
      <w:r>
        <w:rPr>
          <w:rFonts w:hint="eastAsia" w:ascii="Times New Roman" w:hAnsi="Times New Roman" w:eastAsia="仿宋_GB2312" w:cs="仿宋"/>
          <w:color w:val="auto"/>
          <w:sz w:val="32"/>
          <w:szCs w:val="32"/>
        </w:rPr>
        <w:t>，大幅提升办事效率。</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创新拓展政务服务增值化内涵，围绕企业全生命周期与产业全链条，聚焦项目建设、惠企政策、法律指导等重点领域，系统梳理涉企服务事项，制定金桔加工产业链、现代林业加工（香杉）产业链、新能源产业链三类融安特色涉企增值服务事项清单，将增值服务嵌入产业链各环节，完善地方特色增值服务“一类事”目录。</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主动靠前服务实体经济，以“审批最少、用时最短、成本最低、服务最优”为目标，健全政企沟通联动机制，制定帮办代办工作方案，组建专业帮办代办队伍。通过预约办理、预审服务、“预勘验”“云勘验”等方式，为企业提供审批前“一站式”指导，破解企业办证难点堵点，为县域经济高质量发展注入新动能。</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（二）推进乡镇履职清单化，规范基层履职行为</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根据中央和自治区部署，全面推进乡镇履职事项清单编制工作，以板榄镇为样板，在落实共性清单基础上突出乡镇特色，最终形成涵盖9大类157项基本履职事项、15个领域100项配合履职事项、13类161项收回上级部门履职事项的融安县乡镇履职事项清单，共计455项。清单实施后，通过多形式组织干部学习培训、分解落实职责、规范工作流程、严控清单外事项，平稳完成12个乡镇161项上收事项的移交对接，并开展专项检查督促责任落实。工作中形成多项创新经验：构建基层纠纷调处快反机制、设立观测点乡镇以点带面推进工作、推进乡镇执法职责清单化与工作流程标准化、为上收事项制定闭环过渡措施，保障清单有序落地见效。</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（三）强化公共法律服务，普惠便民惠企</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深入开展“法律进企业”活动，组织公职律师、公证员、社会律师深入园区、企业开展调研座谈与免费“法治体检”，帮助企业分析法律需求、排查风险点、查找制度漏洞与薄弱环节。通过座谈交流、赠送法律书籍、发放宣传资料、解答咨询等方式，收集企业法律需求，梳理涉诉企业多发性法律风险与问题，提供精准解答建议，全年开展相关法律宣传、培训、座谈、咨询及“法治体检”活动20余次。</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深化公证“减证便民”行动，全面落实公证证明材料清单制度，精简不必要证明材料。依托全区数据共享平台，实现户籍、婚姻、营业执照等信息在线核验，减少群众跑腿次数。推行“首问负责制”与“一次性告知制”，提升服务质效与监督水平，群众满意度达98%以上。优化涉企公证服务，开设“企业公证绿色通道”，实行涉企公证优先受理、优先出证，全年办理公证</w:t>
      </w:r>
      <w:r>
        <w:rPr>
          <w:rFonts w:hint="eastAsia" w:ascii="Times New Roman" w:hAnsi="Times New Roman" w:eastAsia="仿宋_GB2312" w:cs="仿宋"/>
          <w:color w:val="auto"/>
          <w:sz w:val="32"/>
          <w:szCs w:val="32"/>
          <w:lang w:val="en-US" w:eastAsia="zh-CN"/>
        </w:rPr>
        <w:t>455</w:t>
      </w:r>
      <w:r>
        <w:rPr>
          <w:rFonts w:hint="eastAsia" w:ascii="Times New Roman" w:hAnsi="Times New Roman" w:eastAsia="仿宋_GB2312" w:cs="仿宋"/>
          <w:color w:val="auto"/>
          <w:sz w:val="32"/>
          <w:szCs w:val="32"/>
        </w:rPr>
        <w:t>件，其中涉企公证4件，为企业提供高质量法律服务，降低企业维权成本。</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法律援助便民惠企助力营商环境优化，降低维权门槛、放宽援助条件，将小微企业、个体工商户纳入重点服务范围，解答合同纠纷、账款追索等实务问题，2025年为企业提供免费法律咨询11人次。建立“法援+调解+仲裁+诉讼”联动机制，对涉企劳资纠纷等快速响应，在维护劳动者权益的同时兼顾企业正常经营。全年受理法律援助案件47件，办结认罪认罚法律帮助案件205件，接待群众法律咨询301人次，为困难群众免费代写法律文书16件。</w:t>
      </w:r>
    </w:p>
    <w:p>
      <w:pPr>
        <w:ind w:firstLine="640" w:firstLineChars="200"/>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三、完善依法行政制度体系，提升行政决策公信力</w:t>
      </w:r>
    </w:p>
    <w:p>
      <w:pPr>
        <w:ind w:firstLine="640" w:firstLineChars="200"/>
        <w:rPr>
          <w:rFonts w:hint="eastAsia" w:ascii="Times New Roman" w:hAnsi="Times New Roman" w:eastAsia="华文楷体" w:cs="华文楷体"/>
          <w:color w:val="auto"/>
          <w:sz w:val="32"/>
          <w:szCs w:val="32"/>
        </w:rPr>
      </w:pPr>
      <w:r>
        <w:rPr>
          <w:rFonts w:hint="eastAsia" w:ascii="楷体_GB2312" w:hAnsi="楷体_GB2312" w:eastAsia="楷体_GB2312" w:cs="楷体_GB2312"/>
          <w:color w:val="auto"/>
          <w:sz w:val="32"/>
          <w:szCs w:val="32"/>
        </w:rPr>
        <w:t>（一）严格规范规范性文件管理</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严格遵照《广西壮族自治区行政规范性文件制定程序规定》《广西壮族自治区行政规范性文件备案审查规定》《广西壮族自治区各级人民代表大会常务委员会规范性文件备案审查条例》等规定，规范行政规范性文件制定、审查、备案全流程，严格落实评估论证、公开征求意见、合法性审核、集体审议决定等程序。</w:t>
      </w:r>
      <w:r>
        <w:rPr>
          <w:rFonts w:hint="eastAsia" w:ascii="Times New Roman" w:hAnsi="Times New Roman" w:eastAsia="仿宋_GB2312" w:cs="仿宋"/>
          <w:color w:val="auto"/>
          <w:sz w:val="32"/>
          <w:szCs w:val="32"/>
          <w:lang w:eastAsia="zh-CN"/>
        </w:rPr>
        <w:t>全年共</w:t>
      </w:r>
      <w:r>
        <w:rPr>
          <w:rFonts w:hint="eastAsia" w:ascii="Times New Roman" w:hAnsi="Times New Roman" w:eastAsia="仿宋_GB2312" w:cs="仿宋"/>
          <w:color w:val="auto"/>
          <w:sz w:val="32"/>
          <w:szCs w:val="32"/>
        </w:rPr>
        <w:t>开展规范性文件审查4件，出具合法性审查意见书4份，累计向市人民政府和县人大常委会报备行政规范性文件4件，清理行政规范性文件21件。</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（二）刚性落实重大行政决策程序</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行政机关负责人严格遵循“三重一大”事项集体决策制度，重大决策前充分听取合法性审查机构、法律顾问及公职律师意见，确保决策合法合规。对县政府及政府部门制定的重大公共建设项目、重大民生事项、公共服务、社会治理及对经济社会发展有重大影响的行政决策，实现合法性审查全覆盖。2025年编制年度重大行政决策事项目录1项，依法公开1项，公开率达100%。</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（三）充分发挥政府法律顾问作用</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全县36个党政机关均聘请法律顾问，现有公职律师26人。对全县25个具有行政执法权的县级行政机关进行公职律师调配，实现行政执法权县级行政机关公职律师覆盖率100%。党政机关法律顾问、公职律师积极参与所在单位重大决策、重大执法决定合法性审查，以及合同审查、文书起草、规范性文件审查、案件代理等工作，为推进依法行政、建设法治政府提供重要支撑。</w:t>
      </w:r>
      <w:r>
        <w:rPr>
          <w:rFonts w:hint="eastAsia" w:ascii="Times New Roman" w:hAnsi="Times New Roman" w:eastAsia="仿宋_GB2312" w:cs="仿宋"/>
          <w:color w:val="auto"/>
          <w:sz w:val="32"/>
          <w:szCs w:val="32"/>
          <w:lang w:val="en-US" w:eastAsia="zh-CN"/>
        </w:rPr>
        <w:t>2025年，围</w:t>
      </w:r>
      <w:r>
        <w:rPr>
          <w:rFonts w:hint="eastAsia" w:ascii="Times New Roman" w:hAnsi="Times New Roman" w:eastAsia="仿宋_GB2312" w:cs="仿宋"/>
          <w:color w:val="auto"/>
          <w:sz w:val="32"/>
          <w:szCs w:val="32"/>
        </w:rPr>
        <w:t>绕政府重大行政决策合法性审查、合同签订、规范性文件制定等工作，</w:t>
      </w:r>
      <w:bookmarkStart w:id="0" w:name="OLE_LINK3"/>
      <w:r>
        <w:rPr>
          <w:rFonts w:hint="eastAsia" w:ascii="Times New Roman" w:hAnsi="Times New Roman" w:eastAsia="仿宋_GB2312" w:cs="仿宋"/>
          <w:color w:val="auto"/>
          <w:sz w:val="32"/>
          <w:szCs w:val="32"/>
        </w:rPr>
        <w:t>提供法律咨询108余次，出具法律意见书54件。</w:t>
      </w:r>
    </w:p>
    <w:bookmarkEnd w:id="0"/>
    <w:p>
      <w:pPr>
        <w:ind w:firstLine="640" w:firstLineChars="200"/>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四、推进严格规范公正文明执法，维护社会公平正义</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（一）加强执法队伍专业化建设</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全年组织全县执法人员开展培训5次，内容涵盖公共法律知识、各专业领域业务知识、行政执法技能及“扫码入企”监管相关操作，致力于实现执法人员法律素养、实务技能和服务意识“三个提升”，确保公共法律知识培训不少于20学时、业务知识与执法技能培训不少于40学时的年度要求落地。截至2025年</w:t>
      </w:r>
      <w:r>
        <w:rPr>
          <w:rFonts w:hint="eastAsia" w:ascii="Times New Roman" w:hAnsi="Times New Roman" w:eastAsia="仿宋_GB2312" w:cs="仿宋"/>
          <w:color w:val="auto"/>
          <w:sz w:val="32"/>
          <w:szCs w:val="32"/>
          <w:lang w:val="en-US" w:eastAsia="zh-CN"/>
        </w:rPr>
        <w:t>12</w:t>
      </w:r>
      <w:r>
        <w:rPr>
          <w:rFonts w:hint="eastAsia" w:ascii="Times New Roman" w:hAnsi="Times New Roman" w:eastAsia="仿宋_GB2312" w:cs="仿宋"/>
          <w:color w:val="auto"/>
          <w:sz w:val="32"/>
          <w:szCs w:val="32"/>
        </w:rPr>
        <w:t>月</w:t>
      </w:r>
      <w:r>
        <w:rPr>
          <w:rFonts w:hint="eastAsia" w:ascii="Times New Roman" w:hAnsi="Times New Roman" w:eastAsia="仿宋_GB2312" w:cs="仿宋"/>
          <w:color w:val="auto"/>
          <w:sz w:val="32"/>
          <w:szCs w:val="32"/>
          <w:lang w:val="en-US" w:eastAsia="zh-CN"/>
        </w:rPr>
        <w:t>31</w:t>
      </w:r>
      <w:r>
        <w:rPr>
          <w:rFonts w:hint="eastAsia" w:ascii="Times New Roman" w:hAnsi="Times New Roman" w:eastAsia="仿宋_GB2312" w:cs="仿宋"/>
          <w:color w:val="auto"/>
          <w:sz w:val="32"/>
          <w:szCs w:val="32"/>
        </w:rPr>
        <w:t>日，全县行政执法人员总数达1213人，较去年增长15.85%。持续强化执法人员资质管理，严格准入门槛，定期审查资格条件，及时清理不符合要求人员，保障执法队伍纯洁性与专业性。</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（二）深化“三项制度”落实，推行柔性执法</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行政执法公示方面，各单位依托融安县人民政府门户网站、政务服务中心公示栏等平台，全面、及时公开执法信息，行政处罚、行政许可等执法决定公示率达100%；依法公示行政处罚裁量权基准，并按要求动态调整。执法全过程记录制度进一步完善，各执法单位配齐执法记录仪、录音笔等设备，实现执法过程音像记录全覆盖，日常巡查及案件办理中执法人员全程开启执法设备，确保执法过程可回溯。重大执法决定法制审核持续强化，各行政执法单位明确法制审核机构与人员，不断细化审核标准。</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深入落实“谁执法谁普法”责任制，推进柔性执法。通过开展法律进企业、进社区、进乡村等活动，增强群众法治意识；执法过程中广泛运用说服教育、劝导示范等柔性方式，2025年免予处罚案件达9015件，行政罚没收入减少1591</w:t>
      </w:r>
      <w:r>
        <w:rPr>
          <w:rFonts w:hint="eastAsia" w:ascii="Times New Roman" w:hAnsi="Times New Roman" w:eastAsia="仿宋_GB2312" w:cs="仿宋"/>
          <w:color w:val="auto"/>
          <w:sz w:val="32"/>
          <w:szCs w:val="32"/>
          <w:lang w:eastAsia="zh-CN"/>
        </w:rPr>
        <w:t>万</w:t>
      </w:r>
      <w:r>
        <w:rPr>
          <w:rFonts w:hint="eastAsia" w:ascii="Times New Roman" w:hAnsi="Times New Roman" w:eastAsia="仿宋_GB2312" w:cs="仿宋"/>
          <w:color w:val="auto"/>
          <w:sz w:val="32"/>
          <w:szCs w:val="32"/>
        </w:rPr>
        <w:t>元，同比下降43.74%</w:t>
      </w:r>
      <w:r>
        <w:rPr>
          <w:rFonts w:hint="eastAsia" w:ascii="Times New Roman" w:hAnsi="Times New Roman" w:eastAsia="仿宋_GB2312" w:cs="仿宋"/>
          <w:color w:val="auto"/>
          <w:sz w:val="32"/>
          <w:szCs w:val="32"/>
          <w:lang w:eastAsia="zh-CN"/>
        </w:rPr>
        <w:t>，</w:t>
      </w:r>
      <w:r>
        <w:rPr>
          <w:rFonts w:hint="eastAsia" w:ascii="Times New Roman" w:hAnsi="Times New Roman" w:eastAsia="仿宋_GB2312" w:cs="仿宋"/>
          <w:color w:val="auto"/>
          <w:sz w:val="32"/>
          <w:szCs w:val="32"/>
        </w:rPr>
        <w:t>实现执法既有力度又有温度。</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（三）深入推进“扫码入企”监管模式</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紧扣数字化改革主线，以提升跨部门综合监管效能为核心，推动各行政执法单位全面入驻“广西事中事后监管平台”。印发专项工作通知3份、召开专题部署推进会1场，督促各单位完成平台注册，组织一线执法人员开展信息集中录入与资质线上核验，推动执法人员完成“智桂通”公职人员认证，全面落地“扫码入企”监管模式。截至目前，开展跨部门联合检查152次，实现从“分头上门、重复核查”向“一次扫码、协同处置”转变，有效减少对企业正常生产经营的干扰，提升监管精准性与执法规范性，打通综合监管服务“最后一公里”，为县域“农转工”发展筑牢数字底座。</w:t>
      </w:r>
    </w:p>
    <w:p>
      <w:pPr>
        <w:ind w:firstLine="640" w:firstLineChars="200"/>
        <w:rPr>
          <w:rFonts w:hint="eastAsia" w:ascii="Times New Roman" w:hAnsi="Times New Roman" w:eastAsia="黑体" w:cs="黑体"/>
          <w:b w:val="0"/>
          <w:bCs w:val="0"/>
          <w:color w:val="auto"/>
          <w:sz w:val="32"/>
          <w:szCs w:val="32"/>
        </w:rPr>
      </w:pPr>
      <w:bookmarkStart w:id="1" w:name="OLE_LINK7"/>
      <w:r>
        <w:rPr>
          <w:rFonts w:hint="eastAsia" w:ascii="Times New Roman" w:hAnsi="Times New Roman" w:eastAsia="黑体" w:cs="黑体"/>
          <w:b w:val="0"/>
          <w:bCs w:val="0"/>
          <w:color w:val="auto"/>
          <w:sz w:val="32"/>
          <w:szCs w:val="32"/>
        </w:rPr>
        <w:t>五、健全突发事件应对体系，提升依法处置能力</w:t>
      </w:r>
    </w:p>
    <w:bookmarkEnd w:id="1"/>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（一）完善应急预案体系</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修订《融安县自然灾害救助应急预案（2025年修订）》，进一步明确灾害救助流程、部门职责及响应机制，提升预案科学性与可操作性，为高效处置自然灾害提供制度遵循。</w:t>
      </w:r>
      <w:r>
        <w:rPr>
          <w:rFonts w:hint="eastAsia" w:ascii="Times New Roman" w:hAnsi="Times New Roman" w:eastAsia="仿宋_GB2312" w:cs="仿宋"/>
          <w:color w:val="auto"/>
          <w:sz w:val="32"/>
          <w:szCs w:val="32"/>
          <w:lang w:eastAsia="zh-CN"/>
        </w:rPr>
        <w:t>制定</w:t>
      </w:r>
      <w:r>
        <w:rPr>
          <w:rFonts w:hint="eastAsia" w:ascii="Times New Roman" w:hAnsi="Times New Roman" w:eastAsia="仿宋_GB2312" w:cs="仿宋"/>
          <w:color w:val="auto"/>
          <w:sz w:val="32"/>
          <w:szCs w:val="32"/>
        </w:rPr>
        <w:t>融安县2025年安全生产监督检查计划，围绕安全生产治本攻坚三年行动重点任务，明确检查范围、频次及责任分工，确保执法工作靶向精准、有序开展，从源头防范安全风险。</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（二）深化专项执法行动</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保持“打非治违”高压态势，聚焦非法经营、储存成品油等突出问题，加大日常巡查与突击检查力度，强化多部门联合执法，严厉打击各类违法违规行为，切实维护公共安全秩序。</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（三）开展精准普法实践</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在安全生产检查、窗口服务等工作中嵌入普法环节，针对企业负责人、一线操作人员等不同群体开展“滴灌式”普法，讲解安全生产法律法规及应急处置知识，提升普法针对性与实效性。</w:t>
      </w:r>
    </w:p>
    <w:p>
      <w:pPr>
        <w:ind w:firstLine="640" w:firstLineChars="200"/>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六、依法化解社会矛盾纠纷，促进社会和谐稳定</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（一）完善</w:t>
      </w:r>
      <w:r>
        <w:rPr>
          <w:rFonts w:hint="eastAsia" w:ascii="楷体_GB2312" w:hAnsi="楷体_GB2312" w:eastAsia="楷体_GB2312" w:cs="楷体_GB2312"/>
          <w:color w:val="auto"/>
          <w:sz w:val="32"/>
          <w:szCs w:val="32"/>
          <w:lang w:val="en-US" w:eastAsia="zh-CN"/>
        </w:rPr>
        <w:t>矛盾纠纷</w:t>
      </w:r>
      <w:r>
        <w:rPr>
          <w:rFonts w:hint="eastAsia" w:ascii="楷体_GB2312" w:hAnsi="楷体_GB2312" w:eastAsia="楷体_GB2312" w:cs="楷体_GB2312"/>
          <w:color w:val="auto"/>
          <w:sz w:val="32"/>
          <w:szCs w:val="32"/>
        </w:rPr>
        <w:t>多元化解机制</w:t>
      </w:r>
    </w:p>
    <w:p>
      <w:pPr>
        <w:ind w:firstLine="640" w:firstLineChars="200"/>
        <w:rPr>
          <w:rFonts w:hint="eastAsia" w:ascii="Times New Roman" w:hAnsi="Times New Roman" w:eastAsia="仿宋_GB2312" w:cs="仿宋"/>
          <w:color w:val="auto"/>
          <w:sz w:val="32"/>
          <w:szCs w:val="32"/>
          <w:lang w:val="en-US" w:eastAsia="zh-CN"/>
        </w:rPr>
      </w:pPr>
      <w:r>
        <w:rPr>
          <w:rFonts w:hint="eastAsia" w:ascii="Times New Roman" w:hAnsi="Times New Roman" w:eastAsia="仿宋_GB2312" w:cs="仿宋"/>
          <w:color w:val="auto"/>
          <w:sz w:val="32"/>
          <w:szCs w:val="32"/>
        </w:rPr>
        <w:t>坚持和发展新时代“枫桥经验”，推行“321”矛盾纠纷化解工作机制。全县现有人民调解组织164个、调解员687名，其中乡镇调解委员会12个、村（社区）调解委员会148个、行业性专业性人民调解委员会4个。建立民间矛盾纠纷排查调解制度，村（社区）人民调解委员会每月排查2次，乡镇人民调解委员会每月排查1次，特殊时段、专项行动期间每日排查，确保矛盾纠纷早发现、早化解，筑牢基层“第一道防线”。</w:t>
      </w:r>
      <w:r>
        <w:rPr>
          <w:rFonts w:hint="eastAsia" w:ascii="Times New Roman" w:hAnsi="Times New Roman" w:eastAsia="仿宋_GB2312" w:cs="仿宋"/>
          <w:color w:val="auto"/>
          <w:sz w:val="32"/>
          <w:szCs w:val="32"/>
          <w:lang w:val="zh-CN" w:eastAsia="zh-CN"/>
        </w:rPr>
        <w:t>2025年1－12月，全县共排查各类矛盾纠纷1846件，调处1846件，调结1761件，调结率95.39%。</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（二）强化行政复议主渠道作用</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持续深化行政复议体制改革，畅通受理渠道，优化审理程序，强化行政行为监督，倒逼依法行政。践行便民为民理念，加强队伍能力建设，进一步发挥行政复议化解行政争议主渠道作用。截至2025年</w:t>
      </w:r>
      <w:r>
        <w:rPr>
          <w:rFonts w:hint="eastAsia" w:ascii="Times New Roman" w:hAnsi="Times New Roman" w:eastAsia="仿宋_GB2312" w:cs="仿宋"/>
          <w:color w:val="auto"/>
          <w:sz w:val="32"/>
          <w:szCs w:val="32"/>
          <w:lang w:val="en-US" w:eastAsia="zh-CN"/>
        </w:rPr>
        <w:t>12</w:t>
      </w:r>
      <w:r>
        <w:rPr>
          <w:rFonts w:hint="eastAsia" w:ascii="Times New Roman" w:hAnsi="Times New Roman" w:eastAsia="仿宋_GB2312" w:cs="仿宋"/>
          <w:color w:val="auto"/>
          <w:sz w:val="32"/>
          <w:szCs w:val="32"/>
        </w:rPr>
        <w:t>月</w:t>
      </w:r>
      <w:r>
        <w:rPr>
          <w:rFonts w:hint="eastAsia" w:ascii="Times New Roman" w:hAnsi="Times New Roman" w:eastAsia="仿宋_GB2312" w:cs="仿宋"/>
          <w:color w:val="auto"/>
          <w:sz w:val="32"/>
          <w:szCs w:val="32"/>
          <w:lang w:val="en-US" w:eastAsia="zh-CN"/>
        </w:rPr>
        <w:t>31</w:t>
      </w:r>
      <w:r>
        <w:rPr>
          <w:rFonts w:hint="eastAsia" w:ascii="Times New Roman" w:hAnsi="Times New Roman" w:eastAsia="仿宋_GB2312" w:cs="仿宋"/>
          <w:color w:val="auto"/>
          <w:sz w:val="32"/>
          <w:szCs w:val="32"/>
        </w:rPr>
        <w:t>日，县政府共收到行政复议申请</w:t>
      </w:r>
      <w:r>
        <w:rPr>
          <w:rFonts w:hint="eastAsia" w:ascii="Times New Roman" w:hAnsi="Times New Roman" w:eastAsia="仿宋_GB2312" w:cs="仿宋"/>
          <w:color w:val="auto"/>
          <w:sz w:val="32"/>
          <w:szCs w:val="32"/>
          <w:lang w:val="en-US" w:eastAsia="zh-CN"/>
        </w:rPr>
        <w:t>66</w:t>
      </w:r>
      <w:r>
        <w:rPr>
          <w:rFonts w:hint="eastAsia" w:ascii="Times New Roman" w:hAnsi="Times New Roman" w:eastAsia="仿宋_GB2312" w:cs="仿宋"/>
          <w:color w:val="auto"/>
          <w:sz w:val="32"/>
          <w:szCs w:val="32"/>
        </w:rPr>
        <w:t>件，其中受理</w:t>
      </w:r>
      <w:r>
        <w:rPr>
          <w:rFonts w:hint="eastAsia" w:ascii="Times New Roman" w:hAnsi="Times New Roman" w:eastAsia="仿宋_GB2312" w:cs="仿宋"/>
          <w:color w:val="auto"/>
          <w:sz w:val="32"/>
          <w:szCs w:val="32"/>
          <w:lang w:val="en-US" w:eastAsia="zh-CN"/>
        </w:rPr>
        <w:t>35</w:t>
      </w:r>
      <w:r>
        <w:rPr>
          <w:rFonts w:hint="eastAsia" w:ascii="Times New Roman" w:hAnsi="Times New Roman" w:eastAsia="仿宋_GB2312" w:cs="仿宋"/>
          <w:color w:val="auto"/>
          <w:sz w:val="32"/>
          <w:szCs w:val="32"/>
        </w:rPr>
        <w:t>件、不予受理</w:t>
      </w:r>
      <w:r>
        <w:rPr>
          <w:rFonts w:hint="eastAsia" w:ascii="Times New Roman" w:hAnsi="Times New Roman" w:eastAsia="仿宋_GB2312" w:cs="仿宋"/>
          <w:color w:val="auto"/>
          <w:sz w:val="32"/>
          <w:szCs w:val="32"/>
          <w:lang w:val="en-US" w:eastAsia="zh-CN"/>
        </w:rPr>
        <w:t>20</w:t>
      </w:r>
      <w:r>
        <w:rPr>
          <w:rFonts w:hint="eastAsia" w:ascii="Times New Roman" w:hAnsi="Times New Roman" w:eastAsia="仿宋_GB2312" w:cs="仿宋"/>
          <w:color w:val="auto"/>
          <w:sz w:val="32"/>
          <w:szCs w:val="32"/>
        </w:rPr>
        <w:t>件、案前调解</w:t>
      </w:r>
      <w:r>
        <w:rPr>
          <w:rFonts w:hint="eastAsia" w:ascii="Times New Roman" w:hAnsi="Times New Roman" w:eastAsia="仿宋_GB2312" w:cs="仿宋"/>
          <w:color w:val="auto"/>
          <w:sz w:val="32"/>
          <w:szCs w:val="32"/>
          <w:lang w:val="en-US" w:eastAsia="zh-CN"/>
        </w:rPr>
        <w:t>10</w:t>
      </w:r>
      <w:r>
        <w:rPr>
          <w:rFonts w:hint="eastAsia" w:ascii="Times New Roman" w:hAnsi="Times New Roman" w:eastAsia="仿宋_GB2312" w:cs="仿宋"/>
          <w:color w:val="auto"/>
          <w:sz w:val="32"/>
          <w:szCs w:val="32"/>
        </w:rPr>
        <w:t>件、逾期未补正材料自愿放弃申请1件；已审结</w:t>
      </w:r>
      <w:r>
        <w:rPr>
          <w:rFonts w:hint="eastAsia" w:ascii="Times New Roman" w:hAnsi="Times New Roman" w:eastAsia="仿宋_GB2312" w:cs="仿宋"/>
          <w:color w:val="auto"/>
          <w:sz w:val="32"/>
          <w:szCs w:val="32"/>
          <w:lang w:val="en-US" w:eastAsia="zh-CN"/>
        </w:rPr>
        <w:t>30</w:t>
      </w:r>
      <w:r>
        <w:rPr>
          <w:rFonts w:hint="eastAsia" w:ascii="Times New Roman" w:hAnsi="Times New Roman" w:eastAsia="仿宋_GB2312" w:cs="仿宋"/>
          <w:color w:val="auto"/>
          <w:sz w:val="32"/>
          <w:szCs w:val="32"/>
        </w:rPr>
        <w:t>件（含2024年度结转3件），通过撤销、变更、确认违法等方式直接纠错2件，直接纠错率</w:t>
      </w:r>
      <w:r>
        <w:rPr>
          <w:rFonts w:hint="eastAsia" w:ascii="Times New Roman" w:hAnsi="Times New Roman" w:eastAsia="仿宋_GB2312" w:cs="仿宋"/>
          <w:color w:val="auto"/>
          <w:sz w:val="32"/>
          <w:szCs w:val="32"/>
          <w:lang w:val="en-US" w:eastAsia="zh-CN"/>
        </w:rPr>
        <w:t>6.67</w:t>
      </w:r>
      <w:r>
        <w:rPr>
          <w:rFonts w:hint="eastAsia" w:ascii="Times New Roman" w:hAnsi="Times New Roman" w:eastAsia="仿宋_GB2312" w:cs="仿宋"/>
          <w:color w:val="auto"/>
          <w:sz w:val="32"/>
          <w:szCs w:val="32"/>
        </w:rPr>
        <w:t>%；调解和解</w:t>
      </w:r>
      <w:r>
        <w:rPr>
          <w:rFonts w:hint="eastAsia" w:ascii="Times New Roman" w:hAnsi="Times New Roman" w:eastAsia="仿宋_GB2312" w:cs="仿宋"/>
          <w:color w:val="auto"/>
          <w:sz w:val="32"/>
          <w:szCs w:val="32"/>
          <w:lang w:val="en-US" w:eastAsia="zh-CN"/>
        </w:rPr>
        <w:t>22</w:t>
      </w:r>
      <w:r>
        <w:rPr>
          <w:rFonts w:hint="eastAsia" w:ascii="Times New Roman" w:hAnsi="Times New Roman" w:eastAsia="仿宋_GB2312" w:cs="仿宋"/>
          <w:color w:val="auto"/>
          <w:sz w:val="32"/>
          <w:szCs w:val="32"/>
        </w:rPr>
        <w:t>件（含案前调解），调解和解率5</w:t>
      </w:r>
      <w:r>
        <w:rPr>
          <w:rFonts w:hint="eastAsia" w:ascii="Times New Roman" w:hAnsi="Times New Roman" w:eastAsia="仿宋_GB2312" w:cs="仿宋"/>
          <w:color w:val="auto"/>
          <w:sz w:val="32"/>
          <w:szCs w:val="32"/>
          <w:lang w:val="en-US" w:eastAsia="zh-CN"/>
        </w:rPr>
        <w:t>5</w:t>
      </w:r>
      <w:r>
        <w:rPr>
          <w:rFonts w:hint="eastAsia" w:ascii="Times New Roman" w:hAnsi="Times New Roman" w:eastAsia="仿宋_GB2312" w:cs="仿宋"/>
          <w:color w:val="auto"/>
          <w:sz w:val="32"/>
          <w:szCs w:val="32"/>
        </w:rPr>
        <w:t>%，实现法律效果与社会效果统一。全年复议后被诉7件，复议后败诉0件；收到涉企行政复议申请3件，其中受理2件、不予受理1件。</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（三）全面推进“融议心安”协商模式</w:t>
      </w:r>
    </w:p>
    <w:p>
      <w:pPr>
        <w:ind w:firstLine="640" w:firstLineChars="200"/>
        <w:rPr>
          <w:rFonts w:hint="eastAsia" w:ascii="Times New Roman" w:hAnsi="Times New Roman" w:eastAsia="仿宋_GB2312" w:cs="仿宋"/>
          <w:color w:val="auto"/>
          <w:sz w:val="32"/>
          <w:szCs w:val="32"/>
          <w:lang w:eastAsia="zh-CN"/>
        </w:rPr>
      </w:pPr>
      <w:bookmarkStart w:id="2" w:name="OLE_LINK4"/>
      <w:r>
        <w:rPr>
          <w:rFonts w:hint="eastAsia" w:ascii="Times New Roman" w:hAnsi="Times New Roman" w:eastAsia="仿宋_GB2312" w:cs="仿宋"/>
          <w:color w:val="auto"/>
          <w:sz w:val="32"/>
          <w:szCs w:val="32"/>
        </w:rPr>
        <w:t>创新基层协商民主形式，完善村民议事协商机制，</w:t>
      </w:r>
      <w:r>
        <w:rPr>
          <w:rFonts w:hint="eastAsia" w:ascii="Times New Roman" w:hAnsi="Times New Roman" w:eastAsia="仿宋_GB2312" w:cs="仿宋"/>
          <w:color w:val="auto"/>
          <w:sz w:val="32"/>
          <w:szCs w:val="32"/>
          <w:lang w:eastAsia="zh-CN"/>
        </w:rPr>
        <w:t>持续推进</w:t>
      </w:r>
      <w:r>
        <w:rPr>
          <w:rFonts w:hint="eastAsia" w:ascii="Times New Roman" w:hAnsi="Times New Roman" w:eastAsia="仿宋_GB2312" w:cs="仿宋"/>
          <w:color w:val="auto"/>
          <w:sz w:val="32"/>
          <w:szCs w:val="32"/>
        </w:rPr>
        <w:t>“融议心安”村级议事协商品牌</w:t>
      </w:r>
      <w:r>
        <w:rPr>
          <w:rFonts w:hint="eastAsia" w:ascii="Times New Roman" w:hAnsi="Times New Roman" w:eastAsia="仿宋_GB2312" w:cs="仿宋"/>
          <w:color w:val="auto"/>
          <w:sz w:val="32"/>
          <w:szCs w:val="32"/>
          <w:lang w:eastAsia="zh-CN"/>
        </w:rPr>
        <w:t>建设</w:t>
      </w:r>
      <w:r>
        <w:rPr>
          <w:rFonts w:hint="eastAsia" w:ascii="Times New Roman" w:hAnsi="Times New Roman" w:eastAsia="仿宋_GB2312" w:cs="仿宋"/>
          <w:color w:val="auto"/>
          <w:sz w:val="32"/>
          <w:szCs w:val="32"/>
        </w:rPr>
        <w:t>，推行“五个一”工作机制，推动基层党组织建设与村民自治深度融合。全县1</w:t>
      </w:r>
      <w:r>
        <w:rPr>
          <w:rFonts w:hint="eastAsia" w:ascii="Times New Roman" w:hAnsi="Times New Roman" w:eastAsia="仿宋_GB2312" w:cs="仿宋"/>
          <w:color w:val="auto"/>
          <w:sz w:val="32"/>
          <w:szCs w:val="32"/>
          <w:lang w:val="en-US" w:eastAsia="zh-CN"/>
        </w:rPr>
        <w:t>234</w:t>
      </w:r>
      <w:r>
        <w:rPr>
          <w:rFonts w:hint="eastAsia" w:ascii="Times New Roman" w:hAnsi="Times New Roman" w:eastAsia="仿宋_GB2312" w:cs="仿宋"/>
          <w:color w:val="auto"/>
          <w:sz w:val="32"/>
          <w:szCs w:val="32"/>
        </w:rPr>
        <w:t>个屯组开展议事协商，覆盖率达</w:t>
      </w:r>
      <w:r>
        <w:rPr>
          <w:rFonts w:hint="eastAsia" w:ascii="Times New Roman" w:hAnsi="Times New Roman" w:eastAsia="仿宋_GB2312" w:cs="仿宋"/>
          <w:color w:val="auto"/>
          <w:sz w:val="32"/>
          <w:szCs w:val="32"/>
          <w:lang w:val="en-US" w:eastAsia="zh-CN"/>
        </w:rPr>
        <w:t>99.52</w:t>
      </w:r>
      <w:r>
        <w:rPr>
          <w:rFonts w:hint="eastAsia" w:ascii="Times New Roman" w:hAnsi="Times New Roman" w:eastAsia="仿宋_GB2312" w:cs="仿宋"/>
          <w:color w:val="auto"/>
          <w:sz w:val="32"/>
          <w:szCs w:val="32"/>
        </w:rPr>
        <w:t>%，依托561个微阵地、2308个微公约、1676支微防控队伍，营造自治、法治、德治“三治融合”氛围，实现“矛盾不出网格、小事不出村、大事不出乡镇”治理目标。</w:t>
      </w:r>
      <w:bookmarkStart w:id="3" w:name="OLE_LINK9"/>
      <w:r>
        <w:rPr>
          <w:rFonts w:hint="eastAsia" w:ascii="Times New Roman" w:hAnsi="Times New Roman" w:eastAsia="仿宋_GB2312" w:cs="仿宋"/>
          <w:color w:val="auto"/>
          <w:sz w:val="32"/>
          <w:szCs w:val="32"/>
        </w:rPr>
        <w:t>2025年以来，通过“融议心安”村级议事协商组织</w:t>
      </w:r>
      <w:r>
        <w:rPr>
          <w:rFonts w:hint="eastAsia" w:ascii="仿宋_GB2312" w:hAnsi="仿宋_GB2312" w:eastAsia="仿宋_GB2312" w:cs="仿宋_GB2312"/>
          <w:color w:val="auto"/>
          <w:sz w:val="32"/>
          <w:szCs w:val="32"/>
        </w:rPr>
        <w:t>办结群众议题400余件，预防化解矛盾</w:t>
      </w:r>
      <w:r>
        <w:rPr>
          <w:rFonts w:hint="eastAsia" w:ascii="仿宋_GB2312" w:hAnsi="仿宋_GB2312" w:eastAsia="仿宋_GB2312" w:cs="仿宋_GB2312"/>
          <w:color w:val="auto"/>
          <w:sz w:val="32"/>
          <w:szCs w:val="32"/>
          <w:lang w:eastAsia="zh-CN"/>
        </w:rPr>
        <w:t>纠纷</w:t>
      </w:r>
      <w:r>
        <w:rPr>
          <w:rFonts w:hint="eastAsia" w:ascii="仿宋_GB2312" w:hAnsi="仿宋_GB2312" w:eastAsia="仿宋_GB2312" w:cs="仿宋_GB2312"/>
          <w:color w:val="auto"/>
          <w:sz w:val="32"/>
          <w:szCs w:val="32"/>
        </w:rPr>
        <w:t>360余起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“融议心安”议事协商模式入选2025年度全区党建引领基层治理典型案例，</w:t>
      </w:r>
      <w:bookmarkEnd w:id="3"/>
      <w:r>
        <w:rPr>
          <w:rFonts w:hint="eastAsia" w:ascii="仿宋_GB2312" w:hAnsi="仿宋_GB2312" w:eastAsia="仿宋_GB2312" w:cs="仿宋_GB2312"/>
          <w:color w:val="auto"/>
          <w:sz w:val="32"/>
          <w:szCs w:val="32"/>
        </w:rPr>
        <w:t>柳州市村级议事协商工作现场观摩暨动员部署会在融安顺利召开。</w:t>
      </w:r>
    </w:p>
    <w:bookmarkEnd w:id="2"/>
    <w:p>
      <w:pPr>
        <w:ind w:firstLine="640" w:firstLineChars="200"/>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七、健全权力制约监督体系，深化政务公开</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（一）自觉接受多元监督</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推动人大监督、民主监督、行政监督、监察监督、司法监督、群众监督、舆论监督有机贯通、相互协调。县政府每年年初主动向县人大及其常委会报告法治政府建设工作，自觉接受政协民主监督，加强与人大代表、政协委员沟通联系，充分听取意见建议。2025年累计办理人大代表建议33件、政协提案6件，满意率达100%。</w:t>
      </w:r>
      <w:bookmarkStart w:id="4" w:name="OLE_LINK5"/>
    </w:p>
    <w:bookmarkEnd w:id="4"/>
    <w:p>
      <w:pPr>
        <w:ind w:firstLine="640" w:firstLineChars="200"/>
        <w:rPr>
          <w:rFonts w:hint="eastAsia" w:ascii="楷体_GB2312" w:hAnsi="楷体_GB2312" w:eastAsia="楷体_GB2312" w:cs="楷体_GB2312"/>
          <w:color w:val="auto"/>
          <w:sz w:val="32"/>
          <w:szCs w:val="32"/>
        </w:rPr>
      </w:pPr>
      <w:bookmarkStart w:id="5" w:name="OLE_LINK8"/>
      <w:r>
        <w:rPr>
          <w:rFonts w:hint="eastAsia" w:ascii="楷体_GB2312" w:hAnsi="楷体_GB2312" w:eastAsia="楷体_GB2312" w:cs="楷体_GB2312"/>
          <w:color w:val="auto"/>
          <w:sz w:val="32"/>
          <w:szCs w:val="32"/>
        </w:rPr>
        <w:t>（二）全面推进政务公开</w:t>
      </w:r>
    </w:p>
    <w:bookmarkEnd w:id="5"/>
    <w:p>
      <w:pPr>
        <w:ind w:firstLine="640" w:firstLineChars="200"/>
        <w:rPr>
          <w:rFonts w:hint="eastAsia" w:ascii="Times New Roman" w:hAnsi="Times New Roman" w:eastAsia="仿宋_GB2312" w:cs="仿宋"/>
          <w:color w:val="auto"/>
          <w:sz w:val="32"/>
          <w:szCs w:val="32"/>
          <w:highlight w:val="none"/>
        </w:rPr>
      </w:pPr>
      <w:r>
        <w:rPr>
          <w:rFonts w:hint="eastAsia" w:ascii="Times New Roman" w:hAnsi="Times New Roman" w:eastAsia="仿宋_GB2312" w:cs="仿宋"/>
          <w:color w:val="auto"/>
          <w:sz w:val="32"/>
          <w:szCs w:val="32"/>
          <w:highlight w:val="none"/>
        </w:rPr>
        <w:t>坚持“以公开为常态、不公开为例外”，依托政府门户网站主动公开各类政府信息5962条，</w:t>
      </w:r>
      <w:r>
        <w:rPr>
          <w:rFonts w:hint="eastAsia" w:ascii="Times New Roman" w:hAnsi="Times New Roman" w:eastAsia="仿宋_GB2312" w:cs="仿宋"/>
          <w:color w:val="auto"/>
          <w:sz w:val="32"/>
          <w:szCs w:val="32"/>
          <w:highlight w:val="none"/>
        </w:rPr>
        <w:t>及时回应社会关切。提高政府信息公开在线申办覆盖率，为公众依法获取政府信息提供便利，办理政府信息公开申请20件，按时办结率100%。</w:t>
      </w:r>
      <w:r>
        <w:rPr>
          <w:rFonts w:hint="eastAsia" w:ascii="Times New Roman" w:hAnsi="Times New Roman" w:eastAsia="仿宋_GB2312" w:cs="仿宋"/>
          <w:color w:val="auto"/>
          <w:sz w:val="32"/>
          <w:szCs w:val="32"/>
          <w:highlight w:val="none"/>
        </w:rPr>
        <w:t>提档升级门户网站智能化水平，搭建县、乡、村三级信息公开平台，将政务信息和政策解读延伸至村务公开“最后一公里”。</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（三）强化行政执法制约监督</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开展行政执法案卷评查，2025年评查案卷22件，涵盖市场监管、交通运输、农业农村等重点领域，评选优秀案卷10件、合格案卷12件，形成评查报告，指出问题并提出整改建议，指导</w:t>
      </w:r>
      <w:bookmarkStart w:id="6" w:name="OLE_LINK1"/>
      <w:r>
        <w:rPr>
          <w:rFonts w:hint="eastAsia" w:ascii="Times New Roman" w:hAnsi="Times New Roman" w:eastAsia="仿宋_GB2312" w:cs="仿宋"/>
          <w:color w:val="auto"/>
          <w:sz w:val="32"/>
          <w:szCs w:val="32"/>
        </w:rPr>
        <w:t>执法部门规范执法。</w:t>
      </w:r>
      <w:bookmarkEnd w:id="6"/>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高位推动规范涉企行政执法专项行动，成立专项工作专班，印发系列实施方案与职责文件，通过多层级会议部署、领导调研督导压实责任。推行包容审慎柔性执法，落实“首违不罚、轻微免罚”清单，规范行政检查流程与案卷管理；通过8类多维度渠道拓宽线索来源，对19项涉企执法问题制发9份行政执法监督建议书及1份意见书推动全量整改；深化“万所联万会”等精准服务，搭建多渠道法律服务网，优化涉企案件办理机制。健全3项长效制度，建立重大案件联合审查、执法信息共享等机制，组建45人行政执法监督员队伍，深化跨部门交叉互查与责任追究，向纪检监察机关移交问题线索5起。通过“规范执法+精准服务+长效监督”协同发力，2025年行政免罚案件占比36.84%、行政处罚案件数同比下降37.72%、新登记经营主体同比增长26.5%，以法治护航县域经济高质量发展。</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完善社会监督体系，公开选聘28名涵盖党代表、人大代表、政协委员、基层群众等社会各界力量的社会监督员，明确其监督履职、传递民意、宣传政策的核心职责，监督范围覆盖行政执法、公共服务等重点领域，构建广泛参与、多元共治的社会监督格局。</w:t>
      </w:r>
    </w:p>
    <w:p>
      <w:pPr>
        <w:ind w:firstLine="640" w:firstLineChars="200"/>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八、深化“八五”普法与数字法治建设</w:t>
      </w:r>
    </w:p>
    <w:p>
      <w:pPr>
        <w:ind w:firstLine="640" w:firstLineChars="200"/>
        <w:rPr>
          <w:rFonts w:hint="eastAsia" w:ascii="楷体_GB2312" w:hAnsi="楷体_GB2312" w:eastAsia="楷体_GB2312" w:cs="楷体_GB2312"/>
          <w:color w:val="auto"/>
          <w:sz w:val="32"/>
          <w:szCs w:val="32"/>
        </w:rPr>
      </w:pPr>
      <w:bookmarkStart w:id="7" w:name="OLE_LINK2"/>
      <w:r>
        <w:rPr>
          <w:rFonts w:hint="eastAsia" w:ascii="楷体_GB2312" w:hAnsi="楷体_GB2312" w:eastAsia="楷体_GB2312" w:cs="楷体_GB2312"/>
          <w:color w:val="auto"/>
          <w:sz w:val="32"/>
          <w:szCs w:val="32"/>
        </w:rPr>
        <w:t>（一）扎实开展普法宣传教育</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八五”普法实施以来，认真贯彻《广西壮族自治区法治宣传教育条例》及“八五”普法决议，以提升全社会法治素养为目标，围绕县域“十四五”发展规划，坚持以宪法宣传教育为统领，推进法治文化建设，强基础、抓重点、攻难点、创亮点，圆满完成“八五”普法各项工作目标任务。</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加强“法律明白人”队伍建设，重点培育村（社区）两委干部、人民调解员、网格员等群体，2025年培养“法律明白人”150</w:t>
      </w:r>
      <w:r>
        <w:rPr>
          <w:rFonts w:hint="eastAsia" w:ascii="Times New Roman" w:hAnsi="Times New Roman" w:eastAsia="仿宋_GB2312" w:cs="仿宋"/>
          <w:color w:val="auto"/>
          <w:sz w:val="32"/>
          <w:szCs w:val="32"/>
          <w:lang w:val="en-US" w:eastAsia="zh-CN"/>
        </w:rPr>
        <w:t>3</w:t>
      </w:r>
      <w:r>
        <w:rPr>
          <w:rFonts w:hint="eastAsia" w:ascii="Times New Roman" w:hAnsi="Times New Roman" w:eastAsia="仿宋_GB2312" w:cs="仿宋"/>
          <w:color w:val="auto"/>
          <w:sz w:val="32"/>
          <w:szCs w:val="32"/>
        </w:rPr>
        <w:t>名，平均每个村（社区）不少于10人，全县绝大部分乡镇完成“法律明白人”线上线下培训与考试。</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选优配强法治副校长队伍，从全县政法干警中择优为各中小学配备法治副校长49名，常态化开展法治警示教育，围绕国家安全教育、防范校园欺凌、禁毒等主题开展进校园</w:t>
      </w:r>
      <w:r>
        <w:rPr>
          <w:rFonts w:hint="eastAsia" w:ascii="Times New Roman" w:hAnsi="Times New Roman" w:eastAsia="仿宋_GB2312" w:cs="仿宋"/>
          <w:color w:val="auto"/>
          <w:sz w:val="32"/>
          <w:szCs w:val="32"/>
        </w:rPr>
        <w:t>活动100</w:t>
      </w:r>
      <w:r>
        <w:rPr>
          <w:rFonts w:hint="eastAsia" w:ascii="Times New Roman" w:hAnsi="Times New Roman" w:eastAsia="仿宋_GB2312" w:cs="仿宋"/>
          <w:color w:val="auto"/>
          <w:sz w:val="32"/>
          <w:szCs w:val="32"/>
          <w:lang w:val="en-US" w:eastAsia="zh-CN"/>
        </w:rPr>
        <w:t>余</w:t>
      </w:r>
      <w:r>
        <w:rPr>
          <w:rFonts w:hint="eastAsia" w:ascii="Times New Roman" w:hAnsi="Times New Roman" w:eastAsia="仿宋_GB2312" w:cs="仿宋"/>
          <w:color w:val="auto"/>
          <w:sz w:val="32"/>
          <w:szCs w:val="32"/>
        </w:rPr>
        <w:t>场次，惠及学生2万人次，提升学生法律意识与法治道德观念，加强未成年人权益保护与犯罪预防治理。</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深入开展“法律六进”活动，依托法治文化公园、广场、长廊等阵地，围绕土地流转、婚姻家庭、劳动权益等群众关切领域开展普法宣传，将法治文化元素融入公园广场、美丽乡村建设，实现“法”“景”融合。组织普法志愿者、法治文艺团体开展“民法典进乡村”“宪法‘六进’”等群众性法治文化活动，依托山歌、文场、彩调、三句半等地方曲艺形式开发法治文化产品，打造“法治三月三”“普法山歌大家唱”“法治文化惠民行”等特色品牌。全年开展各类法治宣传120余场次，出版法治宣传板报、墙报200余版（期），解答群众热点难点问题100余件，发放宣传资料25万余份，受教育人数达5万人次。</w:t>
      </w:r>
    </w:p>
    <w:bookmarkEnd w:id="7"/>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（二）推进数字法治政府建设</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以AI技术赋能普法工作，突破传统普法时空限制与形式壁垒，探索人工智能与司法、普法工作深度融合，让AI辅助学法、普法、用法走进百姓生活。开展“AI+辅助调解技能大比拼”活动，掀起AI普法热潮，全县政法、综治、信访等单位开展AI技能培训80余场次，培训干部职工、社区干部、村“法律明白人”2000余人。在“融安普法”微信公众号制作“看过来，AI普法啦”教程，手把手教授法律咨询、法律文书服务等AI普法应用，内容接地气、易操作，深受群众喜爱。</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推动人工智能与基层纠纷调处深度融合，将数字法治建设延伸至基层“神经末梢”，构建“数据驱动、智能高效、多元共治”的纠纷化解新生态。整合“三官一律”等专业力量，坚持“授人以鱼不如授人以渔”理念，推广DeepSeek、豆包等AI智能工具，引导群众在生产生活中通过AI查询矛盾解决路径，推动形成“办事依法、遇事找法、解决问题用法、化解矛盾靠法”的全民共识，实现基层治理从“经验驱动”向“数据智能”、“被动应对”向“主动预判”的跨越式转变，全年已有</w:t>
      </w:r>
      <w:r>
        <w:rPr>
          <w:rFonts w:hint="eastAsia" w:ascii="Times New Roman" w:hAnsi="Times New Roman" w:eastAsia="仿宋_GB2312" w:cs="仿宋"/>
          <w:color w:val="auto"/>
          <w:sz w:val="32"/>
          <w:szCs w:val="32"/>
          <w:lang w:val="en-US" w:eastAsia="zh-CN"/>
        </w:rPr>
        <w:t>10余</w:t>
      </w:r>
      <w:r>
        <w:rPr>
          <w:rFonts w:hint="eastAsia" w:ascii="Times New Roman" w:hAnsi="Times New Roman" w:eastAsia="仿宋_GB2312" w:cs="仿宋"/>
          <w:color w:val="auto"/>
          <w:sz w:val="32"/>
          <w:szCs w:val="32"/>
        </w:rPr>
        <w:t>起矛盾纠纷通过该方式圆满解决。</w:t>
      </w:r>
    </w:p>
    <w:p>
      <w:pPr>
        <w:ind w:firstLine="640" w:firstLineChars="200"/>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九、存在的不足</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（一）法治建设责任落实不均衡</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部分单位对法治政府建设重视不足，存在“重业务、轻法治”倾向，责任传导层层递减，与“全面落实法治建设责任”要求存在差距。</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（二）依法决策与执法规范化有待加强</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重大行政决策程序、政府合同审查不够规范，风险评估、专家论证等程序落实不到位；行政执法“三项制度”执行不够严格，存在程序违法、裁量权基准适用不精准等问题；乡镇行政执法规范化建设仍需持续推进。</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（三）数字法治赋能成效不显著</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政务数据共享不充分，“信息孤岛”未完全打破，“互联网+监管”系统应用深度不足；数字执法、智慧政务等数字化场景覆盖面较窄，未能有效支撑治理效能提升。</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（四）法治队伍与普法质效需提升</w:t>
      </w:r>
    </w:p>
    <w:p>
      <w:pPr>
        <w:ind w:firstLine="640" w:firstLineChars="200"/>
        <w:rPr>
          <w:rFonts w:hint="eastAsia" w:ascii="Times New Roman" w:hAnsi="Times New Roman" w:eastAsia="仿宋" w:cs="仿宋"/>
          <w:color w:val="auto"/>
          <w:sz w:val="32"/>
          <w:szCs w:val="32"/>
        </w:rPr>
      </w:pPr>
      <w:r>
        <w:rPr>
          <w:rFonts w:hint="eastAsia" w:ascii="Times New Roman" w:hAnsi="Times New Roman" w:eastAsia="仿宋_GB2312" w:cs="仿宋"/>
          <w:color w:val="auto"/>
          <w:sz w:val="32"/>
          <w:szCs w:val="32"/>
        </w:rPr>
        <w:t>基层法治专业人才短缺，干部运用法治思维解决复杂问题的能力有待加强；普法宣传经费保障不足，宣传形式与内容的创新性、针对性仍需优化。</w:t>
      </w:r>
    </w:p>
    <w:p>
      <w:pPr>
        <w:ind w:firstLine="640" w:firstLineChars="200"/>
        <w:rPr>
          <w:rFonts w:hint="eastAsia" w:ascii="Times New Roman" w:hAnsi="Times New Roman" w:eastAsia="黑体" w:cs="黑体"/>
          <w:color w:val="auto"/>
          <w:sz w:val="32"/>
          <w:szCs w:val="32"/>
        </w:rPr>
      </w:pPr>
      <w:r>
        <w:rPr>
          <w:rFonts w:hint="eastAsia" w:ascii="Times New Roman" w:hAnsi="Times New Roman" w:eastAsia="黑体" w:cs="黑体"/>
          <w:color w:val="auto"/>
          <w:sz w:val="32"/>
          <w:szCs w:val="32"/>
        </w:rPr>
        <w:t>十、下一年度主要工作安排</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紧扣党的二十届四中全会精神、“十五五”规划部署及数字法治政府建设要求，聚焦“法治运行体制更健全、公平正义更坚实、服务发展能力更突出”目标，重点推进以下工作：</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（一）压实法治建设责任，夯实制度根基</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将法治建设纳入“十五五”规划重点任务，与经济社会发展同部署、同考核；完善重大行政决策全流程规范，严格落实公众参与、专家论证、合法性审查等制度，编制并公开年度重大行政决策目录清单，确保决策于法有据。</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（二）深化执法规范化改革，守护公平正义</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严格落实行政规范性文件备案审查制度，健全涉企执法长效机制，坚决纠正行政执法突出问题；全面推进行政执法“三项制度”数字化升级，配齐执法记录仪等设备，实现执法全过程留痕可追溯；加强行政复议规范化建设，完善“听证+调解”工作模式，实质性化解行政争议。</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（三）推进数字法治赋能，提升治理效能</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构建“法治+政务+数字”三位一体格局，打通部门数据壁垒，实现政务数据共享开放全覆盖；升级“互联网+监管”平台，推动监管事项、执法人员、执法行为全量入库，运用大数据开展精准监管；打造智慧政务服务体系，实现95%以上政务服务事项“一网通办”“跨域通办”，以数字技术优化审批流程、规范行政行为。</w:t>
      </w:r>
    </w:p>
    <w:p>
      <w:pPr>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（四）建强法治工作队伍，厚植法治文化</w:t>
      </w:r>
    </w:p>
    <w:p>
      <w:pPr>
        <w:ind w:firstLine="640" w:firstLineChars="200"/>
        <w:rPr>
          <w:rFonts w:hint="eastAsia"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通过庭审旁听、专题培训等方式，提升领导干部和执法人员法治素养；壮大“法律明白人”队伍，深化法律顾问作用，推动法治服务向基层延伸；创新普法宣传模式，整合微信、抖音等新媒体平台，开展“法律六进”数字化活动，打造法治文化品牌，营造全社会崇法守法的良好氛围。</w:t>
      </w:r>
    </w:p>
    <w:p>
      <w:pPr>
        <w:ind w:firstLine="640" w:firstLineChars="200"/>
        <w:rPr>
          <w:rFonts w:hint="eastAsia" w:ascii="楷体_GB2312" w:hAnsi="楷体_GB2312" w:eastAsia="楷体_GB2312" w:cs="楷体_GB2312"/>
          <w:color w:val="auto"/>
          <w:sz w:val="32"/>
          <w:szCs w:val="32"/>
        </w:rPr>
      </w:pPr>
      <w:bookmarkStart w:id="8" w:name="OLE_LINK6"/>
      <w:r>
        <w:rPr>
          <w:rFonts w:hint="eastAsia" w:ascii="楷体_GB2312" w:hAnsi="楷体_GB2312" w:eastAsia="楷体_GB2312" w:cs="楷体_GB2312"/>
          <w:color w:val="auto"/>
          <w:sz w:val="32"/>
          <w:szCs w:val="32"/>
        </w:rPr>
        <w:t>（五）优化法治化营商环境，服务高质量发展</w:t>
      </w:r>
    </w:p>
    <w:p>
      <w:pPr>
        <w:ind w:firstLine="640" w:firstLineChars="200"/>
        <w:rPr>
          <w:rFonts w:hint="eastAsia" w:ascii="Times New Roman" w:hAnsi="Times New Roman" w:eastAsia="仿宋" w:cs="仿宋"/>
          <w:color w:val="auto"/>
          <w:sz w:val="32"/>
          <w:szCs w:val="32"/>
        </w:rPr>
      </w:pPr>
      <w:r>
        <w:rPr>
          <w:rFonts w:hint="eastAsia" w:ascii="仿宋_GB2312" w:hAnsi="仿宋_GB2312" w:eastAsia="仿宋_GB2312" w:cs="仿宋_GB2312"/>
          <w:color w:val="auto"/>
          <w:sz w:val="32"/>
          <w:szCs w:val="32"/>
        </w:rPr>
        <w:t>聚焦企业急难愁盼，推行涉企“柔性执法”“包容审慎监管”，减少不必要行政执法干预；建立企业法律需求快速响应机制，提高公共法律服务效能，为企业提供精准“法治体检”、纠纷化解等服务；将法治化营商环境建设成效纳入法治政府考核核心指标，定期开展企业满意度测评，持续提升市场主体获得感。</w:t>
      </w:r>
      <w:bookmarkEnd w:id="8"/>
    </w:p>
    <w:bookmarkEnd w:id="9"/>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763785"/>
    <w:rsid w:val="00D62B4C"/>
    <w:rsid w:val="03082909"/>
    <w:rsid w:val="06763785"/>
    <w:rsid w:val="08A04103"/>
    <w:rsid w:val="0F0B47BD"/>
    <w:rsid w:val="1387046E"/>
    <w:rsid w:val="149B5B87"/>
    <w:rsid w:val="1D552201"/>
    <w:rsid w:val="1DDA6D67"/>
    <w:rsid w:val="234F06FC"/>
    <w:rsid w:val="240065D0"/>
    <w:rsid w:val="26520CF1"/>
    <w:rsid w:val="28691527"/>
    <w:rsid w:val="293B4F18"/>
    <w:rsid w:val="2B275ED7"/>
    <w:rsid w:val="2EED0301"/>
    <w:rsid w:val="323E058A"/>
    <w:rsid w:val="331423DB"/>
    <w:rsid w:val="34F6771C"/>
    <w:rsid w:val="353F4299"/>
    <w:rsid w:val="36CA11F2"/>
    <w:rsid w:val="3BFF1AFF"/>
    <w:rsid w:val="465D17FF"/>
    <w:rsid w:val="498B21B5"/>
    <w:rsid w:val="4D3245B5"/>
    <w:rsid w:val="4FD7307A"/>
    <w:rsid w:val="52FB7C43"/>
    <w:rsid w:val="55FB3047"/>
    <w:rsid w:val="58032874"/>
    <w:rsid w:val="64F37A2C"/>
    <w:rsid w:val="6C157962"/>
    <w:rsid w:val="6D6A2812"/>
    <w:rsid w:val="702B4594"/>
    <w:rsid w:val="73D9089C"/>
    <w:rsid w:val="77CE269B"/>
    <w:rsid w:val="78543BF9"/>
    <w:rsid w:val="7BF42DEB"/>
    <w:rsid w:val="7D7E3E9C"/>
    <w:rsid w:val="7EA15ECD"/>
    <w:rsid w:val="7F0A046A"/>
    <w:rsid w:val="7F2E4837"/>
    <w:rsid w:val="7FBF76C5"/>
    <w:rsid w:val="B7B7EC6A"/>
    <w:rsid w:val="B7FC6729"/>
    <w:rsid w:val="E3FF5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8274</Words>
  <Characters>8532</Characters>
  <Lines>0</Lines>
  <Paragraphs>0</Paragraphs>
  <TotalTime>15</TotalTime>
  <ScaleCrop>false</ScaleCrop>
  <LinksUpToDate>false</LinksUpToDate>
  <CharactersWithSpaces>8935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2025-11-22T16:55:00Z</dcterms:created>
  <dc:creator>新革</dc:creator>
  <cp:lastModifiedBy>安心</cp:lastModifiedBy>
  <dcterms:modified xsi:type="dcterms:W3CDTF">2026-01-09T10:01:59Z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5E6FB31E70B6408B9E725DF13F425D7F</vt:lpwstr>
  </property>
  <property fmtid="{D5CDD505-2E9C-101B-9397-08002B2CF9AE}" pid="4" name="KSOTemplateDocerSaveRecord">
    <vt:lpwstr>eyJoZGlkIjoiNzViYmY5ZDRkODhiN2I3OTY1ZDE0N2JkMWI2M2VhY2EiLCJ1c2VySWQiOiIxMTc2ODYxNTY5In0=</vt:lpwstr>
  </property>
</Properties>
</file>