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50FF">
      <w:pPr>
        <w:spacing w:line="550" w:lineRule="exact"/>
        <w:jc w:val="center"/>
        <w:rPr>
          <w:rFonts w:hint="default" w:ascii="Times New Roman" w:hAnsi="Times New Roman" w:eastAsia="仿宋_GB2312" w:cs="Times New Roman"/>
          <w:color w:val="000000"/>
          <w:kern w:val="0"/>
          <w:sz w:val="32"/>
          <w:szCs w:val="32"/>
        </w:rPr>
      </w:pPr>
      <w:bookmarkStart w:id="0" w:name="_GoBack"/>
      <w:bookmarkEnd w:id="0"/>
      <w:r>
        <w:rPr>
          <w:rFonts w:hint="default" w:ascii="Times New Roman" w:hAnsi="Times New Roman" w:eastAsia="方正小标宋简体" w:cs="Times New Roman"/>
          <w:sz w:val="44"/>
          <w:szCs w:val="44"/>
        </w:rPr>
        <w:t>柳州市柳江区2025年法治政府建设年度报告</w:t>
      </w:r>
    </w:p>
    <w:p w14:paraId="6ED61CC2">
      <w:pPr>
        <w:spacing w:line="550" w:lineRule="exact"/>
        <w:ind w:firstLine="640" w:firstLineChars="200"/>
        <w:rPr>
          <w:rFonts w:hint="default" w:ascii="Times New Roman" w:hAnsi="Times New Roman" w:eastAsia="仿宋_GB2312" w:cs="Times New Roman"/>
          <w:color w:val="000000"/>
          <w:kern w:val="0"/>
          <w:sz w:val="32"/>
          <w:szCs w:val="32"/>
        </w:rPr>
      </w:pPr>
    </w:p>
    <w:p w14:paraId="08229FF4">
      <w:pPr>
        <w:spacing w:line="55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2025年，柳江区坚持以习近平新时代中国特色社会主义思想为指导，深入学习贯彻习近平法治思想，全面落实中央、自治区、柳州市关于法治政府建设的决策部署，以自治区法治建设“一规划两方案”为遵循，扎实推进各项工作，法治政府建设取得阶段性成效。现将主要情况报告如下：</w:t>
      </w:r>
    </w:p>
    <w:p w14:paraId="09EF42C7">
      <w:pPr>
        <w:pStyle w:val="2"/>
        <w:spacing w:line="550" w:lineRule="exact"/>
        <w:ind w:firstLine="64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一、2025年推进法治政府建设的主要举措和成效</w:t>
      </w:r>
    </w:p>
    <w:p w14:paraId="513C6EBC">
      <w:pPr>
        <w:spacing w:line="55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楷体_GB2312" w:cs="Times New Roman"/>
          <w:color w:val="000000"/>
          <w:kern w:val="0"/>
          <w:sz w:val="32"/>
          <w:szCs w:val="32"/>
        </w:rPr>
        <w:t>（一）强化政治引领，党对法治政府建设领导全面加强。</w:t>
      </w:r>
      <w:r>
        <w:rPr>
          <w:rFonts w:hint="default" w:ascii="Times New Roman" w:hAnsi="Times New Roman" w:eastAsia="仿宋_GB2312" w:cs="Times New Roman"/>
          <w:color w:val="000000"/>
          <w:kern w:val="0"/>
          <w:sz w:val="32"/>
          <w:szCs w:val="32"/>
        </w:rPr>
        <w:t>始终把学习宣传贯彻习近平法治思想作为首要政治任务，健全常态化学习机制。区委理论学习中心组开展专题学习4次，区委常委会、区政府常务会研究法治工作30余次，区四家班子领导带头学法用法，实现领导干部学法全覆盖。创新打造“红色法韵耀龙城</w:t>
      </w:r>
      <w:r>
        <w:rPr>
          <w:rFonts w:hint="default" w:ascii="Times New Roman" w:hAnsi="Times New Roman" w:eastAsia="微软雅黑" w:cs="Times New Roman"/>
          <w:color w:val="000000"/>
          <w:kern w:val="0"/>
          <w:sz w:val="32"/>
          <w:szCs w:val="32"/>
        </w:rPr>
        <w:t>・</w:t>
      </w:r>
      <w:r>
        <w:rPr>
          <w:rFonts w:hint="default" w:ascii="Times New Roman" w:hAnsi="Times New Roman" w:eastAsia="仿宋_GB2312" w:cs="Times New Roman"/>
          <w:color w:val="000000"/>
          <w:kern w:val="0"/>
          <w:sz w:val="32"/>
          <w:szCs w:val="32"/>
        </w:rPr>
        <w:t>‘典’亮创业新征程”等特色普法品牌，全年开展线下普法活动150余场，覆盖群众2万余人，线上推送法治内容300余条，阅读量超5.8万次。创新开展“现场述法+PPT展示+线上晾晒”专题述法评议，线上页面访问量达10.42万人次，参与评议累计3万人次，党政主要负责人法治建设第一责任人职责</w:t>
      </w:r>
      <w:r>
        <w:rPr>
          <w:rFonts w:hint="eastAsia" w:ascii="Times New Roman" w:hAnsi="Times New Roman" w:cs="Times New Roman"/>
          <w:color w:val="000000"/>
          <w:kern w:val="0"/>
          <w:sz w:val="32"/>
          <w:szCs w:val="32"/>
          <w:lang w:eastAsia="zh-CN"/>
        </w:rPr>
        <w:t>不断</w:t>
      </w:r>
      <w:r>
        <w:rPr>
          <w:rFonts w:hint="default" w:ascii="Times New Roman" w:hAnsi="Times New Roman" w:eastAsia="仿宋_GB2312" w:cs="Times New Roman"/>
          <w:color w:val="000000"/>
          <w:kern w:val="0"/>
          <w:sz w:val="32"/>
          <w:szCs w:val="32"/>
        </w:rPr>
        <w:t>压紧压实。</w:t>
      </w:r>
    </w:p>
    <w:p w14:paraId="78056909">
      <w:pPr>
        <w:pStyle w:val="2"/>
        <w:spacing w:line="550" w:lineRule="exact"/>
        <w:ind w:firstLine="640"/>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color w:val="000000"/>
          <w:kern w:val="0"/>
          <w:sz w:val="32"/>
          <w:szCs w:val="32"/>
        </w:rPr>
        <w:t>（二）深化改革赋能，法治化营商环境持续优化。</w:t>
      </w:r>
      <w:r>
        <w:rPr>
          <w:rFonts w:hint="default" w:ascii="Times New Roman" w:hAnsi="Times New Roman" w:eastAsia="仿宋_GB2312" w:cs="Times New Roman"/>
          <w:color w:val="000000"/>
          <w:kern w:val="0"/>
          <w:sz w:val="32"/>
          <w:szCs w:val="32"/>
        </w:rPr>
        <w:t>动态调整区政府权责清单，全面建立乡镇履职事项清单，理顺区镇两级权责关系。深化“放管服”改革，推行“证照分离”“一业一证”，升级区政务服务中心“一站式”功能，</w:t>
      </w:r>
      <w:r>
        <w:rPr>
          <w:rFonts w:hint="default" w:ascii="Times New Roman" w:hAnsi="Times New Roman" w:eastAsia="仿宋_GB2312" w:cs="Times New Roman"/>
          <w:sz w:val="32"/>
          <w:szCs w:val="32"/>
        </w:rPr>
        <w:t>通过全流程帮办代办将工程建设项目审批时长压缩17%，17个项目实现“拿地即开工”。</w:t>
      </w:r>
      <w:r>
        <w:rPr>
          <w:rFonts w:hint="default" w:ascii="Times New Roman" w:hAnsi="Times New Roman" w:eastAsia="仿宋_GB2312" w:cs="Times New Roman"/>
          <w:color w:val="000000"/>
          <w:kern w:val="0"/>
          <w:sz w:val="32"/>
          <w:szCs w:val="32"/>
        </w:rPr>
        <w:t>开展“法治护航企业发展”专项行动，组织律师为企业提供法律服务20余次。梳理产业链增值化服务事项清单155项，</w:t>
      </w:r>
      <w:r>
        <w:rPr>
          <w:rFonts w:hint="default" w:ascii="Times New Roman" w:hAnsi="Times New Roman" w:eastAsia="仿宋_GB2312" w:cs="Times New Roman"/>
          <w:color w:val="000000"/>
          <w:sz w:val="32"/>
          <w:szCs w:val="32"/>
        </w:rPr>
        <w:t>实施新建工业项目“多证齐发”改革，落实企业信用修复管理办法、公证机构为企业开辟“绿色通道”，实现急事急办。全区涉企行政检查</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行政处罚</w:t>
      </w:r>
      <w:r>
        <w:rPr>
          <w:rFonts w:hint="eastAsia" w:ascii="Times New Roman" w:hAnsi="Times New Roman" w:eastAsia="仿宋_GB2312" w:cs="Times New Roman"/>
          <w:color w:val="000000"/>
          <w:sz w:val="32"/>
          <w:szCs w:val="32"/>
          <w:lang w:eastAsia="zh-CN"/>
        </w:rPr>
        <w:t>实现两年连降</w:t>
      </w:r>
      <w:r>
        <w:rPr>
          <w:rFonts w:hint="default" w:ascii="Times New Roman" w:hAnsi="Times New Roman" w:eastAsia="仿宋_GB2312" w:cs="Times New Roman"/>
          <w:color w:val="000000"/>
          <w:sz w:val="32"/>
          <w:szCs w:val="32"/>
        </w:rPr>
        <w:t>，区市场监管局“预警式”帮扶执法案例获国家市场监管总局第二批市场监管服务型执法典型案例。</w:t>
      </w:r>
    </w:p>
    <w:p w14:paraId="500901DF">
      <w:pPr>
        <w:pStyle w:val="2"/>
        <w:spacing w:line="550" w:lineRule="exact"/>
        <w:ind w:firstLine="640"/>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color w:val="000000"/>
          <w:kern w:val="0"/>
          <w:sz w:val="32"/>
          <w:szCs w:val="32"/>
        </w:rPr>
        <w:t>（三）健全制度体系，依法行政能力稳步增强。</w:t>
      </w:r>
      <w:r>
        <w:rPr>
          <w:rFonts w:hint="default" w:ascii="Times New Roman" w:hAnsi="Times New Roman" w:eastAsia="仿宋_GB2312" w:cs="Times New Roman"/>
          <w:sz w:val="32"/>
          <w:szCs w:val="32"/>
        </w:rPr>
        <w:t>严格落实重大决策程序，</w:t>
      </w:r>
      <w:r>
        <w:rPr>
          <w:rFonts w:hint="default" w:ascii="Times New Roman" w:hAnsi="Times New Roman" w:eastAsia="仿宋_GB2312" w:cs="Times New Roman"/>
          <w:color w:val="000000"/>
          <w:kern w:val="0"/>
          <w:sz w:val="32"/>
          <w:szCs w:val="32"/>
        </w:rPr>
        <w:t>全年纳入重大行政决策目录管理事项5项并予以公示。加强行政规范性文件管理，制定行政规范性文件2件，均完成合法性审核和备案。</w:t>
      </w:r>
      <w:r>
        <w:rPr>
          <w:rFonts w:hint="default" w:ascii="Times New Roman" w:hAnsi="Times New Roman" w:eastAsia="仿宋_GB2312" w:cs="Times New Roman"/>
          <w:sz w:val="32"/>
          <w:szCs w:val="32"/>
        </w:rPr>
        <w:t>充分发挥政府法律顾问作用，邀请政府法律顾问参与审核文件协议、出具法律意见超200件次</w:t>
      </w:r>
      <w:r>
        <w:rPr>
          <w:rFonts w:hint="default" w:ascii="Times New Roman" w:hAnsi="Times New Roman" w:eastAsia="仿宋_GB2312" w:cs="Times New Roman"/>
          <w:color w:val="000000"/>
          <w:sz w:val="32"/>
          <w:szCs w:val="32"/>
        </w:rPr>
        <w:t>。强化合法性审查，年内共完成70余件重大行政决策、规范性文件及合同的审查，提出审查意见70余条。持续发挥行政复议化解行政争议的主渠道作用，加大化解重大疑难复杂行政争议案件的协同力度，形成行政争议化解合力。全年新收行政复议申请154件，审结104件（含上期结转），全区一审行政诉讼案件总体结案71件，行政复议纠错率和行政诉讼败诉率实现双降。</w:t>
      </w:r>
    </w:p>
    <w:p w14:paraId="77654917">
      <w:pPr>
        <w:pStyle w:val="2"/>
        <w:spacing w:line="550" w:lineRule="exact"/>
        <w:ind w:firstLine="640"/>
        <w:rPr>
          <w:rFonts w:hint="default" w:ascii="Times New Roman" w:hAnsi="Times New Roman" w:eastAsia="仿宋_GB2312" w:cs="Times New Roman"/>
          <w:color w:val="000000"/>
          <w:kern w:val="0"/>
          <w:sz w:val="32"/>
          <w:szCs w:val="32"/>
        </w:rPr>
      </w:pPr>
      <w:r>
        <w:rPr>
          <w:rFonts w:hint="default" w:ascii="Times New Roman" w:hAnsi="Times New Roman" w:eastAsia="楷体_GB2312" w:cs="Times New Roman"/>
          <w:color w:val="000000"/>
          <w:kern w:val="0"/>
          <w:sz w:val="32"/>
          <w:szCs w:val="32"/>
        </w:rPr>
        <w:t>（四）规范执法行为，严格规范公正文明执法水平提升。</w:t>
      </w:r>
      <w:r>
        <w:rPr>
          <w:rFonts w:hint="default" w:ascii="Times New Roman" w:hAnsi="Times New Roman" w:eastAsia="仿宋_GB2312" w:cs="Times New Roman"/>
          <w:color w:val="000000"/>
          <w:kern w:val="0"/>
          <w:sz w:val="32"/>
          <w:szCs w:val="32"/>
        </w:rPr>
        <w:t>编制《柳江区乡镇多领域“综合查一次”事项清单》和《柳江区乡镇综合行政执法任务清单》，避免多头执法、重复执法，不断完善乡镇执法工作制度和规范指引，持续推动乡镇综合行政执法规范化建设。以“预警式”“帮扶式”执法为抓手，通过创新执法模式、强化服务指导、落实包容审慎监管，推动行政执法从“刚性约束”向“柔性引导”转变，执法重心从“事后罚”向“事前防、事中帮”转变，</w:t>
      </w:r>
      <w:r>
        <w:rPr>
          <w:rFonts w:hint="default" w:ascii="Times New Roman" w:hAnsi="Times New Roman" w:eastAsia="仿宋_GB2312" w:cs="Times New Roman"/>
          <w:color w:val="000000"/>
          <w:sz w:val="32"/>
          <w:szCs w:val="32"/>
        </w:rPr>
        <w:t>通过说服教育、警示告诫等方式行政免罚共计</w:t>
      </w:r>
      <w:r>
        <w:rPr>
          <w:rFonts w:hint="default" w:ascii="Times New Roman" w:hAnsi="Times New Roman" w:eastAsia="仿宋_GB2312" w:cs="Times New Roman"/>
          <w:color w:val="000000"/>
          <w:sz w:val="32"/>
          <w:szCs w:val="32"/>
          <w:lang w:val="en-US" w:eastAsia="zh-CN"/>
        </w:rPr>
        <w:t>11562</w:t>
      </w:r>
      <w:r>
        <w:rPr>
          <w:rFonts w:hint="default" w:ascii="Times New Roman" w:hAnsi="Times New Roman" w:eastAsia="仿宋_GB2312" w:cs="Times New Roman"/>
          <w:color w:val="000000"/>
          <w:sz w:val="32"/>
          <w:szCs w:val="32"/>
        </w:rPr>
        <w:t>件次。</w:t>
      </w:r>
      <w:r>
        <w:rPr>
          <w:rFonts w:hint="default" w:ascii="Times New Roman" w:hAnsi="Times New Roman" w:eastAsia="仿宋_GB2312" w:cs="Times New Roman"/>
          <w:color w:val="000000"/>
          <w:kern w:val="0"/>
          <w:sz w:val="32"/>
          <w:szCs w:val="32"/>
        </w:rPr>
        <w:t>部署</w:t>
      </w:r>
      <w:r>
        <w:rPr>
          <w:rFonts w:hint="default" w:ascii="Times New Roman" w:hAnsi="Times New Roman" w:eastAsia="仿宋_GB2312" w:cs="Times New Roman"/>
          <w:color w:val="000000"/>
          <w:sz w:val="32"/>
          <w:szCs w:val="32"/>
        </w:rPr>
        <w:t>开展规范涉企执法专项行动，建立“1个总方案+N个子方案”制度矩阵，畅通企业监督反馈渠道，发放行政执法涉企监督联系卡6000余份，</w:t>
      </w:r>
      <w:r>
        <w:rPr>
          <w:rFonts w:hint="default" w:ascii="Times New Roman" w:hAnsi="Times New Roman" w:eastAsia="仿宋_GB2312" w:cs="Times New Roman"/>
          <w:color w:val="000000"/>
          <w:sz w:val="32"/>
          <w:szCs w:val="40"/>
        </w:rPr>
        <w:t>开展“伴随式”执法监督检查30余次，发现并整改执法程序不规范等问题12个。</w:t>
      </w:r>
    </w:p>
    <w:p w14:paraId="5EC920E0">
      <w:pPr>
        <w:pStyle w:val="2"/>
        <w:spacing w:line="550" w:lineRule="exact"/>
        <w:ind w:firstLine="640"/>
        <w:rPr>
          <w:rFonts w:hint="default" w:ascii="Times New Roman" w:hAnsi="Times New Roman" w:eastAsia="楷体_GB2312" w:cs="Times New Roman"/>
          <w:color w:val="000000"/>
          <w:kern w:val="0"/>
          <w:sz w:val="32"/>
          <w:szCs w:val="32"/>
        </w:rPr>
      </w:pPr>
      <w:r>
        <w:rPr>
          <w:rFonts w:hint="default" w:ascii="Times New Roman" w:hAnsi="Times New Roman" w:eastAsia="楷体_GB2312" w:cs="Times New Roman"/>
          <w:color w:val="000000"/>
          <w:kern w:val="0"/>
          <w:sz w:val="32"/>
          <w:szCs w:val="32"/>
        </w:rPr>
        <w:t>（五）深化矛盾化解，社会治理效能显著提高。</w:t>
      </w:r>
      <w:r>
        <w:rPr>
          <w:rFonts w:hint="default" w:ascii="Times New Roman" w:hAnsi="Times New Roman" w:eastAsia="仿宋_GB2312" w:cs="Times New Roman"/>
          <w:color w:val="000000"/>
          <w:sz w:val="32"/>
          <w:szCs w:val="32"/>
        </w:rPr>
        <w:t>创新发展新时代“枫桥经验”，完善“321”多元化解矛盾纠纷工作机制，区综治中心实现“一站式受理、一揽子调处、全链条解决”闭环服务。深化“警调对接”机制，推动人民调解进监所工作。全年组织各级人民调解组织排查矛盾纠纷1221件，成功调解1219件，调解成功率达99%以上，未发生因调解不力引发的群体性事件。扎实推进社区矫正工作规范化、精细化，完成智慧矫正中心升级建设，依托定位监控、电子签到等信息化手段强化日常监管，未发生脱管、漏管及重新犯罪案件。</w:t>
      </w:r>
      <w:r>
        <w:rPr>
          <w:rFonts w:hint="default" w:ascii="Times New Roman" w:hAnsi="Times New Roman" w:eastAsia="仿宋_GB2312" w:cs="Times New Roman"/>
          <w:color w:val="000000"/>
          <w:kern w:val="0"/>
          <w:sz w:val="32"/>
          <w:szCs w:val="32"/>
        </w:rPr>
        <w:t>基层治理模式亮点突出。进德镇因地制宜推行移风易俗“五个统一”工作法，乐山村获评自治区移风易俗试点村。百朋镇怀洪村获批司法部第十批“全国民主法治示范村（社区）”创建对象。</w:t>
      </w:r>
    </w:p>
    <w:p w14:paraId="749A86F8">
      <w:pPr>
        <w:pStyle w:val="2"/>
        <w:spacing w:line="550" w:lineRule="exact"/>
        <w:ind w:firstLine="640"/>
        <w:rPr>
          <w:rFonts w:hint="default" w:ascii="Times New Roman" w:hAnsi="Times New Roman" w:eastAsia="仿宋_GB2312" w:cs="Times New Roman"/>
          <w:color w:val="000000"/>
          <w:kern w:val="0"/>
          <w:sz w:val="32"/>
          <w:szCs w:val="32"/>
        </w:rPr>
      </w:pPr>
      <w:r>
        <w:rPr>
          <w:rFonts w:hint="default" w:ascii="Times New Roman" w:hAnsi="Times New Roman" w:eastAsia="楷体_GB2312" w:cs="Times New Roman"/>
          <w:color w:val="000000"/>
          <w:kern w:val="0"/>
          <w:sz w:val="32"/>
          <w:szCs w:val="32"/>
        </w:rPr>
        <w:t>（六）强化权力监督，行政权力运行更加规范。</w:t>
      </w:r>
      <w:r>
        <w:rPr>
          <w:rFonts w:hint="default" w:ascii="Times New Roman" w:hAnsi="Times New Roman" w:eastAsia="仿宋_GB2312" w:cs="Times New Roman"/>
          <w:color w:val="000000"/>
          <w:kern w:val="0"/>
          <w:sz w:val="32"/>
          <w:szCs w:val="32"/>
        </w:rPr>
        <w:t>自觉接受人大监督、民主监督和社会监督，构建全方位、多层次、常态化的监督体系。纵深推进开展涉重金属环境安全隐患排查整治、饮水安全专项监督、规范涉企行政执法等专项整治工作，聚焦群众“急难愁盼”问题，开展市场监管领域“5+2”行动，整治校园食品安全、城镇燃气安全等7类突出问题，加强食品、“两品一械”、特种设备等安全监管。加强行政执法协调监督工作，</w:t>
      </w:r>
      <w:r>
        <w:rPr>
          <w:rFonts w:hint="default" w:ascii="Times New Roman" w:hAnsi="Times New Roman" w:eastAsia="仿宋_GB2312" w:cs="Times New Roman"/>
          <w:sz w:val="32"/>
          <w:szCs w:val="32"/>
        </w:rPr>
        <w:t>设立行政执法监督企业联系点，</w:t>
      </w:r>
      <w:r>
        <w:rPr>
          <w:rFonts w:hint="default" w:ascii="Times New Roman" w:hAnsi="Times New Roman" w:eastAsia="仿宋_GB2312" w:cs="Times New Roman"/>
          <w:color w:val="000000"/>
          <w:sz w:val="32"/>
          <w:szCs w:val="40"/>
        </w:rPr>
        <w:t>明确乡镇平安法治办内部法制审核和执法监督职责，</w:t>
      </w:r>
      <w:r>
        <w:rPr>
          <w:rFonts w:hint="default" w:ascii="Times New Roman" w:hAnsi="Times New Roman" w:eastAsia="仿宋_GB2312" w:cs="Times New Roman"/>
          <w:color w:val="000000"/>
          <w:kern w:val="0"/>
          <w:sz w:val="32"/>
          <w:szCs w:val="32"/>
        </w:rPr>
        <w:t>严格落实行政执法“三项制度”，</w:t>
      </w:r>
      <w:r>
        <w:rPr>
          <w:rFonts w:hint="default" w:ascii="Times New Roman" w:hAnsi="Times New Roman" w:eastAsia="仿宋_GB2312" w:cs="Times New Roman"/>
          <w:color w:val="000000"/>
          <w:sz w:val="32"/>
          <w:szCs w:val="32"/>
        </w:rPr>
        <w:t>常态化开展“日常+专项”行政执法监督</w:t>
      </w:r>
      <w:r>
        <w:rPr>
          <w:rFonts w:hint="default" w:ascii="Times New Roman" w:hAnsi="Times New Roman" w:eastAsia="仿宋_GB2312" w:cs="Times New Roman"/>
          <w:color w:val="000000"/>
          <w:kern w:val="0"/>
          <w:sz w:val="32"/>
          <w:szCs w:val="32"/>
        </w:rPr>
        <w:t>。扎实推进数字政府建设，</w:t>
      </w:r>
      <w:r>
        <w:rPr>
          <w:rFonts w:hint="default" w:ascii="Times New Roman" w:hAnsi="Times New Roman" w:eastAsia="仿宋_GB2312" w:cs="Times New Roman"/>
          <w:sz w:val="32"/>
          <w:szCs w:val="32"/>
        </w:rPr>
        <w:t>实现政务服务事项网上可办率100%、全程网办率97%以上，依托“智桂通”APP推广“掌上办”“指尖办”，全面推广“扫码入企”和广西事中事后监管平台应用，政务公开持续深化。</w:t>
      </w:r>
    </w:p>
    <w:p w14:paraId="45031501">
      <w:pPr>
        <w:pStyle w:val="2"/>
        <w:spacing w:line="550" w:lineRule="exact"/>
        <w:ind w:firstLine="640"/>
        <w:rPr>
          <w:rFonts w:hint="default" w:ascii="Times New Roman" w:hAnsi="Times New Roman" w:eastAsia="楷体_GB2312" w:cs="Times New Roman"/>
          <w:color w:val="000000"/>
          <w:kern w:val="0"/>
          <w:sz w:val="32"/>
          <w:szCs w:val="32"/>
        </w:rPr>
      </w:pPr>
      <w:r>
        <w:rPr>
          <w:rFonts w:hint="default" w:ascii="Times New Roman" w:hAnsi="Times New Roman" w:eastAsia="黑体" w:cs="Times New Roman"/>
          <w:color w:val="000000"/>
          <w:kern w:val="0"/>
          <w:sz w:val="32"/>
          <w:szCs w:val="32"/>
        </w:rPr>
        <w:t>二、2025年度推进法治政府建设存在的问题和不足</w:t>
      </w:r>
    </w:p>
    <w:p w14:paraId="509E43AB">
      <w:pPr>
        <w:pStyle w:val="2"/>
        <w:spacing w:line="550" w:lineRule="exact"/>
        <w:ind w:firstLine="64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当前，我区法治政府建设仍存在一些短板和不足：</w:t>
      </w:r>
      <w:r>
        <w:rPr>
          <w:rFonts w:hint="default" w:ascii="Times New Roman" w:hAnsi="Times New Roman" w:eastAsia="仿宋_GB2312" w:cs="Times New Roman"/>
          <w:b/>
          <w:bCs/>
          <w:color w:val="000000"/>
          <w:kern w:val="0"/>
          <w:sz w:val="32"/>
          <w:szCs w:val="32"/>
        </w:rPr>
        <w:t>一是</w:t>
      </w:r>
      <w:r>
        <w:rPr>
          <w:rFonts w:hint="default" w:ascii="Times New Roman" w:hAnsi="Times New Roman" w:eastAsia="仿宋_GB2312" w:cs="Times New Roman"/>
          <w:color w:val="000000"/>
          <w:kern w:val="0"/>
          <w:sz w:val="32"/>
          <w:szCs w:val="32"/>
        </w:rPr>
        <w:t>部分干部运用法治思维和法治方式解决问题的能力不足，常态化、精准化的法治培训体系尚不完善，考核评价的刚性约束力有待加强</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b/>
          <w:bCs/>
          <w:color w:val="000000"/>
          <w:kern w:val="0"/>
          <w:sz w:val="32"/>
          <w:szCs w:val="32"/>
        </w:rPr>
        <w:t>二是</w:t>
      </w:r>
      <w:r>
        <w:rPr>
          <w:rFonts w:hint="default" w:ascii="Times New Roman" w:hAnsi="Times New Roman" w:eastAsia="仿宋_GB2312" w:cs="Times New Roman"/>
          <w:color w:val="000000"/>
          <w:kern w:val="0"/>
          <w:sz w:val="32"/>
          <w:szCs w:val="32"/>
        </w:rPr>
        <w:t>基层执法队伍专业力量相对薄弱，执法程序不够规范、文书制作不够严谨，乡镇综合行政执法规范化水平仍需加强。</w:t>
      </w:r>
      <w:r>
        <w:rPr>
          <w:rFonts w:hint="default" w:ascii="Times New Roman" w:hAnsi="Times New Roman" w:eastAsia="仿宋_GB2312" w:cs="Times New Roman"/>
          <w:b/>
          <w:bCs/>
          <w:color w:val="000000"/>
          <w:kern w:val="0"/>
          <w:sz w:val="32"/>
          <w:szCs w:val="32"/>
        </w:rPr>
        <w:t>三是</w:t>
      </w:r>
      <w:r>
        <w:rPr>
          <w:rFonts w:hint="default" w:ascii="Times New Roman" w:hAnsi="Times New Roman" w:eastAsia="仿宋_GB2312" w:cs="Times New Roman"/>
          <w:color w:val="000000"/>
          <w:sz w:val="32"/>
          <w:szCs w:val="32"/>
          <w:lang w:val="zh-CN"/>
        </w:rPr>
        <w:t>普法宣传的精准性有待增强，“大水漫灌”现象依然存在，对特殊群体普法吸引力不强，城乡普法资源分布不均衡，效果评估机制不够健全。</w:t>
      </w:r>
      <w:r>
        <w:rPr>
          <w:rFonts w:hint="default" w:ascii="Times New Roman" w:hAnsi="Times New Roman" w:eastAsia="仿宋_GB2312" w:cs="Times New Roman"/>
          <w:b/>
          <w:bCs/>
          <w:color w:val="000000"/>
          <w:sz w:val="32"/>
          <w:szCs w:val="32"/>
          <w:lang w:val="zh-CN"/>
        </w:rPr>
        <w:t>四是</w:t>
      </w:r>
      <w:r>
        <w:rPr>
          <w:rFonts w:hint="default" w:ascii="Times New Roman" w:hAnsi="Times New Roman" w:eastAsia="仿宋_GB2312" w:cs="Times New Roman"/>
          <w:color w:val="000000"/>
          <w:sz w:val="32"/>
          <w:szCs w:val="32"/>
          <w:lang w:val="zh-CN"/>
        </w:rPr>
        <w:t>法治化营商环境仍有优化空间，部门间信息共享和协同监管机制不够顺畅，包容审慎监管理念未完全树立，政企沟通渠道有待进一步拓宽。</w:t>
      </w:r>
    </w:p>
    <w:p w14:paraId="541C21B8">
      <w:pPr>
        <w:pStyle w:val="2"/>
        <w:spacing w:line="550" w:lineRule="exact"/>
        <w:ind w:firstLine="64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三、2026年推进法治政府建设的主要安排</w:t>
      </w:r>
    </w:p>
    <w:p w14:paraId="2A99F51B">
      <w:pPr>
        <w:pStyle w:val="2"/>
        <w:spacing w:line="550" w:lineRule="exact"/>
        <w:ind w:firstLine="64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2026年，柳江区将坚持问题导向，聚焦薄弱环节，重点抓好以下工作：</w:t>
      </w:r>
      <w:r>
        <w:rPr>
          <w:rFonts w:hint="default" w:ascii="Times New Roman" w:hAnsi="Times New Roman" w:eastAsia="仿宋_GB2312" w:cs="Times New Roman"/>
          <w:b/>
          <w:bCs/>
          <w:color w:val="000000"/>
          <w:kern w:val="0"/>
          <w:sz w:val="32"/>
          <w:szCs w:val="32"/>
        </w:rPr>
        <w:t>一是</w:t>
      </w:r>
      <w:r>
        <w:rPr>
          <w:rFonts w:hint="default" w:ascii="Times New Roman" w:hAnsi="Times New Roman" w:eastAsia="仿宋_GB2312" w:cs="Times New Roman"/>
          <w:color w:val="000000"/>
          <w:kern w:val="0"/>
          <w:sz w:val="32"/>
          <w:szCs w:val="32"/>
        </w:rPr>
        <w:t>持续深化习近平法治思想学习宣传贯彻，</w:t>
      </w:r>
      <w:r>
        <w:rPr>
          <w:rFonts w:hint="default" w:ascii="Times New Roman" w:hAnsi="Times New Roman" w:eastAsia="仿宋_GB2312" w:cs="Times New Roman"/>
          <w:color w:val="000000"/>
          <w:sz w:val="32"/>
          <w:szCs w:val="32"/>
        </w:rPr>
        <w:t>压紧压实党政主要负责人法治建设责任</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b/>
          <w:bCs/>
          <w:color w:val="000000"/>
          <w:kern w:val="0"/>
          <w:sz w:val="32"/>
          <w:szCs w:val="32"/>
        </w:rPr>
        <w:t>二是</w:t>
      </w:r>
      <w:r>
        <w:rPr>
          <w:rFonts w:hint="default" w:ascii="Times New Roman" w:hAnsi="Times New Roman" w:eastAsia="仿宋_GB2312" w:cs="Times New Roman"/>
          <w:color w:val="000000"/>
          <w:kern w:val="0"/>
          <w:sz w:val="32"/>
          <w:szCs w:val="32"/>
        </w:rPr>
        <w:t>全面提升依法行政水平，健全重大行政决策跟踪反馈和评估机制，强化行政复议效能；</w:t>
      </w:r>
      <w:r>
        <w:rPr>
          <w:rFonts w:hint="default" w:ascii="Times New Roman" w:hAnsi="Times New Roman" w:eastAsia="仿宋_GB2312" w:cs="Times New Roman"/>
          <w:b/>
          <w:bCs/>
          <w:color w:val="000000"/>
          <w:kern w:val="0"/>
          <w:sz w:val="32"/>
          <w:szCs w:val="32"/>
        </w:rPr>
        <w:t>三是</w:t>
      </w:r>
      <w:r>
        <w:rPr>
          <w:rFonts w:hint="default" w:ascii="Times New Roman" w:hAnsi="Times New Roman" w:eastAsia="仿宋_GB2312" w:cs="Times New Roman"/>
          <w:color w:val="000000"/>
          <w:kern w:val="0"/>
          <w:sz w:val="32"/>
          <w:szCs w:val="32"/>
        </w:rPr>
        <w:t>大力推进严格规范公正文明执法，加强对乡镇综合行政执法的业务指导和监督，深化综合行政执法体制改革；</w:t>
      </w:r>
      <w:r>
        <w:rPr>
          <w:rFonts w:hint="default" w:ascii="Times New Roman" w:hAnsi="Times New Roman" w:eastAsia="仿宋_GB2312" w:cs="Times New Roman"/>
          <w:b/>
          <w:bCs/>
          <w:color w:val="000000"/>
          <w:kern w:val="0"/>
          <w:sz w:val="32"/>
          <w:szCs w:val="32"/>
        </w:rPr>
        <w:t>四是</w:t>
      </w:r>
      <w:r>
        <w:rPr>
          <w:rFonts w:hint="default" w:ascii="Times New Roman" w:hAnsi="Times New Roman" w:eastAsia="仿宋_GB2312" w:cs="Times New Roman"/>
          <w:color w:val="000000"/>
          <w:kern w:val="0"/>
          <w:sz w:val="32"/>
          <w:szCs w:val="32"/>
        </w:rPr>
        <w:t>着力优化法治化营商环境，推进“一件事一次办”集成服务，畅通政企沟通渠道；</w:t>
      </w:r>
      <w:r>
        <w:rPr>
          <w:rFonts w:hint="default" w:ascii="Times New Roman" w:hAnsi="Times New Roman" w:eastAsia="仿宋_GB2312" w:cs="Times New Roman"/>
          <w:b/>
          <w:bCs/>
          <w:color w:val="000000"/>
          <w:kern w:val="0"/>
          <w:sz w:val="32"/>
          <w:szCs w:val="32"/>
        </w:rPr>
        <w:t>五是</w:t>
      </w:r>
      <w:r>
        <w:rPr>
          <w:rFonts w:hint="default" w:ascii="Times New Roman" w:hAnsi="Times New Roman" w:eastAsia="仿宋_GB2312" w:cs="Times New Roman"/>
          <w:color w:val="000000"/>
          <w:kern w:val="0"/>
          <w:sz w:val="32"/>
          <w:szCs w:val="32"/>
        </w:rPr>
        <w:t>不断夯实基层治理法治基础，推动更多法治力量向基层下沉，优化公共法律服务站点布局和服务供给；</w:t>
      </w:r>
      <w:r>
        <w:rPr>
          <w:rFonts w:hint="default" w:ascii="Times New Roman" w:hAnsi="Times New Roman" w:eastAsia="仿宋_GB2312" w:cs="Times New Roman"/>
          <w:b/>
          <w:bCs/>
          <w:color w:val="000000"/>
          <w:kern w:val="0"/>
          <w:sz w:val="32"/>
          <w:szCs w:val="32"/>
        </w:rPr>
        <w:t>六是</w:t>
      </w:r>
      <w:r>
        <w:rPr>
          <w:rFonts w:hint="default" w:ascii="Times New Roman" w:hAnsi="Times New Roman" w:eastAsia="仿宋_GB2312" w:cs="Times New Roman"/>
          <w:color w:val="000000"/>
          <w:kern w:val="0"/>
          <w:sz w:val="32"/>
          <w:szCs w:val="32"/>
        </w:rPr>
        <w:t>积极补齐涉外法治工作短板，建立重点企业涉外法律风险预警和帮扶机制，</w:t>
      </w:r>
      <w:r>
        <w:rPr>
          <w:rFonts w:hint="default" w:ascii="Times New Roman" w:hAnsi="Times New Roman" w:eastAsia="仿宋_GB2312" w:cs="Times New Roman"/>
          <w:color w:val="000000"/>
          <w:sz w:val="31"/>
          <w:szCs w:val="31"/>
        </w:rPr>
        <w:t>不断强化涉外法治人才培育工作</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b/>
          <w:bCs/>
          <w:color w:val="000000"/>
          <w:kern w:val="0"/>
          <w:sz w:val="32"/>
          <w:szCs w:val="32"/>
        </w:rPr>
        <w:t>七是</w:t>
      </w:r>
      <w:r>
        <w:rPr>
          <w:rFonts w:hint="default" w:ascii="Times New Roman" w:hAnsi="Times New Roman" w:eastAsia="仿宋_GB2312" w:cs="Times New Roman"/>
          <w:color w:val="000000"/>
          <w:kern w:val="0"/>
          <w:sz w:val="32"/>
          <w:szCs w:val="32"/>
        </w:rPr>
        <w:t>加速推进数字法治政府建设，探索利用人工智能、大数据等技术提升政务服务智能化水平。</w:t>
      </w:r>
    </w:p>
    <w:p w14:paraId="4BCE40EB"/>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D16E31"/>
    <w:rsid w:val="0FD16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rFonts w:eastAsia="宋体"/>
      <w:kern w:val="0"/>
      <w:sz w:val="3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2026-01-14T01:19:00Z</dcterms:created>
  <dc:creator>欢欢</dc:creator>
  <cp:lastModifiedBy>欢欢</cp:lastModifiedBy>
  <dcterms:modified xsi:type="dcterms:W3CDTF">2026-01-14T01:20:41Z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8A219146744C44C894FC186366F29EAE_11</vt:lpwstr>
  </property>
  <property fmtid="{D5CDD505-2E9C-101B-9397-08002B2CF9AE}" pid="4" name="KSOTemplateDocerSaveRecord">
    <vt:lpwstr>eyJoZGlkIjoiMTY4YmY2ZGM3OTU4MWE1OGQxMzcyZTVjOTJhYzE2ZmUiLCJ1c2VySWQiOiI2MDQyNTMwODkifQ==</vt:lpwstr>
  </property>
</Properties>
</file>