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方正小标宋简体"/>
          <w:bCs/>
          <w:sz w:val="44"/>
          <w:szCs w:val="44"/>
        </w:rPr>
      </w:pPr>
      <w:r>
        <w:rPr>
          <w:rFonts w:ascii="Times New Roman" w:hAnsi="Times New Roman" w:eastAsia="方正小标宋简体"/>
          <w:bCs/>
          <w:color w:val="000000"/>
          <w:spacing w:val="-17"/>
          <w:sz w:val="44"/>
          <w:szCs w:val="44"/>
        </w:rPr>
        <w:t>中</w:t>
      </w:r>
      <w:bookmarkStart w:id="3" w:name="_GoBack"/>
      <w:bookmarkEnd w:id="3"/>
      <w:r>
        <w:rPr>
          <w:rFonts w:ascii="Times New Roman" w:hAnsi="Times New Roman" w:eastAsia="方正小标宋简体"/>
          <w:bCs/>
          <w:color w:val="000000"/>
          <w:spacing w:val="-17"/>
          <w:sz w:val="44"/>
          <w:szCs w:val="44"/>
        </w:rPr>
        <w:t>共柳州市城中区委员会 柳州市城中区人民政府</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bCs/>
          <w:sz w:val="44"/>
          <w:szCs w:val="44"/>
        </w:rPr>
      </w:pPr>
      <w:bookmarkStart w:id="0" w:name="OLE_LINK13"/>
      <w:bookmarkStart w:id="1" w:name="OLE_LINK14"/>
      <w:r>
        <w:rPr>
          <w:rFonts w:hint="eastAsia" w:ascii="Times New Roman" w:hAnsi="Times New Roman" w:eastAsia="方正小标宋简体"/>
          <w:bCs/>
          <w:sz w:val="44"/>
          <w:szCs w:val="44"/>
        </w:rPr>
        <w:t>202</w:t>
      </w:r>
      <w:r>
        <w:rPr>
          <w:rFonts w:hint="eastAsia" w:ascii="Times New Roman" w:hAnsi="Times New Roman" w:eastAsia="方正小标宋简体"/>
          <w:bCs/>
          <w:sz w:val="44"/>
          <w:szCs w:val="44"/>
          <w:lang w:val="en-US" w:eastAsia="zh-CN"/>
        </w:rPr>
        <w:t>5</w:t>
      </w:r>
      <w:r>
        <w:rPr>
          <w:rFonts w:hint="eastAsia" w:ascii="Times New Roman" w:hAnsi="Times New Roman" w:eastAsia="方正小标宋简体"/>
          <w:bCs/>
          <w:sz w:val="44"/>
          <w:szCs w:val="44"/>
        </w:rPr>
        <w:t>年法治政府建设年度报告</w:t>
      </w:r>
      <w:bookmarkEnd w:id="0"/>
    </w:p>
    <w:p>
      <w:pPr>
        <w:pStyle w:val="2"/>
      </w:pPr>
    </w:p>
    <w:bookmarkEnd w:id="1"/>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lang w:val="en-US" w:eastAsia="zh-CN" w:bidi="ar"/>
        </w:rPr>
      </w:pPr>
      <w:r>
        <w:rPr>
          <w:rFonts w:hint="default" w:ascii="Times New Roman" w:hAnsi="Times New Roman" w:eastAsia="仿宋_GB2312" w:cs="Times New Roman"/>
          <w:kern w:val="2"/>
          <w:sz w:val="32"/>
          <w:szCs w:val="32"/>
          <w:shd w:val="clear" w:color="auto" w:fill="FFFFFF"/>
          <w:lang w:val="en-US" w:eastAsia="zh-CN" w:bidi="ar-SA"/>
        </w:rPr>
        <w:t>2025年以来，</w:t>
      </w:r>
      <w:r>
        <w:rPr>
          <w:rFonts w:hint="eastAsia" w:ascii="Times New Roman" w:hAnsi="Times New Roman" w:eastAsia="仿宋_GB2312" w:cs="Times New Roman"/>
          <w:kern w:val="2"/>
          <w:sz w:val="32"/>
          <w:szCs w:val="32"/>
          <w:shd w:val="clear" w:color="auto" w:fill="FFFFFF"/>
          <w:lang w:val="en-US" w:eastAsia="zh-CN" w:bidi="ar-SA"/>
        </w:rPr>
        <w:t>城中区</w:t>
      </w:r>
      <w:r>
        <w:rPr>
          <w:rFonts w:hint="default" w:ascii="Times New Roman" w:hAnsi="Times New Roman" w:eastAsia="仿宋_GB2312" w:cs="Times New Roman"/>
          <w:kern w:val="2"/>
          <w:sz w:val="32"/>
          <w:szCs w:val="32"/>
          <w:shd w:val="clear" w:color="auto" w:fill="FFFFFF"/>
          <w:lang w:val="en-US" w:eastAsia="zh-CN" w:bidi="ar-SA"/>
        </w:rPr>
        <w:t>坚持以习近平新时代中国特色社会主义思想为指导，深入学习贯彻习近平法治思想，</w:t>
      </w:r>
      <w:r>
        <w:rPr>
          <w:rFonts w:hint="eastAsia" w:ascii="Times New Roman" w:hAnsi="Times New Roman" w:eastAsia="仿宋_GB2312" w:cs="Times New Roman"/>
          <w:kern w:val="2"/>
          <w:sz w:val="32"/>
          <w:szCs w:val="32"/>
          <w:shd w:val="clear" w:color="auto" w:fill="FFFFFF"/>
          <w:lang w:val="en-US" w:eastAsia="zh-CN" w:bidi="ar-SA"/>
        </w:rPr>
        <w:t>以提升依法行政水平为核心，扎实推进法治政府建设各项任务落地见效，为经济社会高质量发展筑牢法治根基，现将有关情况报告如下：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bCs/>
          <w:color w:val="000000"/>
          <w:kern w:val="0"/>
          <w:sz w:val="32"/>
          <w:szCs w:val="32"/>
        </w:rPr>
      </w:pPr>
      <w:r>
        <w:rPr>
          <w:rFonts w:hint="eastAsia" w:ascii="Times New Roman" w:hAnsi="Times New Roman" w:eastAsia="黑体"/>
          <w:bCs/>
          <w:color w:val="000000"/>
          <w:kern w:val="0"/>
          <w:sz w:val="32"/>
          <w:szCs w:val="32"/>
          <w:lang w:eastAsia="zh-CN"/>
        </w:rPr>
        <w:t>一、</w:t>
      </w:r>
      <w:r>
        <w:rPr>
          <w:rFonts w:hint="eastAsia" w:ascii="Times New Roman" w:hAnsi="Times New Roman" w:eastAsia="黑体"/>
          <w:bCs/>
          <w:color w:val="000000"/>
          <w:kern w:val="0"/>
          <w:sz w:val="32"/>
          <w:szCs w:val="32"/>
        </w:rPr>
        <w:t>202</w:t>
      </w:r>
      <w:r>
        <w:rPr>
          <w:rFonts w:hint="eastAsia" w:ascii="Times New Roman" w:hAnsi="Times New Roman" w:eastAsia="黑体"/>
          <w:bCs/>
          <w:color w:val="000000"/>
          <w:kern w:val="0"/>
          <w:sz w:val="32"/>
          <w:szCs w:val="32"/>
          <w:lang w:val="en-US" w:eastAsia="zh-CN"/>
        </w:rPr>
        <w:t>5</w:t>
      </w:r>
      <w:r>
        <w:rPr>
          <w:rFonts w:hint="eastAsia" w:ascii="Times New Roman" w:hAnsi="Times New Roman" w:eastAsia="黑体"/>
          <w:bCs/>
          <w:color w:val="000000"/>
          <w:kern w:val="0"/>
          <w:sz w:val="32"/>
          <w:szCs w:val="32"/>
        </w:rPr>
        <w:t>年度推进法治政府建设的主要举措和成效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t>（一）坚持高位统筹，发挥法治引领作用</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shd w:val="clear" w:color="auto" w:fill="FFFFFF"/>
          <w:lang w:val="en-US" w:eastAsia="zh-CN" w:bidi="ar-SA"/>
        </w:rPr>
      </w:pPr>
      <w:r>
        <w:rPr>
          <w:rFonts w:hint="eastAsia" w:ascii="Times New Roman" w:hAnsi="Times New Roman" w:eastAsia="仿宋_GB2312" w:cs="Times New Roman"/>
          <w:kern w:val="2"/>
          <w:sz w:val="32"/>
          <w:szCs w:val="32"/>
          <w:shd w:val="clear" w:color="auto" w:fill="FFFFFF"/>
          <w:lang w:val="en-US" w:eastAsia="zh-CN" w:bidi="ar-SA"/>
        </w:rPr>
        <w:t>城中区将法治政府建设纳入全区经济社会发展总体规划和年度重点工作</w:t>
      </w:r>
      <w:r>
        <w:rPr>
          <w:rFonts w:ascii="Times New Roman" w:hAnsi="Times New Roman" w:eastAsia="仿宋_GB2312"/>
          <w:color w:val="000000" w:themeColor="text1"/>
          <w:sz w:val="32"/>
          <w:szCs w:val="32"/>
          <w:lang w:bidi="zh-CN"/>
          <w14:textFill>
            <w14:solidFill>
              <w14:schemeClr w14:val="tx1"/>
            </w14:solidFill>
          </w14:textFill>
        </w:rPr>
        <w:t>，</w:t>
      </w:r>
      <w:r>
        <w:rPr>
          <w:rFonts w:hint="eastAsia" w:ascii="Times New Roman" w:hAnsi="Times New Roman" w:eastAsia="仿宋_GB2312" w:cs="Times New Roman"/>
          <w:kern w:val="2"/>
          <w:sz w:val="32"/>
          <w:szCs w:val="32"/>
          <w:shd w:val="clear" w:color="auto" w:fill="FFFFFF"/>
          <w:lang w:val="en-US" w:eastAsia="zh-CN" w:bidi="ar-SA"/>
        </w:rPr>
        <w:t>区</w:t>
      </w:r>
      <w:r>
        <w:rPr>
          <w:rFonts w:hint="eastAsia" w:ascii="仿宋_GB2312" w:hAnsi="仿宋_GB2312" w:eastAsia="仿宋_GB2312" w:cs="仿宋_GB2312"/>
          <w:sz w:val="32"/>
          <w:szCs w:val="32"/>
        </w:rPr>
        <w:t>委常委会</w:t>
      </w:r>
      <w:r>
        <w:rPr>
          <w:rFonts w:hint="eastAsia" w:ascii="仿宋_GB2312" w:hAnsi="仿宋_GB2312" w:eastAsia="仿宋_GB2312" w:cs="仿宋_GB2312"/>
          <w:sz w:val="32"/>
          <w:szCs w:val="32"/>
          <w:lang w:eastAsia="zh-CN"/>
        </w:rPr>
        <w:t>会议、</w:t>
      </w:r>
      <w:r>
        <w:rPr>
          <w:rFonts w:hint="eastAsia" w:ascii="Times New Roman" w:hAnsi="Times New Roman" w:eastAsia="仿宋_GB2312" w:cs="Times New Roman"/>
          <w:kern w:val="2"/>
          <w:sz w:val="32"/>
          <w:szCs w:val="32"/>
          <w:shd w:val="clear" w:color="auto" w:fill="FFFFFF"/>
          <w:lang w:val="en-US" w:eastAsia="zh-CN" w:bidi="ar-SA"/>
        </w:rPr>
        <w:t>区政府常务会议</w:t>
      </w:r>
      <w:r>
        <w:rPr>
          <w:rFonts w:ascii="Times New Roman" w:hAnsi="Times New Roman" w:eastAsia="仿宋_GB2312"/>
          <w:color w:val="000000" w:themeColor="text1"/>
          <w:sz w:val="32"/>
          <w:szCs w:val="32"/>
          <w:lang w:bidi="zh-CN"/>
          <w14:textFill>
            <w14:solidFill>
              <w14:schemeClr w14:val="tx1"/>
            </w14:solidFill>
          </w14:textFill>
        </w:rPr>
        <w:t>专题听取</w:t>
      </w:r>
      <w:r>
        <w:rPr>
          <w:rFonts w:ascii="Times New Roman" w:hAnsi="Times New Roman" w:eastAsia="仿宋_GB2312" w:cs="Times New Roman"/>
          <w:color w:val="000000" w:themeColor="text1"/>
          <w:sz w:val="32"/>
          <w:szCs w:val="32"/>
          <w:lang w:bidi="zh-CN"/>
          <w14:textFill>
            <w14:solidFill>
              <w14:schemeClr w14:val="tx1"/>
            </w14:solidFill>
          </w14:textFill>
        </w:rPr>
        <w:t>、</w:t>
      </w:r>
      <w:r>
        <w:rPr>
          <w:rFonts w:ascii="Times New Roman" w:hAnsi="Times New Roman" w:eastAsia="仿宋_GB2312"/>
          <w:color w:val="000000" w:themeColor="text1"/>
          <w:sz w:val="32"/>
          <w:szCs w:val="32"/>
          <w:lang w:bidi="zh-CN"/>
          <w14:textFill>
            <w14:solidFill>
              <w14:schemeClr w14:val="tx1"/>
            </w14:solidFill>
          </w14:textFill>
        </w:rPr>
        <w:t>审议、研究</w:t>
      </w:r>
      <w:r>
        <w:rPr>
          <w:rFonts w:hint="eastAsia" w:ascii="仿宋_GB2312" w:hAnsi="宋体" w:eastAsia="仿宋_GB2312" w:cs="仿宋_GB2312"/>
          <w:i w:val="0"/>
          <w:iCs w:val="0"/>
          <w:caps w:val="0"/>
          <w:color w:val="000000" w:themeColor="text1"/>
          <w:spacing w:val="0"/>
          <w:sz w:val="32"/>
          <w:szCs w:val="32"/>
          <w:shd w:val="clear" w:fill="FFFFFF"/>
          <w:lang w:eastAsia="zh-CN"/>
          <w14:textFill>
            <w14:solidFill>
              <w14:schemeClr w14:val="tx1"/>
            </w14:solidFill>
          </w14:textFill>
        </w:rPr>
        <w:t>述法会议点评意见整改、行政复议和行政诉讼情况</w:t>
      </w:r>
      <w:r>
        <w:rPr>
          <w:rFonts w:hint="eastAsia" w:ascii="Times New Roman" w:hAnsi="Times New Roman" w:eastAsia="仿宋_GB2312"/>
          <w:bCs/>
          <w:color w:val="000000" w:themeColor="text1"/>
          <w:sz w:val="32"/>
          <w:szCs w:val="32"/>
          <w:lang w:eastAsia="zh-CN"/>
          <w14:textFill>
            <w14:solidFill>
              <w14:schemeClr w14:val="tx1"/>
            </w14:solidFill>
          </w14:textFill>
        </w:rPr>
        <w:t>、涉企行政执</w:t>
      </w:r>
      <w:r>
        <w:rPr>
          <w:rFonts w:hint="eastAsia" w:ascii="Times New Roman" w:hAnsi="Times New Roman" w:eastAsia="仿宋_GB2312" w:cs="Times New Roman"/>
          <w:kern w:val="2"/>
          <w:sz w:val="32"/>
          <w:szCs w:val="32"/>
          <w:shd w:val="clear" w:color="auto" w:fill="FFFFFF"/>
          <w:lang w:val="en-US" w:eastAsia="zh-CN" w:bidi="ar-SA"/>
        </w:rPr>
        <w:t>法专项行动、行政执法监督情况等法治建设重点任务和重大问题13次。制定《城中区委全面依法治区委员会2025年工作要点实施方案》，形成“任务清单化、推进项目化、考核具体化”的落实机制。统筹加强法治政府建设，开展党政主要负责人述法评议工作，全区共35名党政主要负责人进行述法，实现</w:t>
      </w:r>
      <w:r>
        <w:rPr>
          <w:rFonts w:hint="eastAsia" w:ascii="仿宋_GB2312" w:hAnsi="仿宋_GB2312" w:eastAsia="仿宋_GB2312" w:cs="仿宋_GB2312"/>
          <w:sz w:val="32"/>
          <w:szCs w:val="32"/>
        </w:rPr>
        <w:t>专题述法与书面述法全覆盖</w:t>
      </w:r>
      <w:r>
        <w:rPr>
          <w:rFonts w:hint="eastAsia" w:ascii="Times New Roman" w:hAnsi="Times New Roman" w:eastAsia="仿宋_GB2312" w:cs="Times New Roman"/>
          <w:kern w:val="2"/>
          <w:sz w:val="32"/>
          <w:szCs w:val="32"/>
          <w:shd w:val="clear" w:color="auto" w:fill="FFFFFF"/>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t>（二）坚持</w:t>
      </w:r>
      <w:r>
        <w:rPr>
          <w:rFonts w:hint="default" w:ascii="Times New Roman" w:hAnsi="Times New Roman" w:eastAsia="楷体_GB2312" w:cs="Times New Roman"/>
          <w:color w:val="000000" w:themeColor="text1"/>
          <w:sz w:val="32"/>
          <w:szCs w:val="32"/>
          <w:highlight w:val="none"/>
          <w:lang w:val="en-US" w:eastAsia="zh-CN"/>
          <w14:textFill>
            <w14:solidFill>
              <w14:schemeClr w14:val="tx1"/>
            </w14:solidFill>
          </w14:textFill>
        </w:rPr>
        <w:t>思想引领</w:t>
      </w:r>
      <w:r>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t>，提升法治能力素养</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Chars="0" w:firstLine="640" w:firstLineChars="200"/>
        <w:jc w:val="both"/>
        <w:textAlignment w:val="auto"/>
        <w:rPr>
          <w:rFonts w:hint="eastAsia" w:ascii="Times New Roman" w:hAnsi="Times New Roman" w:eastAsia="楷体_GB2312"/>
          <w:bCs/>
          <w:color w:val="000000"/>
          <w:kern w:val="0"/>
          <w:sz w:val="32"/>
          <w:szCs w:val="32"/>
        </w:rPr>
      </w:pPr>
      <w:r>
        <w:rPr>
          <w:rFonts w:hint="eastAsia" w:ascii="Times New Roman" w:hAnsi="Times New Roman" w:eastAsia="仿宋_GB2312" w:cs="Times New Roman"/>
          <w:kern w:val="2"/>
          <w:sz w:val="32"/>
          <w:szCs w:val="32"/>
          <w:shd w:val="clear" w:color="auto" w:fill="FFFFFF"/>
          <w:lang w:val="en-US" w:eastAsia="zh-CN" w:bidi="ar-SA"/>
        </w:rPr>
        <w:t>把深入学习宣传贯彻习近平法治思想作为重要政治任务，坚持抓住领导干部这个“关键少数”，</w:t>
      </w:r>
      <w:r>
        <w:rPr>
          <w:rFonts w:hint="default" w:ascii="Times New Roman" w:hAnsi="Times New Roman" w:eastAsia="仿宋_GB2312" w:cs="Times New Roman"/>
          <w:kern w:val="2"/>
          <w:sz w:val="32"/>
          <w:szCs w:val="32"/>
          <w:shd w:val="clear" w:color="auto" w:fill="FFFFFF"/>
          <w:lang w:val="en-US" w:eastAsia="zh-CN" w:bidi="ar-SA"/>
        </w:rPr>
        <w:t>构建“中心组领学+专题研学+阵地促学”立体学习体系。区四家班子理论学习中心组全年专题学习习近平法治思想等法治议题12次，覆盖领导班子成员及相关部门负责人；在7个街道、</w:t>
      </w:r>
      <w:r>
        <w:rPr>
          <w:rFonts w:hint="eastAsia" w:ascii="Times New Roman" w:hAnsi="Times New Roman" w:eastAsia="仿宋_GB2312" w:cs="Times New Roman"/>
          <w:kern w:val="2"/>
          <w:sz w:val="32"/>
          <w:szCs w:val="32"/>
          <w:shd w:val="clear" w:color="auto" w:fill="FFFFFF"/>
          <w:lang w:val="en-US" w:eastAsia="zh-CN" w:bidi="ar-SA"/>
        </w:rPr>
        <w:t>37</w:t>
      </w:r>
      <w:r>
        <w:rPr>
          <w:rFonts w:hint="default" w:ascii="Times New Roman" w:hAnsi="Times New Roman" w:eastAsia="仿宋_GB2312" w:cs="Times New Roman"/>
          <w:kern w:val="2"/>
          <w:sz w:val="32"/>
          <w:szCs w:val="32"/>
          <w:shd w:val="clear" w:color="auto" w:fill="FFFFFF"/>
          <w:lang w:val="en-US" w:eastAsia="zh-CN" w:bidi="ar-SA"/>
        </w:rPr>
        <w:t>个社区（村）设立</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习近平法治思想学习专区</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，将习近平法治思想纳入干部教育培训必修课，举办</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城中讲堂</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法治专题讲座3场</w:t>
      </w:r>
      <w:r>
        <w:rPr>
          <w:rFonts w:hint="eastAsia" w:ascii="Times New Roman" w:hAnsi="Times New Roman" w:eastAsia="仿宋_GB2312" w:cs="Times New Roman"/>
          <w:kern w:val="2"/>
          <w:sz w:val="32"/>
          <w:szCs w:val="32"/>
          <w:shd w:val="clear" w:color="auto" w:fill="FFFFFF"/>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t>（三）</w:t>
      </w:r>
      <w:r>
        <w:rPr>
          <w:rFonts w:hint="default" w:ascii="Times New Roman" w:hAnsi="Times New Roman" w:eastAsia="楷体_GB2312" w:cs="Times New Roman"/>
          <w:color w:val="000000" w:themeColor="text1"/>
          <w:sz w:val="32"/>
          <w:szCs w:val="32"/>
          <w:highlight w:val="none"/>
          <w:lang w:val="en-US" w:eastAsia="zh-CN"/>
          <w14:textFill>
            <w14:solidFill>
              <w14:schemeClr w14:val="tx1"/>
            </w14:solidFill>
          </w14:textFill>
        </w:rPr>
        <w:t>聚焦</w:t>
      </w:r>
      <w:r>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t>改革赋能，优化营商环境服务</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shd w:val="clear" w:color="auto" w:fill="FFFFFF"/>
          <w:lang w:val="en-US" w:eastAsia="zh-CN" w:bidi="ar-SA"/>
        </w:rPr>
      </w:pPr>
      <w:r>
        <w:rPr>
          <w:rFonts w:hint="eastAsia" w:ascii="Times New Roman" w:hAnsi="Times New Roman" w:eastAsia="仿宋_GB2312" w:cs="Times New Roman"/>
          <w:kern w:val="2"/>
          <w:sz w:val="32"/>
          <w:szCs w:val="32"/>
          <w:shd w:val="clear" w:color="auto" w:fill="FFFFFF"/>
          <w:lang w:val="en-US" w:eastAsia="zh-CN" w:bidi="ar-SA"/>
        </w:rPr>
        <w:t>全面深化“放管服”改革，聚焦“高效办成一件事”，推动审批流程系统性再造，实现949项政务服务事项“一窗通办、一网通办”。持续提升政务服务数字化、智能化水平，群众满意度100%。扎实推进企业开办“零成本”行动，加大政府采购支持中小企业力度，适宜项目面向中小企业授予合同金额占比超过90%。通过社会信用体系与法治建设深度融合，修复行政相对人行政处罚公示信息5条，帮助4家企业恢复信用。2</w:t>
      </w:r>
      <w:r>
        <w:rPr>
          <w:rFonts w:hint="default" w:ascii="Times New Roman" w:hAnsi="Times New Roman" w:eastAsia="仿宋_GB2312" w:cs="Times New Roman"/>
          <w:kern w:val="2"/>
          <w:sz w:val="32"/>
          <w:szCs w:val="32"/>
          <w:shd w:val="clear" w:color="auto" w:fill="FFFFFF"/>
          <w:lang w:val="en-US" w:eastAsia="zh-CN" w:bidi="ar-SA"/>
        </w:rPr>
        <w:t>025年城中区经营主体3.3万户，经营主体同比增长率</w:t>
      </w:r>
      <w:r>
        <w:rPr>
          <w:rFonts w:hint="eastAsia" w:ascii="Times New Roman" w:hAnsi="Times New Roman" w:eastAsia="仿宋_GB2312" w:cs="Times New Roman"/>
          <w:kern w:val="2"/>
          <w:sz w:val="32"/>
          <w:szCs w:val="32"/>
          <w:shd w:val="clear" w:color="auto" w:fill="FFFFFF"/>
          <w:lang w:val="en-US" w:eastAsia="zh-CN" w:bidi="ar-SA"/>
        </w:rPr>
        <w:t>5.51</w:t>
      </w:r>
      <w:r>
        <w:rPr>
          <w:rFonts w:hint="default" w:ascii="Times New Roman" w:hAnsi="Times New Roman" w:eastAsia="仿宋_GB2312" w:cs="Times New Roman"/>
          <w:kern w:val="2"/>
          <w:sz w:val="32"/>
          <w:szCs w:val="32"/>
          <w:shd w:val="clear" w:color="auto" w:fill="FFFFFF"/>
          <w:lang w:val="en-US" w:eastAsia="zh-CN" w:bidi="ar-SA"/>
        </w:rPr>
        <w:t>%，经营主体同比增长率</w:t>
      </w:r>
      <w:r>
        <w:rPr>
          <w:rFonts w:hint="eastAsia" w:ascii="Times New Roman" w:hAnsi="Times New Roman" w:eastAsia="仿宋_GB2312" w:cs="Times New Roman"/>
          <w:kern w:val="2"/>
          <w:sz w:val="32"/>
          <w:szCs w:val="32"/>
          <w:shd w:val="clear" w:color="auto" w:fill="FFFFFF"/>
          <w:lang w:val="en-US" w:eastAsia="zh-CN" w:bidi="ar-SA"/>
        </w:rPr>
        <w:t>在全市排名前列，涉企行政检查案件同比下降26.03%；涉企行政处罚案件同比下降40.22%。</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t>（四）</w:t>
      </w:r>
      <w:r>
        <w:rPr>
          <w:rFonts w:hint="default" w:ascii="Times New Roman" w:hAnsi="Times New Roman" w:eastAsia="楷体" w:cs="Times New Roman"/>
          <w:kern w:val="2"/>
          <w:sz w:val="32"/>
          <w:szCs w:val="32"/>
          <w:lang w:val="en-US" w:eastAsia="zh-CN" w:bidi="ar-SA"/>
        </w:rPr>
        <w:t>聚焦源头把控，提升决策法治含量</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shd w:val="clear" w:color="auto" w:fill="FFFFFF"/>
          <w:lang w:val="en-US" w:eastAsia="zh-CN" w:bidi="ar-SA"/>
        </w:rPr>
      </w:pPr>
      <w:r>
        <w:rPr>
          <w:rFonts w:hint="eastAsia" w:ascii="Times New Roman" w:hAnsi="Times New Roman" w:eastAsia="仿宋_GB2312" w:cs="Times New Roman"/>
          <w:kern w:val="2"/>
          <w:sz w:val="32"/>
          <w:szCs w:val="32"/>
          <w:shd w:val="clear" w:color="auto" w:fill="FFFFFF"/>
          <w:lang w:val="en-US" w:eastAsia="zh-CN" w:bidi="ar-SA"/>
        </w:rPr>
        <w:t>强化合法性审查全链条管控，让法律审查步入“快车道”，印发《关于进一步加强重大行政决策及政策文件前置审查评估工作的通知》，通过“两评两审”将合法性审核前置，制定向起草部门一次性告知文件完整流程图和材料清单模式，实现“应纳尽纳、应审尽审”，相关做法获人民网刊载。全年编制公布重大行政决策目录1项，3件重大行政决策获评柳州市重大行政决策示范案例，评审查各类文件58份，合同60件，清理规范性文件2件，进一步推进行政决策风险源头清零，确保决策合法合规、科学民主。</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楷体_GB2312" w:cs="Times New Roman"/>
          <w:color w:val="000000" w:themeColor="text1"/>
          <w:sz w:val="32"/>
          <w:szCs w:val="32"/>
          <w:highlight w:val="none"/>
          <w:lang w:val="en-US" w:eastAsia="zh-CN"/>
          <w14:textFill>
            <w14:solidFill>
              <w14:schemeClr w14:val="tx1"/>
            </w14:solidFill>
          </w14:textFill>
        </w:rPr>
        <w:t>（五）聚焦执法建设，提升执法规范水平</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2"/>
          <w:sz w:val="32"/>
          <w:szCs w:val="32"/>
          <w:shd w:val="clear" w:color="auto" w:fill="FFFFFF"/>
          <w:lang w:val="en-US" w:eastAsia="zh-CN" w:bidi="ar-SA"/>
        </w:rPr>
      </w:pPr>
      <w:r>
        <w:rPr>
          <w:rFonts w:hint="eastAsia" w:ascii="Times New Roman" w:hAnsi="Times New Roman" w:eastAsia="仿宋_GB2312" w:cs="Times New Roman"/>
          <w:kern w:val="2"/>
          <w:sz w:val="32"/>
          <w:szCs w:val="32"/>
          <w:shd w:val="clear" w:color="auto" w:fill="FFFFFF"/>
          <w:lang w:val="en-US" w:eastAsia="zh-CN" w:bidi="ar-SA"/>
        </w:rPr>
        <w:t>聚焦服务型执法建设，以减负担、优服务、强监管为导向，重点</w:t>
      </w:r>
      <w:r>
        <w:rPr>
          <w:rFonts w:hint="default" w:ascii="Times New Roman" w:hAnsi="Times New Roman" w:eastAsia="仿宋_GB2312" w:cs="Times New Roman"/>
          <w:kern w:val="2"/>
          <w:sz w:val="32"/>
          <w:szCs w:val="32"/>
          <w:shd w:val="clear" w:color="auto" w:fill="FFFFFF"/>
          <w:lang w:val="en-US" w:eastAsia="zh-CN" w:bidi="ar-SA"/>
        </w:rPr>
        <w:t>开展涉企执法专项整治</w:t>
      </w:r>
      <w:r>
        <w:rPr>
          <w:rFonts w:hint="eastAsia" w:ascii="Times New Roman" w:hAnsi="Times New Roman" w:eastAsia="仿宋_GB2312" w:cs="Times New Roman"/>
          <w:kern w:val="2"/>
          <w:sz w:val="32"/>
          <w:szCs w:val="32"/>
          <w:shd w:val="clear" w:color="auto" w:fill="FFFFFF"/>
          <w:lang w:val="en-US" w:eastAsia="zh-CN" w:bidi="ar-SA"/>
        </w:rPr>
        <w:t>和</w:t>
      </w:r>
      <w:r>
        <w:rPr>
          <w:rFonts w:hint="default" w:ascii="Times New Roman" w:hAnsi="Times New Roman" w:eastAsia="仿宋_GB2312" w:cs="Times New Roman"/>
          <w:kern w:val="2"/>
          <w:sz w:val="32"/>
          <w:szCs w:val="32"/>
          <w:shd w:val="clear" w:color="auto" w:fill="FFFFFF"/>
          <w:lang w:val="en-US" w:eastAsia="zh-CN" w:bidi="ar-SA"/>
        </w:rPr>
        <w:t>涉企行政执法专项行动</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制定</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动员部署</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自查自纠-整改提升</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阶梯式方案，精准查摆问题线索28</w:t>
      </w:r>
      <w:r>
        <w:rPr>
          <w:rFonts w:hint="eastAsia" w:ascii="Times New Roman" w:hAnsi="Times New Roman" w:eastAsia="仿宋_GB2312" w:cs="Times New Roman"/>
          <w:kern w:val="2"/>
          <w:sz w:val="32"/>
          <w:szCs w:val="32"/>
          <w:shd w:val="clear" w:color="auto" w:fill="FFFFFF"/>
          <w:lang w:val="en-US" w:eastAsia="zh-CN" w:bidi="ar-SA"/>
        </w:rPr>
        <w:t>条</w:t>
      </w:r>
      <w:r>
        <w:rPr>
          <w:rFonts w:hint="default" w:ascii="Times New Roman" w:hAnsi="Times New Roman" w:eastAsia="仿宋_GB2312" w:cs="Times New Roman"/>
          <w:kern w:val="2"/>
          <w:sz w:val="32"/>
          <w:szCs w:val="32"/>
          <w:shd w:val="clear" w:color="auto" w:fill="FFFFFF"/>
          <w:lang w:val="en-US" w:eastAsia="zh-CN" w:bidi="ar-SA"/>
        </w:rPr>
        <w:t>并100%整改</w:t>
      </w:r>
      <w:r>
        <w:rPr>
          <w:rFonts w:hint="eastAsia" w:ascii="Times New Roman" w:hAnsi="Times New Roman" w:eastAsia="仿宋_GB2312" w:cs="Times New Roman"/>
          <w:kern w:val="2"/>
          <w:sz w:val="32"/>
          <w:szCs w:val="32"/>
          <w:shd w:val="clear" w:color="auto" w:fill="FFFFFF"/>
          <w:lang w:val="en-US" w:eastAsia="zh-CN" w:bidi="ar-SA"/>
        </w:rPr>
        <w:t>。动态调整执法清单，清理无依据或重复检查事项12项，对轻微违法行为实行柔性执法，全年不予处罚案件19201件。聚焦校园食品安全领域执法，城中区纳入广西学校食堂食品安全信用管理试点城区，通过“公示+协同+奖惩+监督”四维发力，推动信用管理落地见效，辖区内65所学校食品安全信用管理实现全覆盖。依托智慧城管平台赋能精准执法，借助“AI数智助手”“AI智能抓拍”等功能，实现城市管理问题的智能识别、快速立案，问题处置效率提升60％以上。</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Times New Roman" w:hAnsi="Times New Roman" w:eastAsia="楷体_GB2312" w:cs="Times New Roman"/>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楷体_GB2312" w:cs="Times New Roman"/>
          <w:color w:val="000000" w:themeColor="text1"/>
          <w:kern w:val="2"/>
          <w:sz w:val="32"/>
          <w:szCs w:val="32"/>
          <w:highlight w:val="none"/>
          <w:lang w:val="en-US" w:eastAsia="zh-CN" w:bidi="ar-SA"/>
          <w14:textFill>
            <w14:solidFill>
              <w14:schemeClr w14:val="tx1"/>
            </w14:solidFill>
          </w14:textFill>
        </w:rPr>
        <w:t>（六）聚焦矛盾化解，提升法律服务温度</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坚持和发展新时代“枫桥经验”，</w:t>
      </w:r>
      <w:r>
        <w:rPr>
          <w:rFonts w:hint="eastAsia" w:ascii="Times New Roman" w:hAnsi="Times New Roman" w:eastAsia="仿宋_GB2312" w:cs="Times New Roman"/>
          <w:kern w:val="2"/>
          <w:sz w:val="32"/>
          <w:szCs w:val="32"/>
          <w:shd w:val="clear" w:color="auto" w:fill="FFFFFF"/>
          <w:lang w:val="en-US" w:eastAsia="zh-CN" w:bidi="ar-SA"/>
        </w:rPr>
        <w:t>以法治思维和法治方式化解矛盾、服务群众，提升基层治理现代化水平</w:t>
      </w:r>
      <w:r>
        <w:rPr>
          <w:rFonts w:hint="eastAsia" w:ascii="Times New Roman" w:hAnsi="Times New Roman" w:eastAsia="仿宋_GB2312" w:cs="Times New Roman"/>
          <w:sz w:val="32"/>
          <w:szCs w:val="32"/>
          <w:highlight w:val="none"/>
          <w:shd w:val="clear" w:color="auto" w:fill="FFFFFF"/>
          <w:lang w:val="en-US" w:eastAsia="zh-CN"/>
        </w:rPr>
        <w:t>，在2025年全国婚姻</w:t>
      </w:r>
      <w:r>
        <w:rPr>
          <w:rFonts w:hint="eastAsia" w:ascii="Times New Roman" w:hAnsi="Times New Roman" w:eastAsia="仿宋_GB2312" w:cs="Times New Roman"/>
          <w:kern w:val="2"/>
          <w:sz w:val="32"/>
          <w:szCs w:val="32"/>
          <w:shd w:val="clear" w:color="auto" w:fill="FFFFFF"/>
          <w:lang w:val="en-US" w:eastAsia="zh-CN" w:bidi="ar-SA"/>
        </w:rPr>
        <w:t>家庭纠纷人民调解工作“大比武”广西选拔活动中，我区选派律师斩获一等奖。2025年城中区各级人民调解委员会共开展矛盾纠纷排查1245次，预防纠纷407件，排查出矛盾纠纷481件，调处481件，调解成功率99%。收到行政复议申请</w:t>
      </w:r>
      <w:r>
        <w:rPr>
          <w:rFonts w:hint="eastAsia" w:ascii="Times New Roman" w:hAnsi="Times New Roman" w:eastAsia="仿宋_GB2312" w:cs="Times New Roman"/>
          <w:sz w:val="32"/>
          <w:szCs w:val="32"/>
          <w:highlight w:val="none"/>
          <w:shd w:val="clear" w:color="auto" w:fill="FFFFFF"/>
          <w:lang w:val="en-US" w:eastAsia="zh-CN"/>
        </w:rPr>
        <w:t>300件，审结108件（含2024年结转27件），经调解后申请人撤回复议申请终止结案39件，调解和解率为36.11%；被复议机关纠错案件15件，纠错率为13.89%</w:t>
      </w:r>
      <w:r>
        <w:rPr>
          <w:rFonts w:hint="eastAsia" w:ascii="仿宋_GB2312" w:hAnsi="仿宋_GB2312" w:eastAsia="仿宋_GB2312" w:cs="仿宋_GB2312"/>
          <w:sz w:val="32"/>
          <w:szCs w:val="32"/>
        </w:rPr>
        <w:t>，充分发挥</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行政复议化解行政争议主渠道作用。</w:t>
      </w:r>
      <w:r>
        <w:rPr>
          <w:rFonts w:hint="eastAsia" w:ascii="Times New Roman" w:hAnsi="Times New Roman" w:eastAsia="仿宋_GB2312" w:cs="Times New Roman"/>
          <w:sz w:val="32"/>
          <w:szCs w:val="32"/>
          <w:highlight w:val="none"/>
          <w:shd w:val="clear" w:color="auto" w:fill="FFFFFF"/>
          <w:lang w:val="en-US" w:eastAsia="zh-CN"/>
        </w:rPr>
        <w:t>法律援助开辟绿色通道，对农民工讨薪案免除经济审查，推行经济困难承诺制，减轻困难群众办事负担。提供法律咨询服务160余次，受理农民工案件79件，其中经济困难证明告知承诺办理的案件6件。</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楷体_GB2312" w:cs="Times New Roman"/>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楷体_GB2312" w:cs="Times New Roman"/>
          <w:color w:val="000000" w:themeColor="text1"/>
          <w:kern w:val="2"/>
          <w:sz w:val="32"/>
          <w:szCs w:val="32"/>
          <w:highlight w:val="none"/>
          <w:lang w:val="en-US" w:eastAsia="zh-CN" w:bidi="ar-SA"/>
          <w14:textFill>
            <w14:solidFill>
              <w14:schemeClr w14:val="tx1"/>
            </w14:solidFill>
          </w14:textFill>
        </w:rPr>
        <w:t>（七）聚焦多维覆盖，提升法治宣传实效</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shd w:val="clear" w:color="auto" w:fill="FFFFFF"/>
          <w:lang w:val="en-US" w:eastAsia="zh-CN" w:bidi="ar-SA"/>
        </w:rPr>
      </w:pPr>
      <w:r>
        <w:rPr>
          <w:rFonts w:hint="eastAsia" w:ascii="Times New Roman" w:hAnsi="Times New Roman" w:eastAsia="仿宋_GB2312" w:cs="Times New Roman"/>
          <w:kern w:val="2"/>
          <w:sz w:val="32"/>
          <w:szCs w:val="32"/>
          <w:shd w:val="clear" w:color="auto" w:fill="FFFFFF"/>
          <w:lang w:val="en-US" w:eastAsia="zh-CN" w:bidi="ar-SA"/>
        </w:rPr>
        <w:t>扎实推进“八五”普法规划各项工作，组建全市首支“校外法治辅导员”队伍，未成年人主题普法同比增长81%。探索人工智能+法治服务，在“法治城中”微信公众号中创新开通AI助手服务，有效提升了普法效率与服务可及性。抓牢“关键少数”，开展“谁执法谁普法”履职评议，以“年度评议+任务措施清单”并行，领导干部法治培训同比增长12%。深化“绝大多数”普法教育，环江村民法广场首次入选柳州市法治文化阵地地图，村、社区普法活动同比增长68%；聚焦企业法治服务供给，为企业提供定制化合规指导，并通过AI助手实时解答企业法律疑问，推动企业依法合规经营，“送法入企”场次同比提升50%。</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楷体_GB2312" w:cs="Times New Roman"/>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楷体_GB2312" w:cs="Times New Roman"/>
          <w:color w:val="000000" w:themeColor="text1"/>
          <w:kern w:val="2"/>
          <w:sz w:val="32"/>
          <w:szCs w:val="32"/>
          <w:highlight w:val="none"/>
          <w:lang w:val="en-US" w:eastAsia="zh-CN" w:bidi="ar-SA"/>
          <w14:textFill>
            <w14:solidFill>
              <w14:schemeClr w14:val="tx1"/>
            </w14:solidFill>
          </w14:textFill>
        </w:rPr>
        <w:t>（八）聚焦规范用权，凝聚内外监督合力</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shd w:val="clear" w:color="auto" w:fill="FFFFFF"/>
          <w:lang w:val="en-US" w:eastAsia="zh-CN" w:bidi="ar-SA"/>
        </w:rPr>
      </w:pPr>
      <w:r>
        <w:rPr>
          <w:rFonts w:hint="eastAsia" w:ascii="Times New Roman" w:hAnsi="Times New Roman" w:eastAsia="仿宋_GB2312" w:cs="Times New Roman"/>
          <w:kern w:val="2"/>
          <w:sz w:val="32"/>
          <w:szCs w:val="32"/>
          <w:shd w:val="clear" w:color="auto" w:fill="FFFFFF"/>
          <w:lang w:val="en-US" w:eastAsia="zh-CN" w:bidi="ar-SA"/>
        </w:rPr>
        <w:t>将依法行政作为法治政府建设核心抓手，以健全监督体系、提升治理效能为目标，持续筑牢依法行政制度根基，主动接受人大法律监督、工作监督和政协民主监督，高效办理人大代表建议40件、政协提案16件，精准回应代表委员在民生保障等领域的关切，确保事事有回音、件件有着落，办结率均达100%，满意度持续提升。充分发挥审计监督职能，区审计局共完成审计项目7个，提出审计建议23条，推动被审计单位建立健全规章制度15项。充分发挥全区干部监督联席会议制度作用，联动区委组织部、区纪委、区委巡察办、公检法等部门，互通共享问题线索，对苗头性问题及时研判预警，对“一把手”存在规范用权方面问惩的及时提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Times New Roman"/>
          <w:bCs/>
          <w:color w:val="000000"/>
          <w:kern w:val="0"/>
          <w:sz w:val="32"/>
          <w:szCs w:val="32"/>
        </w:rPr>
      </w:pPr>
      <w:r>
        <w:rPr>
          <w:rFonts w:hint="eastAsia" w:ascii="Times New Roman" w:hAnsi="Times New Roman" w:eastAsia="黑体" w:cs="Times New Roman"/>
          <w:bCs/>
          <w:color w:val="000000"/>
          <w:kern w:val="0"/>
          <w:sz w:val="32"/>
          <w:szCs w:val="32"/>
        </w:rPr>
        <w:t>二、202</w:t>
      </w:r>
      <w:r>
        <w:rPr>
          <w:rFonts w:hint="eastAsia" w:ascii="Times New Roman" w:hAnsi="Times New Roman" w:eastAsia="黑体" w:cs="Times New Roman"/>
          <w:bCs/>
          <w:color w:val="000000"/>
          <w:kern w:val="0"/>
          <w:sz w:val="32"/>
          <w:szCs w:val="32"/>
          <w:lang w:val="en-US" w:eastAsia="zh-CN"/>
        </w:rPr>
        <w:t>5</w:t>
      </w:r>
      <w:r>
        <w:rPr>
          <w:rFonts w:hint="eastAsia" w:ascii="Times New Roman" w:hAnsi="Times New Roman" w:eastAsia="黑体" w:cs="Times New Roman"/>
          <w:bCs/>
          <w:color w:val="000000"/>
          <w:kern w:val="0"/>
          <w:sz w:val="32"/>
          <w:szCs w:val="32"/>
        </w:rPr>
        <w:t>年度推进法治政府建设存在的不足和原因</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楷体_GB2312" w:hAnsi="楷体_GB2312" w:eastAsia="楷体_GB2312" w:cs="楷体_GB2312"/>
          <w:b w:val="0"/>
          <w:bCs w:val="0"/>
          <w:color w:val="000000"/>
          <w:kern w:val="2"/>
          <w:sz w:val="32"/>
          <w:szCs w:val="32"/>
          <w:lang w:val="en-US" w:eastAsia="zh-CN" w:bidi="ar-SA"/>
        </w:rPr>
      </w:pPr>
      <w:bookmarkStart w:id="2" w:name="OLE_LINK1"/>
      <w:r>
        <w:rPr>
          <w:rFonts w:hint="eastAsia" w:ascii="楷体_GB2312" w:hAnsi="楷体_GB2312" w:eastAsia="楷体_GB2312" w:cs="楷体_GB2312"/>
          <w:b w:val="0"/>
          <w:bCs w:val="0"/>
          <w:color w:val="000000"/>
          <w:kern w:val="2"/>
          <w:sz w:val="32"/>
          <w:szCs w:val="32"/>
          <w:lang w:val="en-US" w:eastAsia="zh-CN" w:bidi="ar-SA"/>
        </w:rPr>
        <w:t>（一）法治政府建设</w:t>
      </w:r>
      <w:bookmarkEnd w:id="2"/>
      <w:r>
        <w:rPr>
          <w:rFonts w:hint="eastAsia" w:ascii="楷体_GB2312" w:hAnsi="楷体_GB2312" w:eastAsia="楷体_GB2312" w:cs="楷体_GB2312"/>
          <w:b w:val="0"/>
          <w:bCs w:val="0"/>
          <w:color w:val="000000"/>
          <w:kern w:val="2"/>
          <w:sz w:val="32"/>
          <w:szCs w:val="32"/>
          <w:lang w:val="en-US" w:eastAsia="zh-CN" w:bidi="ar-SA"/>
        </w:rPr>
        <w:t>中智慧执法与科技赋能存在短板</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imes New Roman" w:hAnsi="Times New Roman" w:eastAsia="仿宋_GB2312" w:cs="Times New Roman"/>
          <w:b w:val="0"/>
          <w:bCs w:val="0"/>
          <w:kern w:val="2"/>
          <w:sz w:val="32"/>
          <w:szCs w:val="32"/>
          <w:highlight w:val="none"/>
          <w:shd w:val="clear" w:color="auto" w:fill="FFFFFF"/>
          <w:lang w:val="en-US" w:eastAsia="zh-CN" w:bidi="ar-SA"/>
        </w:rPr>
      </w:pPr>
      <w:r>
        <w:rPr>
          <w:rFonts w:hint="eastAsia" w:ascii="Times New Roman" w:hAnsi="Times New Roman" w:eastAsia="仿宋_GB2312" w:cs="Times New Roman"/>
          <w:b w:val="0"/>
          <w:bCs w:val="0"/>
          <w:kern w:val="2"/>
          <w:sz w:val="32"/>
          <w:szCs w:val="32"/>
          <w:highlight w:val="none"/>
          <w:shd w:val="clear" w:color="auto" w:fill="FFFFFF"/>
          <w:lang w:val="en-US" w:eastAsia="zh-CN" w:bidi="ar-SA"/>
        </w:rPr>
        <w:t>部分执法部门智慧执法系统分散独立，缺乏统一数据接口，导致执法信息“孤岛化”，案件线索传递、证据共享效率低下。数据赋能深度不够，现有系统多停留在信息录入层面，未充分运用大数据分析实现执法风险预警、重点领域精准监管。同时，执法人员科技应用素养参差不齐，部分人员对智能系统操作不熟练，难以将科技工具与执法流程深度融合，制约了智慧执法优势的充分发挥，需进一步强化系统整合与能力提升。</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leftChars="200"/>
        <w:jc w:val="both"/>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（二）法治政府建设中</w:t>
      </w:r>
      <w:r>
        <w:rPr>
          <w:rFonts w:hint="default" w:ascii="楷体_GB2312" w:hAnsi="楷体_GB2312" w:eastAsia="楷体_GB2312" w:cs="楷体_GB2312"/>
          <w:b w:val="0"/>
          <w:bCs w:val="0"/>
          <w:color w:val="auto"/>
          <w:sz w:val="32"/>
          <w:szCs w:val="32"/>
          <w:lang w:val="en-US" w:eastAsia="zh-CN"/>
        </w:rPr>
        <w:t>整体性与协同性仍存在不足</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b w:val="0"/>
          <w:bCs w:val="0"/>
          <w:kern w:val="2"/>
          <w:sz w:val="32"/>
          <w:szCs w:val="32"/>
          <w:highlight w:val="none"/>
          <w:shd w:val="clear" w:color="auto" w:fill="FFFFFF"/>
          <w:lang w:val="en-US" w:eastAsia="zh-CN" w:bidi="ar-SA"/>
        </w:rPr>
      </w:pPr>
      <w:r>
        <w:rPr>
          <w:rFonts w:hint="default" w:ascii="Times New Roman" w:hAnsi="Times New Roman" w:eastAsia="仿宋_GB2312" w:cs="Times New Roman"/>
          <w:b w:val="0"/>
          <w:bCs w:val="0"/>
          <w:kern w:val="2"/>
          <w:sz w:val="32"/>
          <w:szCs w:val="32"/>
          <w:highlight w:val="none"/>
          <w:shd w:val="clear" w:color="auto" w:fill="FFFFFF"/>
          <w:lang w:val="en-US" w:eastAsia="zh-CN" w:bidi="ar-SA"/>
        </w:rPr>
        <w:t>部分单位业务工作与法治建设融合不深的现象较为突出</w:t>
      </w:r>
      <w:r>
        <w:rPr>
          <w:rFonts w:hint="eastAsia" w:ascii="Times New Roman" w:hAnsi="Times New Roman" w:eastAsia="仿宋_GB2312" w:cs="Times New Roman"/>
          <w:b w:val="0"/>
          <w:bCs w:val="0"/>
          <w:kern w:val="2"/>
          <w:sz w:val="32"/>
          <w:szCs w:val="32"/>
          <w:highlight w:val="none"/>
          <w:shd w:val="clear" w:color="auto" w:fill="FFFFFF"/>
          <w:lang w:val="en-US" w:eastAsia="zh-CN" w:bidi="ar-SA"/>
        </w:rPr>
        <w:t>，</w:t>
      </w:r>
      <w:r>
        <w:rPr>
          <w:rFonts w:hint="default" w:ascii="Times New Roman" w:hAnsi="Times New Roman" w:eastAsia="仿宋_GB2312" w:cs="Times New Roman"/>
          <w:b w:val="0"/>
          <w:bCs w:val="0"/>
          <w:kern w:val="2"/>
          <w:sz w:val="32"/>
          <w:szCs w:val="32"/>
          <w:highlight w:val="none"/>
          <w:shd w:val="clear" w:color="auto" w:fill="FFFFFF"/>
          <w:lang w:val="en-US" w:eastAsia="zh-CN" w:bidi="ar-SA"/>
        </w:rPr>
        <w:t>将法治建设视为单一职能部门的任务，各业务科室参与度</w:t>
      </w:r>
      <w:r>
        <w:rPr>
          <w:rFonts w:hint="eastAsia" w:ascii="Times New Roman" w:hAnsi="Times New Roman" w:eastAsia="仿宋_GB2312" w:cs="Times New Roman"/>
          <w:b w:val="0"/>
          <w:bCs w:val="0"/>
          <w:kern w:val="2"/>
          <w:sz w:val="32"/>
          <w:szCs w:val="32"/>
          <w:highlight w:val="none"/>
          <w:shd w:val="clear" w:color="auto" w:fill="FFFFFF"/>
          <w:lang w:val="en-US" w:eastAsia="zh-CN" w:bidi="ar-SA"/>
        </w:rPr>
        <w:t>较</w:t>
      </w:r>
      <w:r>
        <w:rPr>
          <w:rFonts w:hint="default" w:ascii="Times New Roman" w:hAnsi="Times New Roman" w:eastAsia="仿宋_GB2312" w:cs="Times New Roman"/>
          <w:b w:val="0"/>
          <w:bCs w:val="0"/>
          <w:kern w:val="2"/>
          <w:sz w:val="32"/>
          <w:szCs w:val="32"/>
          <w:highlight w:val="none"/>
          <w:shd w:val="clear" w:color="auto" w:fill="FFFFFF"/>
          <w:lang w:val="en-US" w:eastAsia="zh-CN" w:bidi="ar-SA"/>
        </w:rPr>
        <w:t>低。业务与法治“两张皮”问题</w:t>
      </w:r>
      <w:r>
        <w:rPr>
          <w:rFonts w:hint="eastAsia" w:ascii="Times New Roman" w:hAnsi="Times New Roman" w:eastAsia="仿宋_GB2312" w:cs="Times New Roman"/>
          <w:b w:val="0"/>
          <w:bCs w:val="0"/>
          <w:kern w:val="2"/>
          <w:sz w:val="32"/>
          <w:szCs w:val="32"/>
          <w:highlight w:val="none"/>
          <w:shd w:val="clear" w:color="auto" w:fill="FFFFFF"/>
          <w:lang w:val="en-US" w:eastAsia="zh-CN" w:bidi="ar-SA"/>
        </w:rPr>
        <w:t>较为</w:t>
      </w:r>
      <w:r>
        <w:rPr>
          <w:rFonts w:hint="default" w:ascii="Times New Roman" w:hAnsi="Times New Roman" w:eastAsia="仿宋_GB2312" w:cs="Times New Roman"/>
          <w:b w:val="0"/>
          <w:bCs w:val="0"/>
          <w:kern w:val="2"/>
          <w:sz w:val="32"/>
          <w:szCs w:val="32"/>
          <w:highlight w:val="none"/>
          <w:shd w:val="clear" w:color="auto" w:fill="FFFFFF"/>
          <w:lang w:val="en-US" w:eastAsia="zh-CN" w:bidi="ar-SA"/>
        </w:rPr>
        <w:t>明显，部分单位开展项目审批、政策制定等工作时，未同步进行风险评估</w:t>
      </w:r>
      <w:r>
        <w:rPr>
          <w:rFonts w:hint="eastAsia" w:ascii="Times New Roman" w:hAnsi="Times New Roman" w:eastAsia="仿宋_GB2312" w:cs="Times New Roman"/>
          <w:b w:val="0"/>
          <w:bCs w:val="0"/>
          <w:kern w:val="2"/>
          <w:sz w:val="32"/>
          <w:szCs w:val="32"/>
          <w:highlight w:val="none"/>
          <w:shd w:val="clear" w:color="auto" w:fill="FFFFFF"/>
          <w:lang w:val="en-US" w:eastAsia="zh-CN" w:bidi="ar-SA"/>
        </w:rPr>
        <w:t>，法制审核人员未进行审查</w:t>
      </w:r>
      <w:r>
        <w:rPr>
          <w:rFonts w:hint="default" w:ascii="Times New Roman" w:hAnsi="Times New Roman" w:eastAsia="仿宋_GB2312" w:cs="Times New Roman"/>
          <w:b w:val="0"/>
          <w:bCs w:val="0"/>
          <w:kern w:val="2"/>
          <w:sz w:val="32"/>
          <w:szCs w:val="32"/>
          <w:highlight w:val="none"/>
          <w:shd w:val="clear" w:color="auto" w:fill="FFFFFF"/>
          <w:lang w:val="en-US" w:eastAsia="zh-CN" w:bidi="ar-SA"/>
        </w:rPr>
        <w:t>，在问题出现后才寻求法律补救，既影响工作质效，也增加了法律风险，制约了法治政府建设的系统性推进。</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leftChars="200"/>
        <w:jc w:val="both"/>
        <w:textAlignment w:val="auto"/>
        <w:rPr>
          <w:rFonts w:hint="eastAsia" w:ascii="楷体_GB2312" w:hAnsi="楷体_GB2312" w:eastAsia="楷体_GB2312" w:cs="楷体_GB2312"/>
          <w:b w:val="0"/>
          <w:bCs w:val="0"/>
          <w:color w:val="auto"/>
          <w:sz w:val="32"/>
          <w:szCs w:val="32"/>
          <w:lang w:eastAsia="zh-CN"/>
        </w:rPr>
      </w:pPr>
      <w:r>
        <w:rPr>
          <w:rFonts w:hint="default" w:ascii="楷体_GB2312" w:hAnsi="楷体_GB2312" w:eastAsia="楷体_GB2312" w:cs="楷体_GB2312"/>
          <w:b w:val="0"/>
          <w:bCs w:val="0"/>
          <w:color w:val="auto"/>
          <w:sz w:val="32"/>
          <w:szCs w:val="32"/>
          <w:lang w:eastAsia="zh-CN"/>
        </w:rPr>
        <w:t>（</w:t>
      </w:r>
      <w:r>
        <w:rPr>
          <w:rFonts w:hint="eastAsia" w:ascii="楷体_GB2312" w:hAnsi="楷体_GB2312" w:eastAsia="楷体_GB2312" w:cs="楷体_GB2312"/>
          <w:b w:val="0"/>
          <w:bCs w:val="0"/>
          <w:color w:val="auto"/>
          <w:sz w:val="32"/>
          <w:szCs w:val="32"/>
          <w:lang w:eastAsia="zh-CN"/>
        </w:rPr>
        <w:t>三</w:t>
      </w:r>
      <w:r>
        <w:rPr>
          <w:rFonts w:hint="default" w:ascii="楷体_GB2312" w:hAnsi="楷体_GB2312" w:eastAsia="楷体_GB2312" w:cs="楷体_GB2312"/>
          <w:b w:val="0"/>
          <w:bCs w:val="0"/>
          <w:color w:val="auto"/>
          <w:sz w:val="32"/>
          <w:szCs w:val="32"/>
          <w:lang w:eastAsia="zh-CN"/>
        </w:rPr>
        <w:t>）基层执法队伍能力与规范化要求存在差距</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Chars="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val="0"/>
          <w:bCs w:val="0"/>
          <w:color w:val="000000"/>
          <w:kern w:val="2"/>
          <w:sz w:val="32"/>
          <w:szCs w:val="32"/>
          <w:lang w:val="en-US" w:eastAsia="zh-CN" w:bidi="ar-SA"/>
        </w:rPr>
        <w:t>部分基层执法人员法治素养不足，对新</w:t>
      </w:r>
      <w:r>
        <w:rPr>
          <w:rFonts w:hint="eastAsia" w:ascii="Times New Roman" w:hAnsi="Times New Roman" w:eastAsia="仿宋_GB2312" w:cs="Times New Roman"/>
          <w:b w:val="0"/>
          <w:bCs w:val="0"/>
          <w:color w:val="000000"/>
          <w:kern w:val="2"/>
          <w:sz w:val="32"/>
          <w:szCs w:val="32"/>
          <w:lang w:val="en-US" w:eastAsia="zh-CN" w:bidi="ar-SA"/>
        </w:rPr>
        <w:t>修订的</w:t>
      </w:r>
      <w:r>
        <w:rPr>
          <w:rFonts w:hint="default" w:ascii="Times New Roman" w:hAnsi="Times New Roman" w:eastAsia="仿宋_GB2312" w:cs="Times New Roman"/>
          <w:b w:val="0"/>
          <w:bCs w:val="0"/>
          <w:color w:val="000000"/>
          <w:kern w:val="2"/>
          <w:sz w:val="32"/>
          <w:szCs w:val="32"/>
          <w:lang w:val="en-US" w:eastAsia="zh-CN" w:bidi="ar-SA"/>
        </w:rPr>
        <w:t>法律法规理解不</w:t>
      </w:r>
      <w:r>
        <w:rPr>
          <w:rFonts w:hint="eastAsia" w:ascii="Times New Roman" w:hAnsi="Times New Roman" w:eastAsia="仿宋_GB2312" w:cs="Times New Roman"/>
          <w:b w:val="0"/>
          <w:bCs w:val="0"/>
          <w:color w:val="000000"/>
          <w:kern w:val="2"/>
          <w:sz w:val="32"/>
          <w:szCs w:val="32"/>
          <w:lang w:val="en-US" w:eastAsia="zh-CN" w:bidi="ar-SA"/>
        </w:rPr>
        <w:t>够</w:t>
      </w:r>
      <w:r>
        <w:rPr>
          <w:rFonts w:hint="default" w:ascii="Times New Roman" w:hAnsi="Times New Roman" w:eastAsia="仿宋_GB2312" w:cs="Times New Roman"/>
          <w:b w:val="0"/>
          <w:bCs w:val="0"/>
          <w:color w:val="000000"/>
          <w:kern w:val="2"/>
          <w:sz w:val="32"/>
          <w:szCs w:val="32"/>
          <w:lang w:val="en-US" w:eastAsia="zh-CN" w:bidi="ar-SA"/>
        </w:rPr>
        <w:t>透彻，办案时易出现法律适用偏差</w:t>
      </w:r>
      <w:r>
        <w:rPr>
          <w:rFonts w:hint="eastAsia" w:ascii="Times New Roman" w:hAnsi="Times New Roman" w:eastAsia="仿宋_GB2312" w:cs="Times New Roman"/>
          <w:b w:val="0"/>
          <w:bCs w:val="0"/>
          <w:color w:val="000000"/>
          <w:kern w:val="2"/>
          <w:sz w:val="32"/>
          <w:szCs w:val="32"/>
          <w:lang w:val="en-US" w:eastAsia="zh-CN" w:bidi="ar-SA"/>
        </w:rPr>
        <w:t>等</w:t>
      </w:r>
      <w:r>
        <w:rPr>
          <w:rFonts w:hint="default" w:ascii="Times New Roman" w:hAnsi="Times New Roman" w:eastAsia="仿宋_GB2312" w:cs="Times New Roman"/>
          <w:b w:val="0"/>
          <w:bCs w:val="0"/>
          <w:color w:val="000000"/>
          <w:kern w:val="2"/>
          <w:sz w:val="32"/>
          <w:szCs w:val="32"/>
          <w:lang w:val="en-US" w:eastAsia="zh-CN" w:bidi="ar-SA"/>
        </w:rPr>
        <w:t>问题</w:t>
      </w:r>
      <w:r>
        <w:rPr>
          <w:rFonts w:hint="eastAsia" w:ascii="Times New Roman" w:hAnsi="Times New Roman" w:eastAsia="仿宋_GB2312" w:cs="Times New Roman"/>
          <w:b w:val="0"/>
          <w:bCs w:val="0"/>
          <w:color w:val="000000"/>
          <w:kern w:val="2"/>
          <w:sz w:val="32"/>
          <w:szCs w:val="32"/>
          <w:lang w:val="en-US" w:eastAsia="zh-CN" w:bidi="ar-SA"/>
        </w:rPr>
        <w:t>，</w:t>
      </w:r>
      <w:r>
        <w:rPr>
          <w:rFonts w:hint="default" w:ascii="Times New Roman" w:hAnsi="Times New Roman" w:eastAsia="仿宋_GB2312" w:cs="Times New Roman"/>
          <w:b w:val="0"/>
          <w:bCs w:val="0"/>
          <w:color w:val="000000"/>
          <w:kern w:val="2"/>
          <w:sz w:val="32"/>
          <w:szCs w:val="32"/>
          <w:lang w:val="en-US" w:eastAsia="zh-CN" w:bidi="ar-SA"/>
        </w:rPr>
        <w:t>执法方式较为简单粗放，</w:t>
      </w:r>
      <w:r>
        <w:rPr>
          <w:rFonts w:hint="eastAsia" w:ascii="Times New Roman" w:hAnsi="Times New Roman" w:eastAsia="仿宋_GB2312" w:cs="Times New Roman"/>
          <w:b w:val="0"/>
          <w:bCs w:val="0"/>
          <w:color w:val="000000"/>
          <w:kern w:val="2"/>
          <w:sz w:val="32"/>
          <w:szCs w:val="32"/>
          <w:lang w:val="en-US" w:eastAsia="zh-CN" w:bidi="ar-SA"/>
        </w:rPr>
        <w:t>行政执法</w:t>
      </w:r>
      <w:r>
        <w:rPr>
          <w:rFonts w:hint="default" w:ascii="Times New Roman" w:hAnsi="Times New Roman" w:eastAsia="仿宋_GB2312" w:cs="Times New Roman"/>
          <w:b w:val="0"/>
          <w:bCs w:val="0"/>
          <w:color w:val="000000"/>
          <w:kern w:val="2"/>
          <w:sz w:val="32"/>
          <w:szCs w:val="32"/>
          <w:lang w:val="en-US" w:eastAsia="zh-CN" w:bidi="ar-SA"/>
        </w:rPr>
        <w:t>队伍缺乏兼具法律知识与行业技能的复合型人才，面对新业态、新领域执法时反映出专业能力与法治建设</w:t>
      </w:r>
      <w:r>
        <w:rPr>
          <w:rFonts w:hint="eastAsia" w:ascii="Times New Roman" w:hAnsi="Times New Roman" w:eastAsia="仿宋_GB2312" w:cs="Times New Roman"/>
          <w:b w:val="0"/>
          <w:bCs w:val="0"/>
          <w:color w:val="000000"/>
          <w:kern w:val="2"/>
          <w:sz w:val="32"/>
          <w:szCs w:val="32"/>
          <w:lang w:val="en-US" w:eastAsia="zh-CN" w:bidi="ar-SA"/>
        </w:rPr>
        <w:t>规范化</w:t>
      </w:r>
      <w:r>
        <w:rPr>
          <w:rFonts w:hint="default" w:ascii="Times New Roman" w:hAnsi="Times New Roman" w:eastAsia="仿宋_GB2312" w:cs="Times New Roman"/>
          <w:b w:val="0"/>
          <w:bCs w:val="0"/>
          <w:color w:val="000000"/>
          <w:kern w:val="2"/>
          <w:sz w:val="32"/>
          <w:szCs w:val="32"/>
          <w:lang w:val="en-US" w:eastAsia="zh-CN" w:bidi="ar-SA"/>
        </w:rPr>
        <w:t>要求</w:t>
      </w:r>
      <w:r>
        <w:rPr>
          <w:rFonts w:hint="eastAsia" w:ascii="Times New Roman" w:hAnsi="Times New Roman" w:eastAsia="仿宋_GB2312" w:cs="Times New Roman"/>
          <w:b w:val="0"/>
          <w:bCs w:val="0"/>
          <w:color w:val="000000"/>
          <w:kern w:val="2"/>
          <w:sz w:val="32"/>
          <w:szCs w:val="32"/>
          <w:lang w:val="en-US" w:eastAsia="zh-CN" w:bidi="ar-SA"/>
        </w:rPr>
        <w:t>仍</w:t>
      </w:r>
      <w:r>
        <w:rPr>
          <w:rFonts w:hint="default" w:ascii="Times New Roman" w:hAnsi="Times New Roman" w:eastAsia="仿宋_GB2312" w:cs="Times New Roman"/>
          <w:b w:val="0"/>
          <w:bCs w:val="0"/>
          <w:color w:val="000000"/>
          <w:kern w:val="2"/>
          <w:sz w:val="32"/>
          <w:szCs w:val="32"/>
          <w:lang w:val="en-US" w:eastAsia="zh-CN" w:bidi="ar-SA"/>
        </w:rPr>
        <w:t>存在差距。部分执法环节存在记录不完整、归档不规范情况，给后续监督带来困难，制约了基层执法工作的规范化、精细化发展。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楷体_GB2312" w:cs="Times New Roman"/>
          <w:color w:val="000000"/>
          <w:sz w:val="32"/>
          <w:szCs w:val="32"/>
          <w:highlight w:val="none"/>
          <w:lang w:val="en-US" w:eastAsia="zh-CN"/>
        </w:rPr>
      </w:pPr>
      <w:r>
        <w:rPr>
          <w:rFonts w:hint="eastAsia" w:ascii="Times New Roman" w:hAnsi="Times New Roman" w:eastAsia="黑体"/>
          <w:bCs/>
          <w:color w:val="000000"/>
          <w:kern w:val="0"/>
          <w:sz w:val="32"/>
          <w:szCs w:val="32"/>
          <w:lang w:val="en-US" w:eastAsia="zh-CN"/>
        </w:rPr>
        <w:t>三、</w:t>
      </w:r>
      <w:r>
        <w:rPr>
          <w:rFonts w:hint="eastAsia" w:ascii="Times New Roman" w:hAnsi="Times New Roman" w:eastAsia="黑体"/>
          <w:bCs/>
          <w:color w:val="000000"/>
          <w:kern w:val="0"/>
          <w:sz w:val="32"/>
          <w:szCs w:val="32"/>
          <w:lang w:eastAsia="zh-CN"/>
        </w:rPr>
        <w:t>下一年度推进法治政府建设安排</w:t>
      </w:r>
    </w:p>
    <w:p>
      <w:pPr>
        <w:pStyle w:val="14"/>
        <w:keepNext w:val="0"/>
        <w:keepLines w:val="0"/>
        <w:pageBreakBefore w:val="0"/>
        <w:kinsoku/>
        <w:wordWrap/>
        <w:overflowPunct/>
        <w:topLinePunct w:val="0"/>
        <w:autoSpaceDE/>
        <w:autoSpaceDN/>
        <w:bidi w:val="0"/>
        <w:adjustRightInd/>
        <w:snapToGrid/>
        <w:spacing w:line="560" w:lineRule="exact"/>
        <w:ind w:firstLine="640"/>
        <w:jc w:val="both"/>
        <w:textAlignment w:val="auto"/>
        <w:rPr>
          <w:rFonts w:hint="eastAsia" w:ascii="Calibri" w:hAnsi="仿宋_GB2312" w:eastAsia="仿宋_GB2312" w:cs="Times New Roman"/>
          <w:snapToGrid/>
          <w:color w:val="auto"/>
          <w:kern w:val="2"/>
          <w:sz w:val="32"/>
          <w:szCs w:val="32"/>
          <w:shd w:val="clear" w:color="auto" w:fill="FFFFFF"/>
          <w:lang w:val="en-US" w:eastAsia="zh-CN" w:bidi="ar-SA"/>
        </w:rPr>
      </w:pPr>
      <w:r>
        <w:rPr>
          <w:rFonts w:hint="eastAsia" w:ascii="Times New Roman" w:hAnsi="Times New Roman" w:eastAsia="仿宋_GB2312" w:cs="Times New Roman"/>
          <w:bCs/>
          <w:snapToGrid/>
          <w:color w:val="auto"/>
          <w:kern w:val="2"/>
          <w:sz w:val="32"/>
          <w:szCs w:val="32"/>
          <w:lang w:val="en-US" w:eastAsia="zh-CN" w:bidi="ar-SA"/>
        </w:rPr>
        <w:t>202</w:t>
      </w:r>
      <w:r>
        <w:rPr>
          <w:rFonts w:hint="eastAsia" w:ascii="Times New Roman" w:hAnsi="Times New Roman" w:cs="Times New Roman"/>
          <w:bCs/>
          <w:snapToGrid/>
          <w:color w:val="auto"/>
          <w:kern w:val="2"/>
          <w:sz w:val="32"/>
          <w:szCs w:val="32"/>
          <w:lang w:val="en-US" w:eastAsia="zh-CN" w:bidi="ar-SA"/>
        </w:rPr>
        <w:t>6</w:t>
      </w:r>
      <w:r>
        <w:rPr>
          <w:rFonts w:hint="eastAsia" w:ascii="Times New Roman" w:hAnsi="Times New Roman" w:eastAsia="仿宋_GB2312" w:cs="Times New Roman"/>
          <w:bCs/>
          <w:snapToGrid/>
          <w:color w:val="auto"/>
          <w:kern w:val="2"/>
          <w:sz w:val="32"/>
          <w:szCs w:val="32"/>
          <w:lang w:val="en-US" w:eastAsia="zh-CN" w:bidi="ar-SA"/>
        </w:rPr>
        <w:t>年，城</w:t>
      </w:r>
      <w:r>
        <w:rPr>
          <w:rFonts w:hint="eastAsia" w:ascii="Calibri" w:hAnsi="仿宋_GB2312" w:eastAsia="仿宋_GB2312" w:cs="Times New Roman"/>
          <w:snapToGrid/>
          <w:color w:val="auto"/>
          <w:kern w:val="2"/>
          <w:sz w:val="32"/>
          <w:szCs w:val="32"/>
          <w:shd w:val="clear" w:color="auto" w:fill="FFFFFF"/>
          <w:lang w:val="en-US" w:eastAsia="zh-CN" w:bidi="ar-SA"/>
        </w:rPr>
        <w:t>中区将坚持以习近平新时代中国特色社会主义思想为指导，持续深入学习贯彻习近平法治思想，贯彻落实习近平总书记</w:t>
      </w:r>
      <w:r>
        <w:rPr>
          <w:rFonts w:hint="default" w:ascii="Times New Roman" w:hAnsi="Times New Roman" w:eastAsia="仿宋_GB2312" w:cs="Times New Roman"/>
          <w:sz w:val="32"/>
          <w:szCs w:val="32"/>
          <w:lang w:val="en-US" w:eastAsia="zh-CN"/>
        </w:rPr>
        <w:t>关于广西工作论述的重要要求</w:t>
      </w:r>
      <w:r>
        <w:rPr>
          <w:rFonts w:hint="eastAsia" w:ascii="Calibri" w:hAnsi="仿宋_GB2312" w:eastAsia="仿宋_GB2312" w:cs="Times New Roman"/>
          <w:snapToGrid/>
          <w:color w:val="auto"/>
          <w:kern w:val="2"/>
          <w:sz w:val="32"/>
          <w:szCs w:val="32"/>
          <w:shd w:val="clear" w:color="auto" w:fill="FFFFFF"/>
          <w:lang w:val="en-US" w:eastAsia="zh-CN" w:bidi="ar-SA"/>
        </w:rPr>
        <w:t>，坚持法治城中、法治政府、法治社会一体建设，不断优化法治化营商环境，护航实体经济高质量发展。</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color w:val="auto"/>
          <w:kern w:val="0"/>
          <w:sz w:val="32"/>
          <w:szCs w:val="32"/>
          <w:lang w:val="en-US" w:eastAsia="zh-CN" w:bidi="ar"/>
        </w:rPr>
      </w:pPr>
      <w:r>
        <w:rPr>
          <w:rFonts w:hint="eastAsia" w:ascii="楷体_GB2312" w:hAnsi="楷体_GB2312" w:eastAsia="楷体_GB2312" w:cs="楷体_GB2312"/>
          <w:b w:val="0"/>
          <w:bCs w:val="0"/>
          <w:color w:val="auto"/>
          <w:kern w:val="0"/>
          <w:sz w:val="32"/>
          <w:szCs w:val="32"/>
          <w:lang w:val="en-US" w:eastAsia="zh-CN" w:bidi="ar"/>
        </w:rPr>
        <w:t>（一）</w:t>
      </w:r>
      <w:r>
        <w:rPr>
          <w:rFonts w:hint="default" w:ascii="楷体_GB2312" w:hAnsi="楷体_GB2312" w:eastAsia="楷体_GB2312" w:cs="楷体_GB2312"/>
          <w:b w:val="0"/>
          <w:bCs w:val="0"/>
          <w:color w:val="auto"/>
          <w:kern w:val="0"/>
          <w:sz w:val="32"/>
          <w:szCs w:val="32"/>
          <w:lang w:val="en-US" w:eastAsia="zh-CN" w:bidi="ar"/>
        </w:rPr>
        <w:t>聚焦智慧执法短板，强化科技赋能升级</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bCs w:val="0"/>
          <w:snapToGrid/>
          <w:color w:val="auto"/>
          <w:kern w:val="2"/>
          <w:sz w:val="32"/>
          <w:szCs w:val="32"/>
          <w:shd w:val="clear" w:color="auto" w:fill="FFFFFF"/>
          <w:lang w:val="en-US" w:eastAsia="zh-CN" w:bidi="ar-SA"/>
        </w:rPr>
      </w:pPr>
      <w:r>
        <w:rPr>
          <w:rFonts w:hint="default" w:ascii="Times New Roman" w:hAnsi="Times New Roman" w:eastAsia="仿宋_GB2312" w:cs="Times New Roman"/>
          <w:b w:val="0"/>
          <w:bCs w:val="0"/>
          <w:snapToGrid/>
          <w:color w:val="auto"/>
          <w:kern w:val="2"/>
          <w:sz w:val="32"/>
          <w:szCs w:val="32"/>
          <w:shd w:val="clear" w:color="auto" w:fill="FFFFFF"/>
          <w:lang w:val="en-US" w:eastAsia="zh-CN" w:bidi="ar-SA"/>
        </w:rPr>
        <w:t>加快推广应用广西行政执法综合管理监督平台、广西事中事后监管平台，推动执法数据录入</w:t>
      </w:r>
      <w:r>
        <w:rPr>
          <w:rFonts w:hint="eastAsia" w:ascii="Times New Roman" w:hAnsi="Times New Roman" w:eastAsia="仿宋_GB2312" w:cs="Times New Roman"/>
          <w:b w:val="0"/>
          <w:bCs w:val="0"/>
          <w:snapToGrid/>
          <w:color w:val="auto"/>
          <w:kern w:val="2"/>
          <w:sz w:val="32"/>
          <w:szCs w:val="32"/>
          <w:shd w:val="clear" w:color="auto" w:fill="FFFFFF"/>
          <w:lang w:val="en-US" w:eastAsia="zh-CN" w:bidi="ar-SA"/>
        </w:rPr>
        <w:t>、“扫码入企”工作；</w:t>
      </w:r>
      <w:r>
        <w:rPr>
          <w:rFonts w:hint="default" w:ascii="Times New Roman" w:hAnsi="Times New Roman" w:eastAsia="仿宋_GB2312" w:cs="Times New Roman"/>
          <w:b w:val="0"/>
          <w:bCs w:val="0"/>
          <w:snapToGrid/>
          <w:color w:val="auto"/>
          <w:kern w:val="2"/>
          <w:sz w:val="32"/>
          <w:szCs w:val="32"/>
          <w:shd w:val="clear" w:color="auto" w:fill="FFFFFF"/>
          <w:lang w:val="en-US" w:eastAsia="zh-CN" w:bidi="ar-SA"/>
        </w:rPr>
        <w:t>制定分层分类培训计划，邀请技术专家与业务骨干开展智能设备操作、系统应用实战培训，覆盖全体执法人员</w:t>
      </w:r>
      <w:r>
        <w:rPr>
          <w:rFonts w:hint="eastAsia" w:ascii="Times New Roman" w:hAnsi="Times New Roman" w:eastAsia="仿宋_GB2312" w:cs="Times New Roman"/>
          <w:b w:val="0"/>
          <w:bCs w:val="0"/>
          <w:snapToGrid/>
          <w:color w:val="auto"/>
          <w:kern w:val="2"/>
          <w:sz w:val="32"/>
          <w:szCs w:val="32"/>
          <w:shd w:val="clear" w:color="auto" w:fill="FFFFFF"/>
          <w:lang w:val="en-US" w:eastAsia="zh-CN" w:bidi="ar-SA"/>
        </w:rPr>
        <w:t>，</w:t>
      </w:r>
      <w:r>
        <w:rPr>
          <w:rFonts w:hint="default" w:ascii="Times New Roman" w:hAnsi="Times New Roman" w:eastAsia="仿宋_GB2312" w:cs="Times New Roman"/>
          <w:b w:val="0"/>
          <w:bCs w:val="0"/>
          <w:snapToGrid/>
          <w:color w:val="auto"/>
          <w:kern w:val="2"/>
          <w:sz w:val="32"/>
          <w:szCs w:val="32"/>
          <w:shd w:val="clear" w:color="auto" w:fill="FFFFFF"/>
          <w:lang w:val="en-US" w:eastAsia="zh-CN" w:bidi="ar-SA"/>
        </w:rPr>
        <w:t>提升科技应用能力，充分释放智慧执法效能。</w:t>
      </w:r>
    </w:p>
    <w:p>
      <w:pPr>
        <w:pStyle w:val="2"/>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color w:val="auto"/>
          <w:kern w:val="0"/>
          <w:sz w:val="32"/>
          <w:szCs w:val="32"/>
          <w:lang w:val="en-US" w:eastAsia="zh-CN" w:bidi="ar"/>
        </w:rPr>
      </w:pPr>
      <w:r>
        <w:rPr>
          <w:rFonts w:hint="eastAsia" w:ascii="楷体_GB2312" w:hAnsi="楷体_GB2312" w:eastAsia="楷体_GB2312" w:cs="楷体_GB2312"/>
          <w:b w:val="0"/>
          <w:bCs w:val="0"/>
          <w:color w:val="auto"/>
          <w:kern w:val="0"/>
          <w:sz w:val="32"/>
          <w:szCs w:val="32"/>
          <w:lang w:val="en-US" w:eastAsia="zh-CN" w:bidi="ar"/>
        </w:rPr>
        <w:t>（二）</w:t>
      </w:r>
      <w:r>
        <w:rPr>
          <w:rFonts w:hint="default" w:ascii="楷体_GB2312" w:hAnsi="楷体_GB2312" w:eastAsia="楷体_GB2312" w:cs="楷体_GB2312"/>
          <w:b w:val="0"/>
          <w:bCs w:val="0"/>
          <w:color w:val="auto"/>
          <w:kern w:val="0"/>
          <w:sz w:val="32"/>
          <w:szCs w:val="32"/>
          <w:lang w:val="en-US" w:eastAsia="zh-CN" w:bidi="ar"/>
        </w:rPr>
        <w:t>提升建设协同性，促进业务法治深度融合</w:t>
      </w:r>
    </w:p>
    <w:p>
      <w:pPr>
        <w:pStyle w:val="2"/>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2"/>
          <w:sz w:val="32"/>
          <w:szCs w:val="32"/>
          <w:shd w:val="clear" w:color="auto" w:fill="FFFFFF"/>
          <w:lang w:val="en-US" w:eastAsia="zh-CN" w:bidi="ar-SA"/>
        </w:rPr>
      </w:pPr>
      <w:r>
        <w:rPr>
          <w:rFonts w:hint="eastAsia" w:ascii="Times New Roman" w:hAnsi="Times New Roman" w:eastAsia="仿宋_GB2312" w:cs="Times New Roman"/>
          <w:kern w:val="2"/>
          <w:sz w:val="32"/>
          <w:szCs w:val="32"/>
          <w:shd w:val="clear" w:color="auto" w:fill="FFFFFF"/>
          <w:lang w:val="en-US" w:eastAsia="zh-CN" w:bidi="ar-SA"/>
        </w:rPr>
        <w:t>要求部门</w:t>
      </w:r>
      <w:r>
        <w:rPr>
          <w:rFonts w:hint="default" w:ascii="Times New Roman" w:hAnsi="Times New Roman" w:eastAsia="仿宋_GB2312" w:cs="Times New Roman"/>
          <w:kern w:val="2"/>
          <w:sz w:val="32"/>
          <w:szCs w:val="32"/>
          <w:shd w:val="clear" w:color="auto" w:fill="FFFFFF"/>
          <w:lang w:val="en-US" w:eastAsia="zh-CN" w:bidi="ar-SA"/>
        </w:rPr>
        <w:t>第一责任人将法治建设</w:t>
      </w:r>
      <w:r>
        <w:rPr>
          <w:rFonts w:hint="eastAsia" w:ascii="Times New Roman" w:hAnsi="Times New Roman" w:eastAsia="仿宋_GB2312" w:cs="Times New Roman"/>
          <w:kern w:val="2"/>
          <w:sz w:val="32"/>
          <w:szCs w:val="32"/>
          <w:shd w:val="clear" w:color="auto" w:fill="FFFFFF"/>
          <w:lang w:val="en-US" w:eastAsia="zh-CN" w:bidi="ar-SA"/>
        </w:rPr>
        <w:t>工作</w:t>
      </w:r>
      <w:r>
        <w:rPr>
          <w:rFonts w:hint="default" w:ascii="Times New Roman" w:hAnsi="Times New Roman" w:eastAsia="仿宋_GB2312" w:cs="Times New Roman"/>
          <w:kern w:val="2"/>
          <w:sz w:val="32"/>
          <w:szCs w:val="32"/>
          <w:shd w:val="clear" w:color="auto" w:fill="FFFFFF"/>
          <w:lang w:val="en-US" w:eastAsia="zh-CN" w:bidi="ar-SA"/>
        </w:rPr>
        <w:t>纳入</w:t>
      </w:r>
      <w:r>
        <w:rPr>
          <w:rFonts w:hint="eastAsia" w:ascii="Times New Roman" w:hAnsi="Times New Roman" w:eastAsia="仿宋_GB2312" w:cs="Times New Roman"/>
          <w:kern w:val="2"/>
          <w:sz w:val="32"/>
          <w:szCs w:val="32"/>
          <w:shd w:val="clear" w:color="auto" w:fill="FFFFFF"/>
          <w:lang w:val="en-US" w:eastAsia="zh-CN" w:bidi="ar-SA"/>
        </w:rPr>
        <w:t>部门</w:t>
      </w:r>
      <w:r>
        <w:rPr>
          <w:rFonts w:hint="default" w:ascii="Times New Roman" w:hAnsi="Times New Roman" w:eastAsia="仿宋_GB2312" w:cs="Times New Roman"/>
          <w:kern w:val="2"/>
          <w:sz w:val="32"/>
          <w:szCs w:val="32"/>
          <w:shd w:val="clear" w:color="auto" w:fill="FFFFFF"/>
          <w:lang w:val="en-US" w:eastAsia="zh-CN" w:bidi="ar-SA"/>
        </w:rPr>
        <w:t>整体工作规划</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推行“业务+法治”同步工作模式，在项目立项、政策出台等关键节点设置</w:t>
      </w:r>
      <w:r>
        <w:rPr>
          <w:rFonts w:hint="default" w:ascii="Times New Roman" w:hAnsi="Times New Roman" w:eastAsia="仿宋_GB2312" w:cs="Times New Roman"/>
          <w:kern w:val="2"/>
          <w:sz w:val="32"/>
          <w:szCs w:val="32"/>
          <w:highlight w:val="none"/>
          <w:shd w:val="clear" w:color="auto" w:fill="FFFFFF"/>
          <w:lang w:val="en-US" w:eastAsia="zh-CN" w:bidi="ar-SA"/>
        </w:rPr>
        <w:t>“法</w:t>
      </w:r>
      <w:r>
        <w:rPr>
          <w:rFonts w:hint="eastAsia" w:ascii="Times New Roman" w:hAnsi="Times New Roman" w:eastAsia="仿宋_GB2312" w:cs="Times New Roman"/>
          <w:kern w:val="2"/>
          <w:sz w:val="32"/>
          <w:szCs w:val="32"/>
          <w:highlight w:val="none"/>
          <w:shd w:val="clear" w:color="auto" w:fill="FFFFFF"/>
          <w:lang w:val="en-US" w:eastAsia="zh-CN" w:bidi="ar-SA"/>
        </w:rPr>
        <w:t>制</w:t>
      </w:r>
      <w:r>
        <w:rPr>
          <w:rFonts w:hint="default" w:ascii="Times New Roman" w:hAnsi="Times New Roman" w:eastAsia="仿宋_GB2312" w:cs="Times New Roman"/>
          <w:kern w:val="2"/>
          <w:sz w:val="32"/>
          <w:szCs w:val="32"/>
          <w:highlight w:val="none"/>
          <w:shd w:val="clear" w:color="auto" w:fill="FFFFFF"/>
          <w:lang w:val="en-US" w:eastAsia="zh-CN" w:bidi="ar-SA"/>
        </w:rPr>
        <w:t>审核岗</w:t>
      </w:r>
      <w:r>
        <w:rPr>
          <w:rFonts w:hint="default" w:ascii="Times New Roman" w:hAnsi="Times New Roman" w:eastAsia="仿宋_GB2312" w:cs="Times New Roman"/>
          <w:kern w:val="2"/>
          <w:sz w:val="32"/>
          <w:szCs w:val="32"/>
          <w:shd w:val="clear" w:color="auto" w:fill="FFFFFF"/>
          <w:lang w:val="en-US" w:eastAsia="zh-CN" w:bidi="ar-SA"/>
        </w:rPr>
        <w:t>”，由</w:t>
      </w:r>
      <w:r>
        <w:rPr>
          <w:rFonts w:hint="default" w:ascii="Times New Roman" w:hAnsi="Times New Roman" w:eastAsia="仿宋_GB2312" w:cs="Times New Roman"/>
          <w:kern w:val="2"/>
          <w:sz w:val="32"/>
          <w:szCs w:val="32"/>
          <w:highlight w:val="none"/>
          <w:shd w:val="clear" w:color="auto" w:fill="FFFFFF"/>
          <w:lang w:val="en-US" w:eastAsia="zh-CN" w:bidi="ar-SA"/>
        </w:rPr>
        <w:t>法制人员</w:t>
      </w:r>
      <w:r>
        <w:rPr>
          <w:rFonts w:hint="default" w:ascii="Times New Roman" w:hAnsi="Times New Roman" w:eastAsia="仿宋_GB2312" w:cs="Times New Roman"/>
          <w:kern w:val="2"/>
          <w:sz w:val="32"/>
          <w:szCs w:val="32"/>
          <w:shd w:val="clear" w:color="auto" w:fill="FFFFFF"/>
          <w:lang w:val="en-US" w:eastAsia="zh-CN" w:bidi="ar-SA"/>
        </w:rPr>
        <w:t>与业务骨干同步开展合法性论证与风险评估</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选取</w:t>
      </w:r>
      <w:r>
        <w:rPr>
          <w:rFonts w:hint="eastAsia" w:ascii="Times New Roman" w:hAnsi="Times New Roman" w:eastAsia="仿宋_GB2312" w:cs="Times New Roman"/>
          <w:kern w:val="2"/>
          <w:sz w:val="32"/>
          <w:szCs w:val="32"/>
          <w:shd w:val="clear" w:color="auto" w:fill="FFFFFF"/>
          <w:lang w:val="en-US" w:eastAsia="zh-CN" w:bidi="ar-SA"/>
        </w:rPr>
        <w:t>2-3</w:t>
      </w:r>
      <w:r>
        <w:rPr>
          <w:rFonts w:hint="default" w:ascii="Times New Roman" w:hAnsi="Times New Roman" w:eastAsia="仿宋_GB2312" w:cs="Times New Roman"/>
          <w:kern w:val="2"/>
          <w:sz w:val="32"/>
          <w:szCs w:val="32"/>
          <w:shd w:val="clear" w:color="auto" w:fill="FFFFFF"/>
          <w:lang w:val="en-US" w:eastAsia="zh-CN" w:bidi="ar-SA"/>
        </w:rPr>
        <w:t>个重点领域作为试点，总结可复制的融合经验并全区推广，破解“两张皮”难题</w:t>
      </w:r>
      <w:r>
        <w:rPr>
          <w:rFonts w:hint="eastAsia" w:ascii="Times New Roman" w:hAnsi="Times New Roman" w:eastAsia="仿宋_GB2312" w:cs="Times New Roman"/>
          <w:kern w:val="2"/>
          <w:sz w:val="32"/>
          <w:szCs w:val="32"/>
          <w:shd w:val="clear" w:color="auto" w:fill="FFFFFF"/>
          <w:lang w:val="en-US" w:eastAsia="zh-CN" w:bidi="ar-SA"/>
        </w:rPr>
        <w:t>，</w:t>
      </w:r>
      <w:r>
        <w:rPr>
          <w:rFonts w:hint="default" w:ascii="Times New Roman" w:hAnsi="Times New Roman" w:eastAsia="仿宋_GB2312" w:cs="Times New Roman"/>
          <w:kern w:val="2"/>
          <w:sz w:val="32"/>
          <w:szCs w:val="32"/>
          <w:shd w:val="clear" w:color="auto" w:fill="FFFFFF"/>
          <w:lang w:val="en-US" w:eastAsia="zh-CN" w:bidi="ar-SA"/>
        </w:rPr>
        <w:t>推动法治建设与业务工作同频共振。</w:t>
      </w:r>
    </w:p>
    <w:p>
      <w:pPr>
        <w:pStyle w:val="2"/>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color w:val="auto"/>
          <w:kern w:val="0"/>
          <w:sz w:val="32"/>
          <w:szCs w:val="32"/>
          <w:lang w:val="en-US" w:eastAsia="zh-CN" w:bidi="ar"/>
        </w:rPr>
      </w:pPr>
      <w:r>
        <w:rPr>
          <w:rFonts w:hint="eastAsia" w:ascii="楷体_GB2312" w:hAnsi="楷体_GB2312" w:eastAsia="楷体_GB2312" w:cs="楷体_GB2312"/>
          <w:b w:val="0"/>
          <w:bCs w:val="0"/>
          <w:color w:val="auto"/>
          <w:kern w:val="0"/>
          <w:sz w:val="32"/>
          <w:szCs w:val="32"/>
          <w:lang w:val="en-US" w:eastAsia="zh-CN" w:bidi="ar"/>
        </w:rPr>
        <w:t>（三）</w:t>
      </w:r>
      <w:r>
        <w:rPr>
          <w:rFonts w:hint="default" w:ascii="楷体_GB2312" w:hAnsi="楷体_GB2312" w:eastAsia="楷体_GB2312" w:cs="楷体_GB2312"/>
          <w:b w:val="0"/>
          <w:bCs w:val="0"/>
          <w:color w:val="auto"/>
          <w:kern w:val="0"/>
          <w:sz w:val="32"/>
          <w:szCs w:val="32"/>
          <w:lang w:val="en-US" w:eastAsia="zh-CN" w:bidi="ar"/>
        </w:rPr>
        <w:t>强化基层执法能力建设，夯实规范化执法基础</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b w:val="0"/>
          <w:bCs w:val="0"/>
          <w:kern w:val="2"/>
          <w:sz w:val="32"/>
          <w:szCs w:val="32"/>
          <w:shd w:val="clear" w:color="auto" w:fill="FFFFFF"/>
          <w:lang w:val="en-US" w:eastAsia="zh-CN" w:bidi="ar-SA"/>
        </w:rPr>
      </w:pPr>
      <w:r>
        <w:rPr>
          <w:rFonts w:hint="default" w:ascii="Times New Roman" w:hAnsi="Times New Roman" w:eastAsia="仿宋_GB2312" w:cs="Times New Roman"/>
          <w:b w:val="0"/>
          <w:bCs w:val="0"/>
          <w:snapToGrid/>
          <w:color w:val="auto"/>
          <w:kern w:val="2"/>
          <w:sz w:val="32"/>
          <w:szCs w:val="32"/>
          <w:shd w:val="clear" w:color="auto" w:fill="FFFFFF"/>
          <w:lang w:val="en-US" w:eastAsia="zh-CN" w:bidi="ar-SA"/>
        </w:rPr>
        <w:t>组织开展针对性的法律知识、文书制作技能和法律适用专题培训，结合典型案例剖析法律适用要点，切实提高执法人员特别是基层一线人员的实际操作能力和水平。将执法案卷合格率、纠错案件整改率纳入部门绩效考核和法治建设督察考评，对于纠错后仍未整改或整</w:t>
      </w:r>
      <w:r>
        <w:rPr>
          <w:rFonts w:hint="default" w:ascii="Times New Roman" w:hAnsi="Times New Roman" w:eastAsia="仿宋_GB2312" w:cs="Times New Roman"/>
          <w:b w:val="0"/>
          <w:bCs w:val="0"/>
          <w:kern w:val="2"/>
          <w:sz w:val="32"/>
          <w:szCs w:val="32"/>
          <w:shd w:val="clear" w:color="auto" w:fill="FFFFFF"/>
          <w:lang w:val="en-US" w:eastAsia="zh-CN" w:bidi="ar-SA"/>
        </w:rPr>
        <w:t>改不到位的</w:t>
      </w:r>
      <w:r>
        <w:rPr>
          <w:rFonts w:hint="eastAsia" w:ascii="Times New Roman" w:hAnsi="Times New Roman" w:eastAsia="仿宋_GB2312" w:cs="Times New Roman"/>
          <w:b w:val="0"/>
          <w:bCs w:val="0"/>
          <w:kern w:val="2"/>
          <w:sz w:val="32"/>
          <w:szCs w:val="32"/>
          <w:shd w:val="clear" w:color="auto" w:fill="FFFFFF"/>
          <w:lang w:val="en-US" w:eastAsia="zh-CN" w:bidi="ar-SA"/>
        </w:rPr>
        <w:t>进行</w:t>
      </w:r>
      <w:r>
        <w:rPr>
          <w:rFonts w:hint="default" w:ascii="Times New Roman" w:hAnsi="Times New Roman" w:eastAsia="仿宋_GB2312" w:cs="Times New Roman"/>
          <w:b w:val="0"/>
          <w:bCs w:val="0"/>
          <w:kern w:val="2"/>
          <w:sz w:val="32"/>
          <w:szCs w:val="32"/>
          <w:shd w:val="clear" w:color="auto" w:fill="FFFFFF"/>
          <w:lang w:val="en-US" w:eastAsia="zh-CN" w:bidi="ar-SA"/>
        </w:rPr>
        <w:t>约谈</w:t>
      </w:r>
      <w:r>
        <w:rPr>
          <w:rFonts w:hint="eastAsia" w:ascii="Times New Roman" w:hAnsi="Times New Roman" w:eastAsia="仿宋_GB2312" w:cs="Times New Roman"/>
          <w:b w:val="0"/>
          <w:bCs w:val="0"/>
          <w:kern w:val="2"/>
          <w:sz w:val="32"/>
          <w:szCs w:val="32"/>
          <w:shd w:val="clear" w:color="auto" w:fill="FFFFFF"/>
          <w:lang w:val="en-US" w:eastAsia="zh-CN" w:bidi="ar-SA"/>
        </w:rPr>
        <w:t>，</w:t>
      </w:r>
      <w:r>
        <w:rPr>
          <w:rFonts w:hint="default" w:ascii="Times New Roman" w:hAnsi="Times New Roman" w:eastAsia="仿宋_GB2312" w:cs="Times New Roman"/>
          <w:b w:val="0"/>
          <w:bCs w:val="0"/>
          <w:kern w:val="2"/>
          <w:sz w:val="32"/>
          <w:szCs w:val="32"/>
          <w:shd w:val="clear" w:color="auto" w:fill="FFFFFF"/>
          <w:lang w:val="en-US" w:eastAsia="zh-CN" w:bidi="ar-SA"/>
        </w:rPr>
        <w:t>推动基层执法向规范化、精细化方向发展。</w:t>
      </w:r>
      <w:r>
        <w:rPr>
          <w:rFonts w:hint="eastAsia" w:ascii="Times New Roman" w:hAnsi="Times New Roman" w:eastAsia="仿宋_GB2312" w:cs="Times New Roman"/>
          <w:b w:val="0"/>
          <w:bCs w:val="0"/>
          <w:kern w:val="2"/>
          <w:sz w:val="32"/>
          <w:szCs w:val="32"/>
          <w:shd w:val="clear" w:color="auto" w:fill="FFFFFF"/>
          <w:lang w:val="en-US" w:eastAsia="zh-CN" w:bidi="ar-SA"/>
        </w:rPr>
        <w:t>坚持</w:t>
      </w:r>
      <w:r>
        <w:rPr>
          <w:rFonts w:hint="default" w:ascii="Times New Roman" w:hAnsi="Times New Roman" w:eastAsia="仿宋_GB2312" w:cs="Times New Roman"/>
          <w:b w:val="0"/>
          <w:bCs w:val="0"/>
          <w:kern w:val="2"/>
          <w:sz w:val="32"/>
          <w:szCs w:val="32"/>
          <w:shd w:val="clear" w:color="auto" w:fill="FFFFFF"/>
          <w:lang w:val="en-US" w:eastAsia="zh-CN" w:bidi="ar-SA"/>
        </w:rPr>
        <w:t>以习近平法治思想为指导，开展执法人员纪法全覆盖培训。聚焦政治纪律、核心法规、廉洁规范及执法实务，采用</w:t>
      </w:r>
      <w:r>
        <w:rPr>
          <w:rFonts w:hint="eastAsia" w:ascii="Times New Roman" w:hAnsi="Times New Roman" w:eastAsia="仿宋_GB2312" w:cs="Times New Roman"/>
          <w:b w:val="0"/>
          <w:bCs w:val="0"/>
          <w:kern w:val="2"/>
          <w:sz w:val="32"/>
          <w:szCs w:val="32"/>
          <w:shd w:val="clear" w:color="auto" w:fill="FFFFFF"/>
          <w:lang w:val="en-US" w:eastAsia="zh-CN" w:bidi="ar-SA"/>
        </w:rPr>
        <w:t>线上线下相结合</w:t>
      </w:r>
      <w:r>
        <w:rPr>
          <w:rFonts w:hint="default" w:ascii="Times New Roman" w:hAnsi="Times New Roman" w:eastAsia="仿宋_GB2312" w:cs="Times New Roman"/>
          <w:b w:val="0"/>
          <w:bCs w:val="0"/>
          <w:kern w:val="2"/>
          <w:sz w:val="32"/>
          <w:szCs w:val="32"/>
          <w:shd w:val="clear" w:color="auto" w:fill="FFFFFF"/>
          <w:lang w:val="en-US" w:eastAsia="zh-CN" w:bidi="ar-SA"/>
        </w:rPr>
        <w:t>模式，</w:t>
      </w:r>
      <w:r>
        <w:rPr>
          <w:rFonts w:hint="eastAsia" w:ascii="Times New Roman" w:hAnsi="Times New Roman" w:eastAsia="仿宋_GB2312" w:cs="Times New Roman"/>
          <w:b w:val="0"/>
          <w:bCs w:val="0"/>
          <w:kern w:val="2"/>
          <w:sz w:val="32"/>
          <w:szCs w:val="32"/>
          <w:shd w:val="clear" w:color="auto" w:fill="FFFFFF"/>
          <w:lang w:val="en-US" w:eastAsia="zh-CN" w:bidi="ar-SA"/>
        </w:rPr>
        <w:t>根据城区执法人员实际情况</w:t>
      </w:r>
      <w:r>
        <w:rPr>
          <w:rFonts w:hint="default" w:ascii="Times New Roman" w:hAnsi="Times New Roman" w:eastAsia="仿宋_GB2312" w:cs="Times New Roman"/>
          <w:b w:val="0"/>
          <w:bCs w:val="0"/>
          <w:kern w:val="2"/>
          <w:sz w:val="32"/>
          <w:szCs w:val="32"/>
          <w:shd w:val="clear" w:color="auto" w:fill="FFFFFF"/>
          <w:lang w:val="en-US" w:eastAsia="zh-CN" w:bidi="ar-SA"/>
        </w:rPr>
        <w:t>推进</w:t>
      </w:r>
      <w:r>
        <w:rPr>
          <w:rFonts w:hint="eastAsia" w:ascii="Times New Roman" w:hAnsi="Times New Roman" w:eastAsia="仿宋_GB2312" w:cs="Times New Roman"/>
          <w:b w:val="0"/>
          <w:bCs w:val="0"/>
          <w:kern w:val="2"/>
          <w:sz w:val="32"/>
          <w:szCs w:val="32"/>
          <w:shd w:val="clear" w:color="auto" w:fill="FFFFFF"/>
          <w:lang w:val="en-US" w:eastAsia="zh-CN" w:bidi="ar-SA"/>
        </w:rPr>
        <w:t>，</w:t>
      </w:r>
      <w:r>
        <w:rPr>
          <w:rFonts w:hint="default" w:ascii="Times New Roman" w:hAnsi="Times New Roman" w:eastAsia="仿宋_GB2312" w:cs="Times New Roman"/>
          <w:b w:val="0"/>
          <w:bCs w:val="0"/>
          <w:kern w:val="2"/>
          <w:sz w:val="32"/>
          <w:szCs w:val="32"/>
          <w:shd w:val="clear" w:color="auto" w:fill="FFFFFF"/>
          <w:lang w:val="en-US" w:eastAsia="zh-CN" w:bidi="ar-SA"/>
        </w:rPr>
        <w:t>着力筑牢纪法防线，推动执法规范化，提升执法公信力。</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b w:val="0"/>
          <w:bCs w:val="0"/>
          <w:snapToGrid/>
          <w:color w:val="auto"/>
          <w:kern w:val="2"/>
          <w:sz w:val="32"/>
          <w:szCs w:val="32"/>
          <w:shd w:val="clear" w:color="auto" w:fill="FFFFFF"/>
          <w:lang w:val="en-US" w:eastAsia="zh-CN" w:bidi="ar-SA"/>
        </w:rPr>
      </w:pPr>
    </w:p>
    <w:p>
      <w:pPr>
        <w:rPr>
          <w:rFonts w:hint="default"/>
          <w:lang w:val="en-US" w:eastAsia="zh-CN"/>
        </w:rPr>
      </w:pPr>
    </w:p>
    <w:p>
      <w:pPr>
        <w:rPr>
          <w:rFonts w:hint="eastAsia" w:ascii="Times New Roman" w:hAnsi="Times New Roman" w:eastAsia="仿宋_GB2312" w:cs="Times New Roman"/>
          <w:bCs/>
          <w:color w:val="000000"/>
          <w:sz w:val="32"/>
          <w:szCs w:val="32"/>
        </w:rPr>
      </w:pPr>
    </w:p>
    <w:p>
      <w:pPr>
        <w:pStyle w:val="2"/>
        <w:rPr>
          <w:rFonts w:hint="eastAsia" w:ascii="Times New Roman" w:hAnsi="Times New Roman" w:eastAsia="仿宋_GB2312" w:cs="Times New Roman"/>
          <w:bCs/>
          <w:color w:val="000000"/>
          <w:sz w:val="32"/>
          <w:szCs w:val="32"/>
        </w:rPr>
      </w:pPr>
    </w:p>
    <w:p>
      <w:pPr>
        <w:rPr>
          <w:rFonts w:hint="eastAsia" w:ascii="Times New Roman" w:hAnsi="Times New Roman" w:eastAsia="仿宋_GB2312" w:cs="Times New Roman"/>
          <w:bCs/>
          <w:color w:val="000000"/>
          <w:sz w:val="32"/>
          <w:szCs w:val="32"/>
        </w:rPr>
      </w:pPr>
    </w:p>
    <w:p>
      <w:pPr>
        <w:pStyle w:val="2"/>
        <w:rPr>
          <w:rFonts w:hint="eastAsia" w:ascii="Times New Roman" w:hAnsi="Times New Roman" w:eastAsia="仿宋_GB2312" w:cs="Times New Roman"/>
          <w:bCs/>
          <w:color w:val="000000"/>
          <w:sz w:val="32"/>
          <w:szCs w:val="32"/>
        </w:rPr>
      </w:pPr>
    </w:p>
    <w:p>
      <w:pPr>
        <w:numPr>
          <w:ilvl w:val="0"/>
          <w:numId w:val="0"/>
        </w:numPr>
        <w:rPr>
          <w:rFonts w:hint="default" w:ascii="Times New Roman" w:hAnsi="Times New Roman" w:eastAsia="仿宋_GB2312" w:cs="Times New Roman"/>
          <w:kern w:val="2"/>
          <w:sz w:val="32"/>
          <w:szCs w:val="32"/>
          <w:shd w:val="clear" w:color="auto" w:fill="FFFFFF"/>
          <w:lang w:val="en-US" w:eastAsia="zh-CN" w:bidi="ar-SA"/>
        </w:rPr>
      </w:pPr>
    </w:p>
    <w:sectPr>
      <w:footerReference r:id="rId3" w:type="default"/>
      <w:pgSz w:w="11906" w:h="16838"/>
      <w:pgMar w:top="1984" w:right="1474" w:bottom="1417"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00"/>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250977"/>
    <w:rsid w:val="01544F92"/>
    <w:rsid w:val="04250977"/>
    <w:rsid w:val="13BF5641"/>
    <w:rsid w:val="1CB3762C"/>
    <w:rsid w:val="1DDFD5AF"/>
    <w:rsid w:val="2FAFDE76"/>
    <w:rsid w:val="317F4321"/>
    <w:rsid w:val="3B7D3434"/>
    <w:rsid w:val="3F2EF279"/>
    <w:rsid w:val="3F7C4C21"/>
    <w:rsid w:val="3FBD7808"/>
    <w:rsid w:val="4DFFDD8F"/>
    <w:rsid w:val="4ED7DD7F"/>
    <w:rsid w:val="5EDB324B"/>
    <w:rsid w:val="5EFD7CBC"/>
    <w:rsid w:val="5FDC28AE"/>
    <w:rsid w:val="6779978F"/>
    <w:rsid w:val="6E8C50EF"/>
    <w:rsid w:val="6FDF5BCE"/>
    <w:rsid w:val="6FE154E1"/>
    <w:rsid w:val="77E31E27"/>
    <w:rsid w:val="78AF82C5"/>
    <w:rsid w:val="7AFFD16D"/>
    <w:rsid w:val="7B7FE6C6"/>
    <w:rsid w:val="7BFEA84D"/>
    <w:rsid w:val="7BFF3DFF"/>
    <w:rsid w:val="7DF7824D"/>
    <w:rsid w:val="7EF3024A"/>
    <w:rsid w:val="7F9F37A9"/>
    <w:rsid w:val="9DEA6342"/>
    <w:rsid w:val="AD15B93F"/>
    <w:rsid w:val="B9EFD0EE"/>
    <w:rsid w:val="BD7DCCC8"/>
    <w:rsid w:val="BD9F8022"/>
    <w:rsid w:val="BDDD36AB"/>
    <w:rsid w:val="DF6F4556"/>
    <w:rsid w:val="DFFF2D11"/>
    <w:rsid w:val="EF994820"/>
    <w:rsid w:val="EFE3051C"/>
    <w:rsid w:val="F0E62F23"/>
    <w:rsid w:val="FFE23887"/>
    <w:rsid w:val="FFF36658"/>
    <w:rsid w:val="FFFFF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ascii="等线" w:eastAsia="等线"/>
      <w:szCs w:val="22"/>
    </w:rPr>
  </w:style>
  <w:style w:type="paragraph" w:styleId="4">
    <w:name w:val="table of authorities"/>
    <w:basedOn w:val="1"/>
    <w:next w:val="1"/>
    <w:qFormat/>
    <w:uiPriority w:val="0"/>
    <w:pPr>
      <w:ind w:left="420" w:leftChars="200"/>
    </w:pPr>
  </w:style>
  <w:style w:type="paragraph" w:styleId="5">
    <w:name w:val="Plain Text"/>
    <w:basedOn w:val="1"/>
    <w:qFormat/>
    <w:uiPriority w:val="99"/>
    <w:rPr>
      <w:rFonts w:ascii="宋体" w:hAnsi="Courier New" w:cs="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2"/>
    <w:next w:val="5"/>
    <w:qFormat/>
    <w:uiPriority w:val="99"/>
    <w:pPr>
      <w:ind w:firstLine="420" w:firstLineChars="100"/>
    </w:pPr>
  </w:style>
  <w:style w:type="character" w:styleId="12">
    <w:name w:val="Strong"/>
    <w:basedOn w:val="11"/>
    <w:qFormat/>
    <w:uiPriority w:val="0"/>
    <w:rPr>
      <w:b/>
    </w:rPr>
  </w:style>
  <w:style w:type="paragraph" w:customStyle="1" w:styleId="13">
    <w:name w:val="明显引用"/>
    <w:basedOn w:val="1"/>
    <w:next w:val="1"/>
    <w:qFormat/>
    <w:uiPriority w:val="99"/>
    <w:pPr>
      <w:widowControl/>
      <w:wordWrap w:val="0"/>
      <w:spacing w:before="360" w:after="360"/>
      <w:ind w:left="950" w:right="950"/>
      <w:jc w:val="center"/>
    </w:pPr>
    <w:rPr>
      <w:rFonts w:ascii="Times New Roman" w:hAnsi="Times New Roman"/>
      <w:i/>
      <w:kern w:val="0"/>
      <w:szCs w:val="20"/>
    </w:rPr>
  </w:style>
  <w:style w:type="paragraph" w:customStyle="1" w:styleId="14">
    <w:name w:val="正文-公1"/>
    <w:qFormat/>
    <w:uiPriority w:val="0"/>
    <w:pPr>
      <w:widowControl w:val="0"/>
      <w:ind w:firstLine="200" w:firstLineChars="200"/>
      <w:jc w:val="both"/>
    </w:pPr>
    <w:rPr>
      <w:rFonts w:ascii="Times New Roman" w:hAnsi="Times New Roman" w:eastAsia="仿宋_GB2312" w:cs="Times New Roman"/>
      <w:snapToGrid w:val="0"/>
      <w:color w:val="000000"/>
      <w:sz w:val="32"/>
      <w:szCs w:val="32"/>
      <w:lang w:val="en-US" w:eastAsia="zh-CN" w:bidi="ar-SA"/>
    </w:rPr>
  </w:style>
  <w:style w:type="paragraph" w:customStyle="1" w:styleId="15">
    <w:name w:val="p0"/>
    <w:basedOn w:val="1"/>
    <w:qFormat/>
    <w:uiPriority w:val="0"/>
    <w:pPr>
      <w:adjustRightInd/>
      <w:snapToGrid/>
      <w:spacing w:after="0" w:afterLines="0"/>
      <w:jc w:val="both"/>
    </w:pPr>
    <w:rPr>
      <w:rFonts w:ascii="Times New Roman" w:hAnsi="Times New Roman" w:eastAsia="宋体"/>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2025-11-25T11:40:00Z</dcterms:created>
  <dc:creator>陆小瑶</dc:creator>
  <cp:lastModifiedBy>gxxc</cp:lastModifiedBy>
  <cp:lastPrinted>2026-01-14T02:44:00Z</cp:lastPrinted>
  <dcterms:modified xsi:type="dcterms:W3CDTF">2026-01-14T15:41:31Z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BFDCD6A63D8481AAD2AE26697E360056</vt:lpwstr>
  </property>
</Properties>
</file>