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406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鱼峰区</w:t>
      </w:r>
      <w:r>
        <w:rPr>
          <w:rFonts w:hint="eastAsia" w:ascii="方正小标宋简体" w:hAnsi="方正小标宋简体" w:eastAsia="方正小标宋简体" w:cs="方正小标宋简体"/>
          <w:sz w:val="44"/>
          <w:szCs w:val="44"/>
        </w:rPr>
        <w:t>2025年法治政府建设</w:t>
      </w:r>
      <w:r>
        <w:rPr>
          <w:rFonts w:hint="eastAsia" w:ascii="方正小标宋简体" w:hAnsi="方正小标宋简体" w:eastAsia="方正小标宋简体" w:cs="方正小标宋简体"/>
          <w:sz w:val="44"/>
          <w:szCs w:val="44"/>
          <w:lang w:eastAsia="zh-CN"/>
        </w:rPr>
        <w:t>年度</w:t>
      </w:r>
      <w:r>
        <w:rPr>
          <w:rFonts w:hint="eastAsia" w:ascii="方正小标宋简体" w:hAnsi="方正小标宋简体" w:eastAsia="方正小标宋简体" w:cs="方正小标宋简体"/>
          <w:sz w:val="44"/>
          <w:szCs w:val="44"/>
        </w:rPr>
        <w:t>报告</w:t>
      </w:r>
    </w:p>
    <w:p w14:paraId="5067F4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062ECA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年，鱼峰区深入学习贯彻习近平法治思想，全面落实中央、自治区、柳州市关于法治政府建设的决策部署，将法治思维和法治方式贯穿政府工作全过程，着力提升行政决策科学化、民主化、法治化水平，持续优化法治化营商环境，为鱼峰区经济社会高质量发展提供坚实法治保障。</w:t>
      </w:r>
    </w:p>
    <w:p w14:paraId="2E7678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一、2025年度推进法治政府建设的主要举措和成效</w:t>
      </w:r>
    </w:p>
    <w:p w14:paraId="667327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（一）深学笃行习近平法治思想，筑牢法治政府建设思想根基</w:t>
      </w:r>
    </w:p>
    <w:p w14:paraId="7E1F09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坚持党的全面领导，以习近平法治思想为统领，构建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党委抓总、政府主责、部门协同</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工作格局。党政主要负责人切实履行法治建设第一责任人职责，</w:t>
      </w:r>
      <w:r>
        <w:rPr>
          <w:rFonts w:hint="default" w:ascii="Times New Roman" w:hAnsi="Times New Roman" w:eastAsia="仿宋_GB2312" w:cs="Times New Roman"/>
          <w:sz w:val="32"/>
          <w:szCs w:val="32"/>
          <w:highlight w:val="none"/>
        </w:rPr>
        <w:t>区委常委会研究法治建设议题共</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项，政府常务会听取法治建设相关工作汇报共</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次，研究部署法治政府建设重点工作</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次</w:t>
      </w:r>
      <w:r>
        <w:rPr>
          <w:rFonts w:hint="default" w:ascii="Times New Roman" w:hAnsi="Times New Roman" w:eastAsia="仿宋_GB2312" w:cs="Times New Roman"/>
          <w:sz w:val="32"/>
          <w:szCs w:val="32"/>
        </w:rPr>
        <w:t>，推动法治建设</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一规划两纲要</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任务全面落实。将履行推进法治建设第一责任人职责情况纳入年终述职内容，组织全区各街道、各部门主要负责人开展专题述法，将法治政府建设纳入年度综合考核，与经济社会发展同部署同考核。突出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关键少数</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示范引领，以领导学法常态化带动全员学习，区委理论中心组将习近平法治思想纳入重点学习内容，区政府常务会组织法治讲座、专题学法等形式开展集中学法，各部门全年开展专题学习50场次、执法干部培训400人次。</w:t>
      </w:r>
    </w:p>
    <w:p w14:paraId="31136D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（二）</w:t>
      </w:r>
      <w:r>
        <w:rPr>
          <w:rFonts w:hint="eastAsia" w:ascii="Times New Roman" w:hAnsi="Times New Roman" w:eastAsia="楷体_GB2312" w:cs="Times New Roman"/>
          <w:sz w:val="32"/>
          <w:szCs w:val="32"/>
          <w:lang w:eastAsia="zh-CN"/>
        </w:rPr>
        <w:t>健全政府机构职能体系，推进政府职能依法全面履行</w:t>
      </w:r>
    </w:p>
    <w:p w14:paraId="6239E5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eastAsia="zh-CN"/>
        </w:rPr>
        <w:t>深化</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放管服</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改革，推动政府职能高效履行。动态调整权责清单，实现“高效办成一件事”线上全覆盖，办件量超8.2万件，覆盖国家及自治区53项重点事项。落实企业开办“零成本”政策，为1225户企业免费刻章6125枚，节省成本近30万元。区政务服务中心接入深度求索大模型推行</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智能+人工</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服务，认领和实施办事指南1069项，编制指南4499项，事项关联率等关键指标位列四城区第一，政务服务满意度100%。</w:t>
      </w:r>
      <w:r>
        <w:rPr>
          <w:rFonts w:hint="default" w:ascii="Times New Roman" w:hAnsi="Times New Roman" w:eastAsia="仿宋_GB2312" w:cs="Times New Roman"/>
          <w:color w:val="auto"/>
          <w:sz w:val="32"/>
          <w:szCs w:val="32"/>
          <w:highlight w:val="none"/>
          <w:lang w:eastAsia="zh-CN"/>
        </w:rPr>
        <w:t>各执法单位严格落实</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谁执法谁普法</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责任制，开展以案释法活动</w:t>
      </w:r>
      <w:r>
        <w:rPr>
          <w:rFonts w:hint="eastAsia" w:ascii="Times New Roman" w:hAnsi="Times New Roman" w:eastAsia="仿宋_GB2312" w:cs="Times New Roman"/>
          <w:color w:val="auto"/>
          <w:sz w:val="32"/>
          <w:szCs w:val="32"/>
          <w:highlight w:val="none"/>
          <w:lang w:val="en-US" w:eastAsia="zh-CN"/>
        </w:rPr>
        <w:t>94</w:t>
      </w:r>
      <w:r>
        <w:rPr>
          <w:rFonts w:hint="default" w:ascii="Times New Roman" w:hAnsi="Times New Roman" w:eastAsia="仿宋_GB2312" w:cs="Times New Roman"/>
          <w:color w:val="auto"/>
          <w:sz w:val="32"/>
          <w:szCs w:val="32"/>
          <w:highlight w:val="none"/>
          <w:lang w:eastAsia="zh-CN"/>
        </w:rPr>
        <w:t>次；区司法局牵头组织召开了城中村改造项目集体土地房屋征收补偿安置方案听证会，广泛听取各方意见，切实保障群众的知情权、参与权和监督权，确保城中村改造工程依法依规、高效推进。</w:t>
      </w:r>
      <w:r>
        <w:rPr>
          <w:rFonts w:hint="eastAsia" w:ascii="Times New Roman" w:hAnsi="Times New Roman" w:eastAsia="仿宋_GB2312" w:cs="Times New Roman"/>
          <w:sz w:val="32"/>
          <w:szCs w:val="32"/>
          <w:highlight w:val="none"/>
          <w:lang w:eastAsia="zh-CN"/>
        </w:rPr>
        <w:t>区司法</w:t>
      </w:r>
      <w:r>
        <w:rPr>
          <w:rFonts w:hint="default" w:ascii="Times New Roman" w:hAnsi="Times New Roman" w:eastAsia="仿宋_GB2312" w:cs="Times New Roman"/>
          <w:sz w:val="32"/>
          <w:szCs w:val="32"/>
          <w:highlight w:val="none"/>
          <w:lang w:eastAsia="zh-CN"/>
        </w:rPr>
        <w:t>局积极统筹辖区律所打造鱼峰区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百师百讲</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普法品牌，响应园区、企业、单位、社区等需求举办“订单式”精准普法系列活动23场，形成</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学法—用法—普法</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闭环。</w:t>
      </w:r>
    </w:p>
    <w:p w14:paraId="478723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（三）</w:t>
      </w:r>
      <w:r>
        <w:rPr>
          <w:rFonts w:hint="eastAsia" w:ascii="Times New Roman" w:hAnsi="Times New Roman" w:eastAsia="楷体_GB2312" w:cs="Times New Roman"/>
          <w:sz w:val="32"/>
          <w:szCs w:val="32"/>
          <w:lang w:eastAsia="zh-CN"/>
        </w:rPr>
        <w:t>完善依法行政制度体系与法治保障机制</w:t>
      </w:r>
    </w:p>
    <w:p w14:paraId="7E16AA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构建“制度+决策”双规范体系。修订《鱼峰区人民政府行政规范性文件制定审核工作规则》，2025年制定政府行政规范性文件《鱼峰区2025年稳经济促发展激励方案》，推动区域经济高质量发展，文件及时向同级人大常委会、市政府备案；同步开展规范性文件动态清理，废止失效文件2件，确保制度与发展需求同频。严格重大行政决策程序，将《柳州市鱼峰区水土保持规划（2024—2030年）》《鱼峰区主导产业发展规划（2025—2035年）》等2项事关区域发展的重点事项纳入管理，全流程落实公众参与、专家论证等程序，合法性审查意见采纳率100%。</w:t>
      </w:r>
    </w:p>
    <w:p w14:paraId="19194A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（四）执法规范提质增效，守牢法治安全底线</w:t>
      </w:r>
    </w:p>
    <w:p w14:paraId="4139CB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开展涉企执法专项整治，排查线索80件，整改问题20个，推行</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综合查一次</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使涉企检查同比降1.93%；提炼典型案例26个，为企业挽损9</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6万元。深化包容审慎监管，各执法单位依法办理</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首违不罚</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案件347件，同比增长109%，协助1832家企业信用修复。</w:t>
      </w:r>
      <w:r>
        <w:rPr>
          <w:rFonts w:hint="eastAsia" w:ascii="Times New Roman" w:hAnsi="Times New Roman" w:eastAsia="仿宋_GB2312" w:cs="Times New Roman"/>
          <w:color w:val="auto"/>
          <w:sz w:val="32"/>
          <w:szCs w:val="32"/>
          <w:lang w:eastAsia="zh-CN"/>
        </w:rPr>
        <w:t>深入开展</w:t>
      </w:r>
      <w:r>
        <w:rPr>
          <w:rFonts w:hint="default" w:ascii="Times New Roman" w:hAnsi="Times New Roman" w:eastAsia="仿宋_GB2312" w:cs="Times New Roman"/>
          <w:color w:val="auto"/>
          <w:sz w:val="32"/>
          <w:szCs w:val="32"/>
        </w:rPr>
        <w:t>食品安全、</w:t>
      </w:r>
      <w:r>
        <w:rPr>
          <w:rFonts w:hint="eastAsia" w:ascii="Times New Roman" w:hAnsi="Times New Roman" w:eastAsia="仿宋_GB2312" w:cs="Times New Roman"/>
          <w:color w:val="auto"/>
          <w:sz w:val="32"/>
          <w:szCs w:val="32"/>
          <w:lang w:eastAsia="zh-CN"/>
        </w:rPr>
        <w:t>涉重金属环境</w:t>
      </w:r>
      <w:r>
        <w:rPr>
          <w:rFonts w:hint="default" w:ascii="Times New Roman" w:hAnsi="Times New Roman" w:eastAsia="仿宋_GB2312" w:cs="Times New Roman"/>
          <w:color w:val="auto"/>
          <w:sz w:val="32"/>
          <w:szCs w:val="32"/>
        </w:rPr>
        <w:t>等重点领域专项</w:t>
      </w:r>
      <w:r>
        <w:rPr>
          <w:rFonts w:hint="eastAsia" w:ascii="Times New Roman" w:hAnsi="Times New Roman" w:eastAsia="仿宋_GB2312" w:cs="Times New Roman"/>
          <w:color w:val="auto"/>
          <w:sz w:val="32"/>
          <w:szCs w:val="32"/>
          <w:lang w:eastAsia="zh-CN"/>
        </w:rPr>
        <w:t>整治</w:t>
      </w:r>
      <w:r>
        <w:rPr>
          <w:rFonts w:hint="default" w:ascii="Times New Roman" w:hAnsi="Times New Roman" w:eastAsia="仿宋_GB2312" w:cs="Times New Roman"/>
          <w:color w:val="auto"/>
          <w:sz w:val="32"/>
          <w:szCs w:val="32"/>
        </w:rPr>
        <w:t>，累计检查食品生产经营主体1904家次、涉重金属企业35家，立案查处食品安全违法案件46起，完成34家</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散乱污</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企业整改销号，整改率达100%。</w:t>
      </w:r>
      <w:r>
        <w:rPr>
          <w:rFonts w:hint="default" w:ascii="Times New Roman" w:hAnsi="Times New Roman" w:eastAsia="仿宋_GB2312" w:cs="Times New Roman"/>
          <w:sz w:val="32"/>
          <w:szCs w:val="32"/>
        </w:rPr>
        <w:t>加强执法队伍建设，完成138名执法人员资格认证；制定执法监督制度，评查案卷43份，推动执法监督联系点向园区、商会延伸。建成区、街、村、企四级应急预案体系，1833个预案线上备案，开展</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应急使命</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2025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大型演练，提升突发事件依法处置能力，筑牢公共安全防线。</w:t>
      </w:r>
    </w:p>
    <w:p w14:paraId="175598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（五）</w:t>
      </w:r>
      <w:r>
        <w:rPr>
          <w:rFonts w:hint="eastAsia" w:ascii="Times New Roman" w:hAnsi="Times New Roman" w:eastAsia="楷体_GB2312" w:cs="Times New Roman"/>
          <w:sz w:val="32"/>
          <w:szCs w:val="32"/>
          <w:lang w:eastAsia="zh-CN"/>
        </w:rPr>
        <w:t>依法化解矛盾纠纷，促进社会和谐稳定</w:t>
      </w:r>
    </w:p>
    <w:p w14:paraId="278E19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sz w:val="32"/>
          <w:szCs w:val="32"/>
          <w:lang w:eastAsia="zh-CN"/>
        </w:rPr>
        <w:t>深化社会治安综合治理中心运行和多元调解联动机制，推广</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人民调解智能助手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highlight w:val="none"/>
          <w:lang w:eastAsia="zh-CN"/>
        </w:rPr>
        <w:t>指导调解组织排查纠纷</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02</w:t>
      </w:r>
      <w:r>
        <w:rPr>
          <w:rFonts w:hint="default" w:ascii="Times New Roman" w:hAnsi="Times New Roman" w:eastAsia="仿宋_GB2312" w:cs="Times New Roman"/>
          <w:color w:val="auto"/>
          <w:sz w:val="32"/>
          <w:szCs w:val="32"/>
          <w:highlight w:val="none"/>
          <w:lang w:eastAsia="zh-CN"/>
        </w:rPr>
        <w:t>万次，调解化解各类矛盾纠纷</w:t>
      </w:r>
      <w:r>
        <w:rPr>
          <w:rFonts w:hint="eastAsia" w:ascii="Times New Roman" w:hAnsi="Times New Roman" w:eastAsia="仿宋_GB2312" w:cs="Times New Roman"/>
          <w:color w:val="auto"/>
          <w:sz w:val="32"/>
          <w:szCs w:val="32"/>
          <w:highlight w:val="none"/>
          <w:lang w:val="en-US" w:eastAsia="zh-CN"/>
        </w:rPr>
        <w:t>1895</w:t>
      </w:r>
      <w:r>
        <w:rPr>
          <w:rFonts w:hint="default" w:ascii="Times New Roman" w:hAnsi="Times New Roman" w:eastAsia="仿宋_GB2312" w:cs="Times New Roman"/>
          <w:color w:val="auto"/>
          <w:sz w:val="32"/>
          <w:szCs w:val="32"/>
          <w:highlight w:val="none"/>
          <w:lang w:eastAsia="zh-CN"/>
        </w:rPr>
        <w:t>件</w:t>
      </w:r>
      <w:r>
        <w:rPr>
          <w:rFonts w:hint="default" w:ascii="Times New Roman" w:hAnsi="Times New Roman" w:eastAsia="仿宋_GB2312" w:cs="Times New Roman"/>
          <w:sz w:val="32"/>
          <w:szCs w:val="32"/>
          <w:lang w:eastAsia="zh-CN"/>
        </w:rPr>
        <w:t>，多个调解案例在中国妇女报、广西法治日报、南天一剑等影响力媒体宣传报道；设立商事调解中心3个，调解案件81件，总标的额3136万元。区退役军人事务局与区司法局联合建立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龙城军号</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法律服务志愿服务队，助力化解涉军矛盾纠纷；区司法局与桂中监狱共建驻监人民调解工作室、法律援助工作站，开展入监服务3场；建立2个社区矫正与安置帮教对象就业培训指导基地，帮助170人就业，在矫及安置帮教对象零重新犯罪。行政复议化解行政争议主渠道作用凸显，</w:t>
      </w:r>
      <w:bookmarkStart w:id="0" w:name="_GoBack"/>
      <w:r>
        <w:rPr>
          <w:rFonts w:hint="default" w:ascii="Times New Roman" w:hAnsi="Times New Roman" w:eastAsia="仿宋_GB2312" w:cs="Times New Roman"/>
          <w:color w:val="auto"/>
          <w:sz w:val="32"/>
          <w:szCs w:val="32"/>
          <w:highlight w:val="none"/>
          <w:lang w:eastAsia="zh-CN"/>
        </w:rPr>
        <w:t>全年受理复议案件</w:t>
      </w:r>
      <w:r>
        <w:rPr>
          <w:rFonts w:hint="eastAsia" w:ascii="Times New Roman" w:hAnsi="Times New Roman" w:eastAsia="仿宋_GB2312" w:cs="Times New Roman"/>
          <w:color w:val="auto"/>
          <w:sz w:val="32"/>
          <w:szCs w:val="32"/>
          <w:highlight w:val="none"/>
          <w:lang w:val="en-US" w:eastAsia="zh-CN"/>
        </w:rPr>
        <w:t>175</w:t>
      </w:r>
      <w:r>
        <w:rPr>
          <w:rFonts w:hint="default" w:ascii="Times New Roman" w:hAnsi="Times New Roman" w:eastAsia="仿宋_GB2312" w:cs="Times New Roman"/>
          <w:color w:val="auto"/>
          <w:sz w:val="32"/>
          <w:szCs w:val="32"/>
          <w:highlight w:val="none"/>
          <w:lang w:eastAsia="zh-CN"/>
        </w:rPr>
        <w:t>件，同比增长</w:t>
      </w:r>
      <w:r>
        <w:rPr>
          <w:rFonts w:hint="eastAsia" w:ascii="Times New Roman" w:hAnsi="Times New Roman" w:eastAsia="仿宋_GB2312" w:cs="Times New Roman"/>
          <w:color w:val="auto"/>
          <w:sz w:val="32"/>
          <w:szCs w:val="32"/>
          <w:highlight w:val="none"/>
          <w:lang w:val="en-US" w:eastAsia="zh-CN"/>
        </w:rPr>
        <w:t>26.81</w:t>
      </w:r>
      <w:r>
        <w:rPr>
          <w:rFonts w:hint="default" w:ascii="Times New Roman" w:hAnsi="Times New Roman" w:eastAsia="仿宋_GB2312" w:cs="Times New Roman"/>
          <w:color w:val="auto"/>
          <w:sz w:val="32"/>
          <w:szCs w:val="32"/>
          <w:highlight w:val="none"/>
          <w:lang w:eastAsia="zh-CN"/>
        </w:rPr>
        <w:t>%，复议诉讼比15.49，调解结案率1</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38</w:t>
      </w:r>
      <w:r>
        <w:rPr>
          <w:rFonts w:hint="default" w:ascii="Times New Roman" w:hAnsi="Times New Roman" w:eastAsia="仿宋_GB2312" w:cs="Times New Roman"/>
          <w:color w:val="auto"/>
          <w:sz w:val="32"/>
          <w:szCs w:val="32"/>
          <w:highlight w:val="none"/>
          <w:lang w:eastAsia="zh-CN"/>
        </w:rPr>
        <w:t>%；行政诉讼一审败诉率4.</w:t>
      </w:r>
      <w:r>
        <w:rPr>
          <w:rFonts w:hint="eastAsia" w:ascii="Times New Roman" w:hAnsi="Times New Roman" w:eastAsia="仿宋_GB2312" w:cs="Times New Roman"/>
          <w:color w:val="auto"/>
          <w:sz w:val="32"/>
          <w:szCs w:val="32"/>
          <w:highlight w:val="none"/>
          <w:lang w:val="en-US" w:eastAsia="zh-CN"/>
        </w:rPr>
        <w:t>62</w:t>
      </w:r>
      <w:r>
        <w:rPr>
          <w:rFonts w:hint="default" w:ascii="Times New Roman" w:hAnsi="Times New Roman" w:eastAsia="仿宋_GB2312" w:cs="Times New Roman"/>
          <w:color w:val="auto"/>
          <w:sz w:val="32"/>
          <w:szCs w:val="32"/>
          <w:highlight w:val="none"/>
          <w:lang w:eastAsia="zh-CN"/>
        </w:rPr>
        <w:t>%，连续两年低于全市平均水平。</w:t>
      </w:r>
    </w:p>
    <w:bookmarkEnd w:id="0"/>
    <w:p w14:paraId="588BD2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（六）健全行政权力制约和监督体系，推进权力规范透明运行</w:t>
      </w:r>
    </w:p>
    <w:p w14:paraId="100FD4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构建“监督+公开”权力制约体系。自觉接受人大、政协监督，办理人大代表建议60件、政协委员提案22件，办复率、满意率100%。严格落实《鱼峰区人民政府行政应诉行政复议工作制度》，主动接受司法监督，支持法院依法受理和审理行政案件，行政机关负责人出庭应诉率达100%。深化政务公开，修订政府信息公开规程，发布信息2585条、政策文件16份，依申请公开答复率、合法率100%；处理群众反馈397件，采纳合理建议5条，推动权力阳光运行。区行政执法协调监督局严格履行执法监督职责，全年制发执法监督文书12份，督促指导整改突出问题13个。</w:t>
      </w:r>
    </w:p>
    <w:p w14:paraId="32174E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黑体" w:cs="Times New Roman"/>
          <w:sz w:val="32"/>
          <w:szCs w:val="32"/>
          <w:lang w:eastAsia="zh-CN"/>
        </w:rPr>
        <w:t>二</w:t>
      </w:r>
      <w:r>
        <w:rPr>
          <w:rFonts w:hint="default" w:ascii="Times New Roman" w:hAnsi="Times New Roman" w:eastAsia="黑体" w:cs="Times New Roman"/>
          <w:sz w:val="32"/>
          <w:szCs w:val="32"/>
        </w:rPr>
        <w:t>、2025年度推进法治政府建设存在的不足</w:t>
      </w:r>
    </w:p>
    <w:p w14:paraId="5D0D67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尽管取得阶段性成效，仍存在短板：一是干部法治思维和攻坚能力需进一步强化；二是跨部门协同执法效能有待提升；三是公共法律服务深度不足，与群众期待与市场主体需求还存在差距。</w:t>
      </w:r>
    </w:p>
    <w:p w14:paraId="2F702F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黑体" w:cs="Times New Roman"/>
          <w:sz w:val="32"/>
          <w:szCs w:val="32"/>
          <w:lang w:eastAsia="zh-CN"/>
        </w:rPr>
        <w:t>三</w:t>
      </w:r>
      <w:r>
        <w:rPr>
          <w:rFonts w:hint="default" w:ascii="Times New Roman" w:hAnsi="Times New Roman" w:eastAsia="黑体" w:cs="Times New Roman"/>
          <w:sz w:val="32"/>
          <w:szCs w:val="32"/>
        </w:rPr>
        <w:t>、2026年度推进法治政府建设的主要思路</w:t>
      </w:r>
    </w:p>
    <w:p w14:paraId="7AE7B2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结合中央、自治区、柳州市法治政府建设新部署新要求，2026年鱼峰区将立足高质量发展全局，重点推进以下工作：</w:t>
      </w:r>
    </w:p>
    <w:p w14:paraId="2640B0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（一）强化思想引领与制度创新</w:t>
      </w:r>
    </w:p>
    <w:p w14:paraId="08C2F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以习近平法治思想为引领，完善领导干部学法机制，推动法治理念融入治理各领域。锚定</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十五五</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法治建设规划编制，聚焦产业发展、民生保障等重点领域强化制度创新，构建更优法治保障体系。</w:t>
      </w:r>
    </w:p>
    <w:p w14:paraId="1230EA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（二）深化执法改革与营商环境优化</w:t>
      </w:r>
    </w:p>
    <w:p w14:paraId="33500F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推进执法</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规范化+精准化</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改革，健全跨部门联合执法机制，深化涉企</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减扰</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监管。优化法治化营商环境，完善商事纠纷快速化解通道，构建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亲清</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政商关系，激发市场主体活力。</w:t>
      </w:r>
    </w:p>
    <w:p w14:paraId="06EFFF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（三）提升社会治理与数字法治效能</w:t>
      </w:r>
    </w:p>
    <w:p w14:paraId="6A15B8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深化新时代</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枫桥经验</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鱼峰实践，健全矛盾纠纷多元化解链，提升行政复议化解质效。加速数字法治政府建设，打通数据壁垒，推动政务服务、执法监管、法律服务数据协同，实现基层治理效能最大化。</w:t>
      </w:r>
    </w:p>
    <w:p w14:paraId="12D689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楷体_GB2312" w:hAnsi="楷体_GB2312" w:eastAsia="楷体_GB2312" w:cs="楷体_GB2312"/>
          <w:sz w:val="32"/>
          <w:szCs w:val="32"/>
        </w:rPr>
        <w:t>（四）夯实法治基础与服务保障</w:t>
      </w:r>
    </w:p>
    <w:p w14:paraId="21845D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加强执法、复议专业人才培养，扩容提升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法律明白人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队伍，加大公共法律服务支持。优化法治考核评价体系，加大基层法治资源投入，推动各项任务在基层落地见效，为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十五五</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法治建设开局起步奠定坚实基础。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B6CE8F-F575-493C-A470-283751DFD18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embedRegular r:id="rId2" w:fontKey="{15D5ECB4-1DF6-415E-893D-88219350467A}"/>
  </w:font>
  <w:font w:name="仿宋_GB2312">
    <w:panose1 w:val="02010609030101010101"/>
    <w:charset w:val="86"/>
    <w:family w:val="auto"/>
    <w:pitch w:val="default"/>
    <w:sig w:usb0="00000001" w:usb1="080E0000" w:usb2="00000000" w:usb3="00000000" w:csb0="00040000" w:csb1="00000000"/>
    <w:embedRegular r:id="rId3" w:fontKey="{613A9E5D-7C00-43EB-9F12-B6ECBF8309EE}"/>
  </w:font>
  <w:font w:name="楷体_GB2312">
    <w:panose1 w:val="02010609030101010101"/>
    <w:charset w:val="86"/>
    <w:family w:val="auto"/>
    <w:pitch w:val="default"/>
    <w:sig w:usb0="00000001" w:usb1="080E0000" w:usb2="00000000" w:usb3="00000000" w:csb0="00040000" w:csb1="00000000"/>
    <w:embedRegular r:id="rId4" w:fontKey="{977E4AF5-131A-41C0-B12C-8BADA6F1EA8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541C10"/>
    <w:rsid w:val="00502502"/>
    <w:rsid w:val="079806C6"/>
    <w:rsid w:val="0BF17A23"/>
    <w:rsid w:val="0CF22AFC"/>
    <w:rsid w:val="0FFD787B"/>
    <w:rsid w:val="10A466E3"/>
    <w:rsid w:val="11A77DDB"/>
    <w:rsid w:val="12FB3F71"/>
    <w:rsid w:val="1EF14F6C"/>
    <w:rsid w:val="2D296686"/>
    <w:rsid w:val="2EDB4A62"/>
    <w:rsid w:val="33541C10"/>
    <w:rsid w:val="3E8B6203"/>
    <w:rsid w:val="4057176C"/>
    <w:rsid w:val="4E3B7A15"/>
    <w:rsid w:val="54E7647B"/>
    <w:rsid w:val="55227D4A"/>
    <w:rsid w:val="6314191D"/>
    <w:rsid w:val="65A166C8"/>
    <w:rsid w:val="67B47909"/>
    <w:rsid w:val="732B1F63"/>
    <w:rsid w:val="75D06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2705</Words>
  <Characters>2854</Characters>
  <Lines>0</Lines>
  <Paragraphs>0</Paragraphs>
  <TotalTime>1</TotalTime>
  <ScaleCrop>false</ScaleCrop>
  <LinksUpToDate>false</LinksUpToDate>
  <CharactersWithSpaces>2854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2025-11-18T07:29:00Z</dcterms:created>
  <dc:creator>韦秋惠</dc:creator>
  <cp:lastModifiedBy>韦秋惠</cp:lastModifiedBy>
  <dcterms:modified xsi:type="dcterms:W3CDTF">2025-12-05T07:51:43Z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90C004D5FEF54BAD92FB83A5A054C296_13</vt:lpwstr>
  </property>
  <property fmtid="{D5CDD505-2E9C-101B-9397-08002B2CF9AE}" pid="4" name="KSOTemplateDocerSaveRecord">
    <vt:lpwstr>eyJoZGlkIjoiYWFiMjk4ZmU3YzY4MGE1YmExYzliZmM4ODU0YWEwZmQiLCJ1c2VySWQiOiIxNzI0NjEyNDQyIn0=</vt:lpwstr>
  </property>
</Properties>
</file>