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cs="黑体" w:asciiTheme="majorEastAsia" w:hAnsiTheme="majorEastAsia" w:eastAsiaTheme="majorEastAsia"/>
          <w:sz w:val="44"/>
          <w:szCs w:val="44"/>
        </w:rPr>
      </w:pPr>
      <w:r>
        <w:rPr>
          <w:rFonts w:hint="eastAsia" w:ascii="黑体" w:hAnsi="黑体" w:eastAsia="黑体" w:cs="黑体"/>
          <w:sz w:val="32"/>
          <w:szCs w:val="32"/>
        </w:rPr>
        <w:t xml:space="preserve"> </w:t>
      </w:r>
      <w:r>
        <w:rPr>
          <w:rFonts w:hint="eastAsia" w:cs="黑体" w:asciiTheme="majorEastAsia" w:hAnsiTheme="majorEastAsia" w:eastAsiaTheme="majorEastAsia"/>
          <w:sz w:val="44"/>
          <w:szCs w:val="44"/>
        </w:rPr>
        <w:t xml:space="preserve"> 柳州市人力资源和社会保障局</w:t>
      </w:r>
    </w:p>
    <w:p>
      <w:pPr>
        <w:spacing w:line="480" w:lineRule="exact"/>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关于2021年度法治政府建设情况的报告</w:t>
      </w:r>
    </w:p>
    <w:p>
      <w:pPr>
        <w:spacing w:line="480" w:lineRule="exact"/>
        <w:jc w:val="center"/>
        <w:rPr>
          <w:rFonts w:ascii="黑体" w:hAnsi="黑体" w:eastAsia="黑体" w:cs="黑体"/>
          <w:sz w:val="32"/>
          <w:szCs w:val="32"/>
        </w:rPr>
      </w:pPr>
    </w:p>
    <w:p>
      <w:pPr>
        <w:widowControl/>
        <w:spacing w:line="480" w:lineRule="exact"/>
        <w:ind w:firstLine="640"/>
        <w:jc w:val="left"/>
        <w:rPr>
          <w:rFonts w:ascii="仿宋" w:hAnsi="仿宋" w:eastAsia="仿宋" w:cs="仿宋"/>
          <w:color w:val="000000"/>
          <w:kern w:val="0"/>
          <w:sz w:val="32"/>
          <w:szCs w:val="32"/>
          <w:shd w:val="clear" w:color="auto" w:fill="FFFFFF"/>
        </w:rPr>
      </w:pPr>
      <w:bookmarkStart w:id="0" w:name="_GoBack"/>
      <w:bookmarkEnd w:id="0"/>
      <w:r>
        <w:rPr>
          <w:rFonts w:hint="eastAsia" w:ascii="仿宋" w:hAnsi="仿宋" w:eastAsia="仿宋" w:cs="仿宋"/>
          <w:color w:val="000000"/>
          <w:kern w:val="0"/>
          <w:sz w:val="32"/>
          <w:szCs w:val="32"/>
          <w:shd w:val="clear" w:color="auto" w:fill="FFFFFF"/>
        </w:rPr>
        <w:t>在市委、市政府的正确领导下，在全面依法治市委员会办公室的精心指导下，我局深入学习贯彻习近平法治思想，以柳州市争创全国法治政府建设示范市为契机，对标对表法治建设新要求，固本强基，在制度建设机制完善上下功夫，深化拓展人社领域改革创新成果，为人力资源社会保障事业高质量发展提供了坚强的法治保障。</w:t>
      </w:r>
    </w:p>
    <w:p>
      <w:pPr>
        <w:pStyle w:val="11"/>
        <w:widowControl/>
        <w:numPr>
          <w:ilvl w:val="0"/>
          <w:numId w:val="1"/>
        </w:numPr>
        <w:spacing w:line="480" w:lineRule="exact"/>
        <w:ind w:firstLineChars="0"/>
        <w:jc w:val="left"/>
        <w:rPr>
          <w:rFonts w:ascii="黑体" w:hAnsi="黑体" w:eastAsia="黑体" w:cs="仿宋"/>
          <w:color w:val="000000"/>
          <w:kern w:val="0"/>
          <w:sz w:val="32"/>
          <w:szCs w:val="32"/>
          <w:shd w:val="clear" w:color="auto" w:fill="FFFFFF"/>
        </w:rPr>
      </w:pPr>
      <w:r>
        <w:rPr>
          <w:rFonts w:hint="eastAsia" w:ascii="黑体" w:hAnsi="黑体" w:eastAsia="黑体" w:cs="仿宋"/>
          <w:color w:val="000000"/>
          <w:kern w:val="0"/>
          <w:sz w:val="32"/>
          <w:szCs w:val="32"/>
          <w:shd w:val="clear" w:color="auto" w:fill="FFFFFF"/>
        </w:rPr>
        <w:t>推进法治政府建设的主要举措和成效</w:t>
      </w:r>
    </w:p>
    <w:p>
      <w:pPr>
        <w:widowControl/>
        <w:spacing w:line="480" w:lineRule="exact"/>
        <w:ind w:firstLine="640" w:firstLineChars="200"/>
        <w:rPr>
          <w:rFonts w:ascii="楷体" w:hAnsi="楷体" w:eastAsia="楷体" w:cs="仿宋"/>
          <w:color w:val="000000"/>
          <w:kern w:val="0"/>
          <w:sz w:val="32"/>
          <w:szCs w:val="32"/>
          <w:shd w:val="clear" w:color="auto" w:fill="FFFFFF"/>
        </w:rPr>
      </w:pPr>
      <w:r>
        <w:rPr>
          <w:rFonts w:hint="eastAsia" w:ascii="楷体" w:hAnsi="楷体" w:eastAsia="楷体" w:cs="仿宋"/>
          <w:color w:val="000000"/>
          <w:kern w:val="0"/>
          <w:sz w:val="32"/>
          <w:szCs w:val="32"/>
          <w:shd w:val="clear" w:color="auto" w:fill="FFFFFF"/>
        </w:rPr>
        <w:t>（一）党政主要负责人履行推进法治建设第一责任人职责情况。</w:t>
      </w:r>
      <w:r>
        <w:rPr>
          <w:rFonts w:hint="eastAsia" w:ascii="仿宋" w:hAnsi="仿宋" w:eastAsia="仿宋"/>
          <w:sz w:val="32"/>
          <w:szCs w:val="32"/>
        </w:rPr>
        <w:t>党政主要负责人自觉按照《党政主要负责人履行推进法治建设第一责任人职责规定》，学法、守法、尊法、用法。2021年领导班子集体学法8次，学习了党内法规以及《中华人民共和国民法典》等重要法律法规。主要领导带头述法，对法治建设重要工作亲自部署、重大问题亲自过问、重点环节亲自协调，以身作则厉行法治。坚持依法依规决策，严格执行重大行政决策法定程序，依法制定规范性文件。自觉维护司法权威，尊重并执行法院生效裁判，支持法院受理行政案件。</w:t>
      </w:r>
    </w:p>
    <w:p>
      <w:pPr>
        <w:autoSpaceDE w:val="0"/>
        <w:spacing w:line="480" w:lineRule="exact"/>
        <w:ind w:firstLine="640" w:firstLineChars="200"/>
        <w:rPr>
          <w:rFonts w:ascii="仿宋_GB2312" w:hAnsi="楷体_GB2312" w:eastAsia="仿宋_GB2312" w:cs="楷体_GB2312"/>
          <w:sz w:val="32"/>
          <w:szCs w:val="32"/>
        </w:rPr>
      </w:pPr>
      <w:r>
        <w:rPr>
          <w:rFonts w:hint="eastAsia" w:ascii="楷体" w:hAnsi="楷体" w:eastAsia="楷体" w:cs="仿宋"/>
          <w:color w:val="000000"/>
          <w:kern w:val="0"/>
          <w:sz w:val="32"/>
          <w:szCs w:val="32"/>
          <w:shd w:val="clear" w:color="auto" w:fill="FFFFFF"/>
        </w:rPr>
        <w:t>（二）健全政府机构职能体系情况。</w:t>
      </w:r>
      <w:r>
        <w:rPr>
          <w:rFonts w:hint="eastAsia" w:ascii="仿宋" w:hAnsi="仿宋" w:eastAsia="仿宋"/>
          <w:sz w:val="32"/>
          <w:szCs w:val="32"/>
        </w:rPr>
        <w:t>深入推进“放管服”改革，加强事中事后监管，全面提升政务服务水平。</w:t>
      </w:r>
      <w:r>
        <w:rPr>
          <w:rFonts w:ascii="仿宋" w:hAnsi="仿宋" w:eastAsia="仿宋"/>
          <w:b/>
          <w:sz w:val="32"/>
          <w:szCs w:val="32"/>
        </w:rPr>
        <w:t>一是“人社服务快办行动”提速增效。</w:t>
      </w:r>
      <w:r>
        <w:rPr>
          <w:rFonts w:ascii="仿宋" w:hAnsi="仿宋" w:eastAsia="仿宋"/>
          <w:sz w:val="32"/>
          <w:szCs w:val="32"/>
        </w:rPr>
        <w:t>全面实现13个“一件事”“打包办”，5个“打包办”业务实现不见面、零跑腿</w:t>
      </w:r>
      <w:r>
        <w:rPr>
          <w:rFonts w:hint="eastAsia" w:ascii="仿宋" w:hAnsi="仿宋" w:eastAsia="仿宋"/>
          <w:sz w:val="32"/>
          <w:szCs w:val="32"/>
        </w:rPr>
        <w:t>、网上办</w:t>
      </w:r>
      <w:r>
        <w:rPr>
          <w:rFonts w:ascii="仿宋" w:hAnsi="仿宋" w:eastAsia="仿宋"/>
          <w:sz w:val="32"/>
          <w:szCs w:val="32"/>
        </w:rPr>
        <w:t>。推进实现事业单位工作人员管理“一件事”。探索免申即办，实现9项人社事项“免办”</w:t>
      </w:r>
      <w:r>
        <w:rPr>
          <w:rFonts w:hint="eastAsia"/>
        </w:rPr>
        <w:t>。</w:t>
      </w:r>
      <w:r>
        <w:rPr>
          <w:rFonts w:hint="eastAsia" w:ascii="仿宋" w:hAnsi="仿宋" w:eastAsia="仿宋"/>
          <w:sz w:val="32"/>
          <w:szCs w:val="32"/>
        </w:rPr>
        <w:t>人社五项补贴政策上线“龙城亲清在线”平台，率先实现“免申即享”政策兑现</w:t>
      </w:r>
      <w:r>
        <w:rPr>
          <w:rFonts w:ascii="仿宋" w:hAnsi="仿宋" w:eastAsia="仿宋"/>
          <w:sz w:val="32"/>
          <w:szCs w:val="32"/>
        </w:rPr>
        <w:t>。</w:t>
      </w:r>
      <w:r>
        <w:rPr>
          <w:rFonts w:ascii="仿宋" w:hAnsi="仿宋" w:eastAsia="仿宋"/>
          <w:b/>
          <w:sz w:val="32"/>
          <w:szCs w:val="32"/>
        </w:rPr>
        <w:t>二是人社信息化便民服务提档升级。</w:t>
      </w:r>
      <w:r>
        <w:rPr>
          <w:rFonts w:ascii="仿宋" w:hAnsi="仿宋" w:eastAsia="仿宋"/>
          <w:sz w:val="32"/>
          <w:szCs w:val="32"/>
        </w:rPr>
        <w:t>重新布局5个社保经办网点，推动251项人社服务事项“一门办”、236项“网上办”、20项“秒办”、95项“全区通办”、31项“跨省通办”，为企业群众提供线下服务</w:t>
      </w:r>
      <w:r>
        <w:rPr>
          <w:rFonts w:hint="eastAsia" w:ascii="仿宋" w:hAnsi="仿宋" w:eastAsia="仿宋"/>
          <w:sz w:val="32"/>
          <w:szCs w:val="32"/>
        </w:rPr>
        <w:t>24.47</w:t>
      </w:r>
      <w:r>
        <w:rPr>
          <w:rFonts w:ascii="仿宋" w:hAnsi="仿宋" w:eastAsia="仿宋"/>
          <w:sz w:val="32"/>
          <w:szCs w:val="32"/>
        </w:rPr>
        <w:t>万人次，线上服务</w:t>
      </w:r>
      <w:r>
        <w:rPr>
          <w:rFonts w:hint="eastAsia" w:ascii="仿宋" w:hAnsi="仿宋" w:eastAsia="仿宋"/>
          <w:sz w:val="32"/>
          <w:szCs w:val="32"/>
        </w:rPr>
        <w:t>453.10</w:t>
      </w:r>
      <w:r>
        <w:rPr>
          <w:rFonts w:ascii="仿宋" w:hAnsi="仿宋" w:eastAsia="仿宋"/>
          <w:sz w:val="32"/>
          <w:szCs w:val="32"/>
        </w:rPr>
        <w:t>万人次，群众办事基本实现“不进门，网上办；进一门，一窗办；简便事，自助办”。</w:t>
      </w:r>
      <w:r>
        <w:rPr>
          <w:rFonts w:hint="eastAsia" w:ascii="仿宋" w:hAnsi="仿宋" w:eastAsia="仿宋"/>
          <w:sz w:val="32"/>
          <w:szCs w:val="32"/>
        </w:rPr>
        <w:t xml:space="preserve"> 今年7月我局获评2020年度全区数字广西建设突出贡献奖。</w:t>
      </w:r>
      <w:r>
        <w:rPr>
          <w:rFonts w:ascii="仿宋" w:hAnsi="仿宋" w:eastAsia="仿宋"/>
          <w:b/>
          <w:sz w:val="32"/>
          <w:szCs w:val="32"/>
        </w:rPr>
        <w:t>三是人社服务标准化建设提质扩面。</w:t>
      </w:r>
      <w:r>
        <w:rPr>
          <w:rFonts w:ascii="仿宋" w:hAnsi="仿宋" w:eastAsia="仿宋"/>
          <w:sz w:val="32"/>
          <w:szCs w:val="32"/>
        </w:rPr>
        <w:t>开展人社领域基本公共服务标准化试点工作，优化对老年人等特殊群体的便民服务，常态化开展调研暗访和“人社干部走流程”，组织开展常态化练兵比武，实施人社政务服务“好差评”，人社服务满意度好评率稳定在99%以上。</w:t>
      </w:r>
      <w:r>
        <w:rPr>
          <w:rFonts w:hint="eastAsia" w:ascii="仿宋" w:hAnsi="仿宋" w:eastAsia="仿宋"/>
          <w:b/>
          <w:sz w:val="32"/>
          <w:szCs w:val="32"/>
        </w:rPr>
        <w:t>四是坚持依法依规管理，加强事中事后监管。</w:t>
      </w:r>
      <w:r>
        <w:rPr>
          <w:rFonts w:hint="eastAsia" w:ascii="仿宋" w:hAnsi="仿宋" w:eastAsia="仿宋"/>
          <w:sz w:val="32"/>
          <w:szCs w:val="32"/>
        </w:rPr>
        <w:t>完善职业培训券和就业社保补贴等申领发放工作，加强内控管理，健全监管机制，提高监管精准化水平。</w:t>
      </w:r>
    </w:p>
    <w:p>
      <w:pPr>
        <w:spacing w:line="480" w:lineRule="exact"/>
        <w:ind w:firstLine="640" w:firstLineChars="200"/>
        <w:rPr>
          <w:rFonts w:ascii="楷体" w:hAnsi="楷体" w:eastAsia="楷体" w:cs="仿宋"/>
          <w:color w:val="000000"/>
          <w:kern w:val="0"/>
          <w:sz w:val="32"/>
          <w:szCs w:val="32"/>
          <w:shd w:val="clear" w:color="auto" w:fill="FFFFFF"/>
        </w:rPr>
      </w:pPr>
      <w:r>
        <w:rPr>
          <w:rFonts w:hint="eastAsia" w:ascii="楷体" w:hAnsi="楷体" w:eastAsia="楷体" w:cs="仿宋"/>
          <w:color w:val="000000"/>
          <w:kern w:val="0"/>
          <w:sz w:val="32"/>
          <w:szCs w:val="32"/>
          <w:shd w:val="clear" w:color="auto" w:fill="FFFFFF"/>
        </w:rPr>
        <w:t>（三）完善依法行政制度体系情况。</w:t>
      </w:r>
      <w:r>
        <w:rPr>
          <w:rFonts w:hint="eastAsia" w:ascii="仿宋" w:hAnsi="仿宋" w:eastAsia="仿宋" w:cs="仿宋"/>
          <w:b/>
          <w:bCs/>
          <w:color w:val="333333"/>
          <w:kern w:val="0"/>
          <w:sz w:val="32"/>
          <w:szCs w:val="32"/>
          <w:shd w:val="clear" w:color="auto" w:fill="FFFFFF"/>
        </w:rPr>
        <w:t>一是加强规范性文件管理和监督。</w:t>
      </w:r>
      <w:r>
        <w:rPr>
          <w:rFonts w:hint="eastAsia" w:ascii="仿宋" w:hAnsi="仿宋" w:eastAsia="仿宋" w:cs="仿宋"/>
          <w:sz w:val="32"/>
          <w:szCs w:val="32"/>
        </w:rPr>
        <w:t>按照《广西壮族自治区规范性文件监督管理办法》《柳州市人力资源和社会保障局合法性审查工作制度》，认真落实规范性文件调研起草、征求意见、组织论证、合法性审查、制定机关负责人集体讨论决定、公布、备案程序，并按照《柳州市人力资源和社会保障局关于实行规范性文件“三统一”制度的通知》要求，进行统一登记、统一编号、统一印发。2021年制定的6件规范性文件全部经过政策法规科合法性审查并按时提交市司法局备案。二是</w:t>
      </w:r>
      <w:r>
        <w:rPr>
          <w:rFonts w:hint="eastAsia" w:ascii="仿宋" w:hAnsi="仿宋" w:eastAsia="仿宋" w:cs="仿宋"/>
          <w:b/>
          <w:color w:val="333333"/>
          <w:kern w:val="0"/>
          <w:sz w:val="32"/>
          <w:szCs w:val="32"/>
          <w:shd w:val="clear" w:color="auto" w:fill="FFFFFF"/>
        </w:rPr>
        <w:t>落实规范性文件清理长效机制。</w:t>
      </w:r>
      <w:r>
        <w:rPr>
          <w:rFonts w:hint="eastAsia" w:ascii="仿宋" w:hAnsi="仿宋" w:eastAsia="仿宋" w:cs="仿宋"/>
          <w:sz w:val="32"/>
          <w:szCs w:val="32"/>
        </w:rPr>
        <w:t>每年3月将当年度制定的规范性文件目录及文本在门户网站予以公布，对规范性文件目录和文本进行动态化、信息化管理。同时，按照市司法局关于规章和规范性文件清理工作的统一部署，对现行有效规章和规范性文件进行了清理。</w:t>
      </w:r>
      <w:r>
        <w:rPr>
          <w:rFonts w:ascii="仿宋" w:hAnsi="仿宋" w:eastAsia="仿宋" w:cs="仿宋"/>
          <w:b/>
          <w:color w:val="333333"/>
          <w:kern w:val="0"/>
          <w:sz w:val="32"/>
          <w:szCs w:val="32"/>
          <w:shd w:val="clear" w:color="auto" w:fill="FFFFFF"/>
        </w:rPr>
        <w:t xml:space="preserve"> </w:t>
      </w:r>
    </w:p>
    <w:p>
      <w:pPr>
        <w:spacing w:line="480" w:lineRule="exact"/>
        <w:ind w:firstLine="640" w:firstLineChars="200"/>
        <w:rPr>
          <w:rFonts w:ascii="楷体" w:hAnsi="楷体" w:eastAsia="楷体" w:cs="仿宋"/>
          <w:color w:val="000000"/>
          <w:kern w:val="0"/>
          <w:sz w:val="32"/>
          <w:szCs w:val="32"/>
          <w:shd w:val="clear" w:color="auto" w:fill="FFFFFF"/>
        </w:rPr>
      </w:pPr>
      <w:r>
        <w:rPr>
          <w:rFonts w:hint="eastAsia" w:ascii="楷体" w:hAnsi="楷体" w:eastAsia="楷体" w:cs="仿宋"/>
          <w:color w:val="000000"/>
          <w:kern w:val="0"/>
          <w:sz w:val="32"/>
          <w:szCs w:val="32"/>
          <w:shd w:val="clear" w:color="auto" w:fill="FFFFFF"/>
        </w:rPr>
        <w:t>（四）健全行政决策制度体系提升行政决策公信力情况。</w:t>
      </w:r>
      <w:r>
        <w:rPr>
          <w:rFonts w:hint="eastAsia" w:ascii="仿宋" w:hAnsi="仿宋" w:eastAsia="仿宋" w:cs="仿宋"/>
          <w:b/>
          <w:color w:val="333333"/>
          <w:kern w:val="0"/>
          <w:sz w:val="32"/>
          <w:szCs w:val="32"/>
          <w:shd w:val="clear" w:color="auto" w:fill="FFFFFF"/>
        </w:rPr>
        <w:t>一是强化依法决策程序。</w:t>
      </w:r>
      <w:r>
        <w:rPr>
          <w:rFonts w:hint="eastAsia" w:ascii="仿宋" w:hAnsi="仿宋" w:eastAsia="仿宋" w:cs="仿宋"/>
          <w:sz w:val="32"/>
          <w:szCs w:val="32"/>
        </w:rPr>
        <w:t>严格落实《柳州市人力资源和社会保障局合法性审查工作制度》《柳州市政府重大行政决策程序规定》《广西壮族自治区规范性文件监督管理办法》等规定，明确未经合法性审查或者经审查不合法的，不能提交会议讨论，作出决策。2021年部门法制机构出具合法性审查意见62份，为领导科学决策把好法律关。</w:t>
      </w:r>
      <w:r>
        <w:rPr>
          <w:rFonts w:hint="eastAsia" w:ascii="仿宋" w:hAnsi="仿宋" w:eastAsia="仿宋" w:cs="仿宋"/>
          <w:b/>
          <w:sz w:val="32"/>
          <w:szCs w:val="32"/>
        </w:rPr>
        <w:t>二是严格落实法律顾问制度。</w:t>
      </w:r>
      <w:r>
        <w:rPr>
          <w:rFonts w:hint="eastAsia" w:ascii="仿宋" w:hAnsi="仿宋" w:eastAsia="仿宋" w:cs="仿宋"/>
          <w:sz w:val="32"/>
          <w:szCs w:val="32"/>
        </w:rPr>
        <w:t>按照《柳州市人民政府办公室关于建立政府法律顾问制度的意见》（柳政办〔2015〕66号）文件要求，结合我局工作实际，制定法律顾问工作制度，严格规定聘请法律顾问的程序、担任法律顾问需满足的条件、法律顾问的工作职责、权利、需遵守的规定及其他事项，保障我局法律顾问制度有效推进。2021年法律顾问参与行政复议和行政诉讼56件、疑难案件研究讨论4次。</w:t>
      </w:r>
      <w:r>
        <w:rPr>
          <w:rFonts w:hint="eastAsia" w:ascii="仿宋" w:hAnsi="仿宋" w:eastAsia="仿宋" w:cs="仿宋"/>
          <w:b/>
          <w:sz w:val="32"/>
          <w:szCs w:val="32"/>
        </w:rPr>
        <w:t>三是严格落实重大行政决策程序。</w:t>
      </w:r>
      <w:r>
        <w:rPr>
          <w:rFonts w:hint="eastAsia" w:ascii="仿宋" w:hAnsi="仿宋" w:eastAsia="仿宋" w:cs="仿宋"/>
          <w:sz w:val="32"/>
          <w:szCs w:val="32"/>
        </w:rPr>
        <w:t>按照《重大行政决策程序暂行条例》、《广西壮族自治区重大行政决策程序规定》、《柳州市政府重大行政决策程序规定》，明确重大行政决策事项范围，严格执行公众参与、专家论证、风险评估、合法性审查、集体讨论决定、决策后评估等环节，凡未经决策调研、合法性审查和集体讨论等重大行政决策必经程序的，不得作出重大行政决策。</w:t>
      </w:r>
    </w:p>
    <w:p>
      <w:pPr>
        <w:pStyle w:val="7"/>
        <w:spacing w:line="480" w:lineRule="exact"/>
        <w:ind w:firstLine="480" w:firstLineChars="150"/>
        <w:rPr>
          <w:rFonts w:ascii="仿宋" w:hAnsi="仿宋" w:eastAsia="仿宋" w:cs="仿宋"/>
          <w:sz w:val="32"/>
          <w:szCs w:val="32"/>
        </w:rPr>
      </w:pPr>
      <w:r>
        <w:rPr>
          <w:rFonts w:hint="eastAsia" w:ascii="楷体" w:hAnsi="楷体" w:eastAsia="楷体" w:cs="仿宋"/>
          <w:color w:val="000000"/>
          <w:kern w:val="0"/>
          <w:sz w:val="32"/>
          <w:szCs w:val="32"/>
          <w:shd w:val="clear" w:color="auto" w:fill="FFFFFF"/>
        </w:rPr>
        <w:t>（五）开展严格规范公正文明执法情况。</w:t>
      </w:r>
      <w:r>
        <w:rPr>
          <w:rFonts w:hint="eastAsia" w:ascii="仿宋" w:hAnsi="仿宋" w:eastAsia="仿宋" w:cs="仿宋"/>
          <w:b/>
          <w:sz w:val="32"/>
          <w:szCs w:val="32"/>
        </w:rPr>
        <w:t>一是加强重点领域执法。</w:t>
      </w:r>
      <w:r>
        <w:rPr>
          <w:rFonts w:ascii="仿宋" w:hAnsi="仿宋" w:eastAsia="仿宋" w:cs="仿宋"/>
          <w:sz w:val="32"/>
          <w:szCs w:val="32"/>
        </w:rPr>
        <w:t>组织开展根治欠薪专项行动，检查3628家企业覆盖劳动者4.54万人，推动劳动保障监察和拖欠农民工工资举报投诉案件结案率均达100%，为932名劳动者追发工资等待遇707.47万元，农民工合法权益得到有效维护，劳动监察科荣获“全国根治拖欠农民工工资工作先进集体”荣誉称号。</w:t>
      </w:r>
      <w:r>
        <w:rPr>
          <w:rFonts w:hint="eastAsia" w:ascii="仿宋" w:hAnsi="仿宋" w:eastAsia="仿宋" w:cs="仿宋"/>
          <w:b/>
          <w:sz w:val="32"/>
          <w:szCs w:val="32"/>
        </w:rPr>
        <w:t>二是创新行政执法方式。</w:t>
      </w:r>
      <w:r>
        <w:rPr>
          <w:rFonts w:hint="eastAsia" w:ascii="仿宋" w:hAnsi="仿宋" w:eastAsia="仿宋" w:cs="仿宋"/>
          <w:sz w:val="32"/>
          <w:szCs w:val="32"/>
        </w:rPr>
        <w:t>通过集体约谈欠薪企业，协助企业制定清欠有效措施等方式，让执法宽严相济、法理相融，确保零欠薪任务如期顺利完成。</w:t>
      </w:r>
    </w:p>
    <w:p>
      <w:pPr>
        <w:pStyle w:val="7"/>
        <w:spacing w:line="480" w:lineRule="exact"/>
        <w:ind w:firstLine="480" w:firstLineChars="150"/>
        <w:rPr>
          <w:rFonts w:ascii="楷体" w:hAnsi="楷体" w:eastAsia="楷体" w:cs="仿宋"/>
          <w:color w:val="000000"/>
          <w:kern w:val="0"/>
          <w:sz w:val="32"/>
          <w:szCs w:val="32"/>
          <w:shd w:val="clear" w:color="auto" w:fill="FFFFFF"/>
        </w:rPr>
      </w:pPr>
      <w:r>
        <w:rPr>
          <w:rFonts w:hint="eastAsia" w:ascii="楷体" w:hAnsi="楷体" w:eastAsia="楷体" w:cs="仿宋"/>
          <w:color w:val="000000"/>
          <w:kern w:val="0"/>
          <w:sz w:val="32"/>
          <w:szCs w:val="32"/>
          <w:shd w:val="clear" w:color="auto" w:fill="FFFFFF"/>
        </w:rPr>
        <w:t>（六）健全突发事件应对体系情况。</w:t>
      </w:r>
      <w:r>
        <w:rPr>
          <w:rFonts w:hint="eastAsia" w:ascii="仿宋" w:hAnsi="仿宋" w:eastAsia="仿宋" w:cs="仿宋"/>
          <w:sz w:val="32"/>
          <w:szCs w:val="32"/>
        </w:rPr>
        <w:t>增强风险防范意识，制定并完善突发公共事件总体和专项应急预案。加强突发事件信息公开和危机沟通，妥善处置公共舆情。</w:t>
      </w:r>
    </w:p>
    <w:p>
      <w:pPr>
        <w:spacing w:line="480" w:lineRule="exact"/>
        <w:ind w:firstLine="640" w:firstLineChars="200"/>
        <w:rPr>
          <w:rFonts w:ascii="仿宋" w:hAnsi="仿宋" w:eastAsia="仿宋" w:cs="仿宋"/>
          <w:sz w:val="32"/>
          <w:szCs w:val="32"/>
        </w:rPr>
      </w:pPr>
      <w:r>
        <w:rPr>
          <w:rFonts w:hint="eastAsia" w:ascii="楷体" w:hAnsi="楷体" w:eastAsia="楷体" w:cs="仿宋"/>
          <w:color w:val="000000"/>
          <w:kern w:val="0"/>
          <w:sz w:val="32"/>
          <w:szCs w:val="32"/>
          <w:shd w:val="clear" w:color="auto" w:fill="FFFFFF"/>
        </w:rPr>
        <w:t>（七）依法化解矛盾纠纷情况。</w:t>
      </w:r>
      <w:r>
        <w:rPr>
          <w:rFonts w:hint="eastAsia" w:ascii="仿宋" w:hAnsi="仿宋" w:eastAsia="仿宋" w:cs="宋体"/>
          <w:b/>
          <w:kern w:val="0"/>
          <w:sz w:val="32"/>
          <w:szCs w:val="32"/>
        </w:rPr>
        <w:t>一是加快推进市劳动人事争议调解中心建设。</w:t>
      </w:r>
      <w:r>
        <w:rPr>
          <w:rFonts w:ascii="仿宋" w:hAnsi="仿宋" w:eastAsia="仿宋" w:cs="宋体"/>
          <w:kern w:val="0"/>
          <w:sz w:val="32"/>
          <w:szCs w:val="32"/>
        </w:rPr>
        <w:t>加大</w:t>
      </w:r>
      <w:r>
        <w:rPr>
          <w:rFonts w:hint="eastAsia" w:ascii="仿宋" w:hAnsi="仿宋" w:eastAsia="仿宋" w:cs="宋体"/>
          <w:kern w:val="0"/>
          <w:sz w:val="32"/>
          <w:szCs w:val="32"/>
        </w:rPr>
        <w:t>劳动争议仲裁案件前</w:t>
      </w:r>
      <w:r>
        <w:rPr>
          <w:rFonts w:ascii="仿宋" w:hAnsi="仿宋" w:eastAsia="仿宋" w:cs="宋体"/>
          <w:kern w:val="0"/>
          <w:sz w:val="32"/>
          <w:szCs w:val="32"/>
        </w:rPr>
        <w:t>调解工作力度，</w:t>
      </w:r>
      <w:r>
        <w:rPr>
          <w:rFonts w:hint="eastAsia" w:ascii="仿宋" w:hAnsi="仿宋" w:eastAsia="仿宋" w:cs="宋体"/>
          <w:kern w:val="0"/>
          <w:sz w:val="32"/>
          <w:szCs w:val="32"/>
        </w:rPr>
        <w:t>健全</w:t>
      </w:r>
      <w:r>
        <w:rPr>
          <w:rFonts w:ascii="仿宋" w:hAnsi="仿宋" w:eastAsia="仿宋" w:cs="宋体"/>
          <w:kern w:val="0"/>
          <w:sz w:val="32"/>
          <w:szCs w:val="32"/>
        </w:rPr>
        <w:t>完善劳动人事</w:t>
      </w:r>
      <w:r>
        <w:rPr>
          <w:rFonts w:hint="eastAsia" w:ascii="仿宋" w:hAnsi="仿宋" w:eastAsia="仿宋" w:cs="宋体"/>
          <w:kern w:val="0"/>
          <w:sz w:val="32"/>
          <w:szCs w:val="32"/>
        </w:rPr>
        <w:t>争议</w:t>
      </w:r>
      <w:r>
        <w:rPr>
          <w:rFonts w:ascii="仿宋" w:hAnsi="仿宋" w:eastAsia="仿宋" w:cs="宋体"/>
          <w:kern w:val="0"/>
          <w:sz w:val="32"/>
          <w:szCs w:val="32"/>
        </w:rPr>
        <w:t>调解</w:t>
      </w:r>
      <w:r>
        <w:rPr>
          <w:rFonts w:hint="eastAsia" w:ascii="仿宋" w:hAnsi="仿宋" w:eastAsia="仿宋" w:cs="宋体"/>
          <w:kern w:val="0"/>
          <w:sz w:val="32"/>
          <w:szCs w:val="32"/>
        </w:rPr>
        <w:t>受理登记等9项</w:t>
      </w:r>
      <w:r>
        <w:rPr>
          <w:rFonts w:ascii="仿宋" w:hAnsi="仿宋" w:eastAsia="仿宋" w:cs="宋体"/>
          <w:kern w:val="0"/>
          <w:sz w:val="32"/>
          <w:szCs w:val="32"/>
        </w:rPr>
        <w:t>工作</w:t>
      </w:r>
      <w:r>
        <w:rPr>
          <w:rFonts w:hint="eastAsia" w:ascii="仿宋" w:hAnsi="仿宋" w:eastAsia="仿宋" w:cs="宋体"/>
          <w:kern w:val="0"/>
          <w:sz w:val="32"/>
          <w:szCs w:val="32"/>
        </w:rPr>
        <w:t>制度</w:t>
      </w:r>
      <w:r>
        <w:rPr>
          <w:rFonts w:ascii="仿宋" w:hAnsi="仿宋" w:eastAsia="仿宋" w:cs="宋体"/>
          <w:kern w:val="0"/>
          <w:sz w:val="32"/>
          <w:szCs w:val="32"/>
        </w:rPr>
        <w:t>，</w:t>
      </w:r>
      <w:r>
        <w:rPr>
          <w:rFonts w:hint="eastAsia" w:ascii="仿宋" w:hAnsi="仿宋" w:eastAsia="仿宋" w:cs="宋体"/>
          <w:kern w:val="0"/>
          <w:sz w:val="32"/>
          <w:szCs w:val="32"/>
        </w:rPr>
        <w:t>积极探索化解劳动争议技巧，充分发挥专业调解在争议处理中的基础性作用，</w:t>
      </w:r>
      <w:r>
        <w:rPr>
          <w:rFonts w:ascii="仿宋" w:hAnsi="仿宋" w:eastAsia="仿宋" w:cs="宋体"/>
          <w:kern w:val="0"/>
          <w:sz w:val="32"/>
          <w:szCs w:val="32"/>
        </w:rPr>
        <w:t>引导争议双方达成调解协议</w:t>
      </w:r>
      <w:r>
        <w:rPr>
          <w:rFonts w:hint="eastAsia" w:ascii="仿宋" w:hAnsi="仿宋" w:eastAsia="仿宋" w:cs="宋体"/>
          <w:kern w:val="0"/>
          <w:sz w:val="32"/>
          <w:szCs w:val="32"/>
        </w:rPr>
        <w:t>，柔性</w:t>
      </w:r>
      <w:r>
        <w:rPr>
          <w:rFonts w:ascii="仿宋" w:hAnsi="仿宋" w:eastAsia="仿宋" w:cs="宋体"/>
          <w:kern w:val="0"/>
          <w:sz w:val="32"/>
          <w:szCs w:val="32"/>
        </w:rPr>
        <w:t>化解争议，</w:t>
      </w:r>
      <w:r>
        <w:rPr>
          <w:rFonts w:hint="eastAsia" w:ascii="仿宋" w:hAnsi="仿宋" w:eastAsia="仿宋" w:cs="宋体"/>
          <w:kern w:val="0"/>
          <w:sz w:val="32"/>
          <w:szCs w:val="32"/>
        </w:rPr>
        <w:t>今年</w:t>
      </w:r>
      <w:r>
        <w:rPr>
          <w:rFonts w:ascii="仿宋" w:hAnsi="仿宋" w:eastAsia="仿宋" w:cs="宋体"/>
          <w:kern w:val="0"/>
          <w:sz w:val="32"/>
          <w:szCs w:val="32"/>
        </w:rPr>
        <w:t>成功调解争议715件，涉及金额500万余元，</w:t>
      </w:r>
      <w:r>
        <w:rPr>
          <w:rFonts w:hint="eastAsia" w:ascii="仿宋" w:hAnsi="仿宋" w:eastAsia="仿宋" w:cs="宋体"/>
          <w:kern w:val="0"/>
          <w:sz w:val="32"/>
          <w:szCs w:val="32"/>
        </w:rPr>
        <w:t>获得</w:t>
      </w:r>
      <w:r>
        <w:rPr>
          <w:rFonts w:ascii="仿宋" w:hAnsi="仿宋" w:eastAsia="仿宋" w:cs="宋体"/>
          <w:kern w:val="0"/>
          <w:sz w:val="32"/>
          <w:szCs w:val="32"/>
        </w:rPr>
        <w:t>当事人</w:t>
      </w:r>
      <w:r>
        <w:rPr>
          <w:rFonts w:hint="eastAsia" w:ascii="仿宋" w:hAnsi="仿宋" w:eastAsia="仿宋" w:cs="宋体"/>
          <w:kern w:val="0"/>
          <w:sz w:val="32"/>
          <w:szCs w:val="32"/>
        </w:rPr>
        <w:t>赠送锦旗2面</w:t>
      </w:r>
      <w:r>
        <w:rPr>
          <w:rFonts w:ascii="仿宋" w:hAnsi="仿宋" w:eastAsia="仿宋" w:cs="宋体"/>
          <w:kern w:val="0"/>
          <w:sz w:val="32"/>
          <w:szCs w:val="32"/>
        </w:rPr>
        <w:t>，感谢信</w:t>
      </w:r>
      <w:r>
        <w:rPr>
          <w:rFonts w:hint="eastAsia" w:ascii="仿宋" w:hAnsi="仿宋" w:eastAsia="仿宋" w:cs="宋体"/>
          <w:kern w:val="0"/>
          <w:sz w:val="32"/>
          <w:szCs w:val="32"/>
        </w:rPr>
        <w:t>2封</w:t>
      </w:r>
      <w:r>
        <w:rPr>
          <w:rFonts w:ascii="仿宋" w:hAnsi="仿宋" w:eastAsia="仿宋" w:cs="宋体"/>
          <w:kern w:val="0"/>
          <w:sz w:val="32"/>
          <w:szCs w:val="32"/>
        </w:rPr>
        <w:t>。</w:t>
      </w:r>
      <w:r>
        <w:rPr>
          <w:rFonts w:hint="eastAsia" w:ascii="仿宋" w:hAnsi="仿宋" w:eastAsia="仿宋" w:cs="宋体"/>
          <w:b/>
          <w:kern w:val="0"/>
          <w:sz w:val="32"/>
          <w:szCs w:val="32"/>
        </w:rPr>
        <w:t>二是有序推进速裁工作。</w:t>
      </w:r>
      <w:r>
        <w:rPr>
          <w:rFonts w:hint="eastAsia" w:ascii="仿宋" w:hAnsi="仿宋" w:eastAsia="仿宋" w:cs="宋体"/>
          <w:kern w:val="0"/>
          <w:sz w:val="32"/>
          <w:szCs w:val="32"/>
        </w:rPr>
        <w:t>将所有涉及</w:t>
      </w:r>
      <w:r>
        <w:rPr>
          <w:rFonts w:ascii="仿宋" w:hAnsi="仿宋" w:eastAsia="仿宋" w:cs="宋体"/>
          <w:kern w:val="0"/>
          <w:sz w:val="32"/>
          <w:szCs w:val="32"/>
        </w:rPr>
        <w:t>农民工</w:t>
      </w:r>
      <w:r>
        <w:rPr>
          <w:rFonts w:hint="eastAsia" w:ascii="仿宋" w:hAnsi="仿宋" w:eastAsia="仿宋" w:cs="宋体"/>
          <w:kern w:val="0"/>
          <w:sz w:val="32"/>
          <w:szCs w:val="32"/>
        </w:rPr>
        <w:t>争议</w:t>
      </w:r>
      <w:r>
        <w:rPr>
          <w:rFonts w:ascii="仿宋" w:hAnsi="仿宋" w:eastAsia="仿宋" w:cs="宋体"/>
          <w:kern w:val="0"/>
          <w:sz w:val="32"/>
          <w:szCs w:val="32"/>
        </w:rPr>
        <w:t>案件</w:t>
      </w:r>
      <w:r>
        <w:rPr>
          <w:rFonts w:hint="eastAsia" w:ascii="仿宋" w:hAnsi="仿宋" w:eastAsia="仿宋" w:cs="宋体"/>
          <w:kern w:val="0"/>
          <w:sz w:val="32"/>
          <w:szCs w:val="32"/>
        </w:rPr>
        <w:t>纳入速裁案件范围，力保案件在30日内快速审结</w:t>
      </w:r>
      <w:r>
        <w:rPr>
          <w:rFonts w:ascii="仿宋" w:hAnsi="仿宋" w:eastAsia="仿宋" w:cs="宋体"/>
          <w:kern w:val="0"/>
          <w:sz w:val="32"/>
          <w:szCs w:val="32"/>
        </w:rPr>
        <w:t>，用心用情用力为农民工解“薪愁”</w:t>
      </w:r>
      <w:r>
        <w:rPr>
          <w:rFonts w:hint="eastAsia" w:ascii="仿宋" w:hAnsi="仿宋" w:eastAsia="仿宋" w:cs="宋体"/>
          <w:kern w:val="0"/>
          <w:sz w:val="32"/>
          <w:szCs w:val="32"/>
        </w:rPr>
        <w:t>，高效维护劳动</w:t>
      </w:r>
      <w:r>
        <w:rPr>
          <w:rFonts w:ascii="仿宋" w:hAnsi="仿宋" w:eastAsia="仿宋" w:cs="宋体"/>
          <w:kern w:val="0"/>
          <w:sz w:val="32"/>
          <w:szCs w:val="32"/>
        </w:rPr>
        <w:t>合法权益。</w:t>
      </w:r>
      <w:r>
        <w:rPr>
          <w:rFonts w:hint="eastAsia" w:ascii="仿宋" w:hAnsi="仿宋" w:eastAsia="仿宋" w:cs="宋体"/>
          <w:b/>
          <w:kern w:val="0"/>
          <w:sz w:val="32"/>
          <w:szCs w:val="32"/>
        </w:rPr>
        <w:t>三是</w:t>
      </w:r>
      <w:r>
        <w:rPr>
          <w:rFonts w:hint="eastAsia" w:ascii="仿宋" w:hAnsi="仿宋" w:eastAsia="仿宋" w:cs="仿宋"/>
          <w:b/>
          <w:sz w:val="32"/>
          <w:szCs w:val="32"/>
        </w:rPr>
        <w:t>严格依法做好复议诉讼工作。</w:t>
      </w:r>
      <w:r>
        <w:rPr>
          <w:rFonts w:hint="eastAsia" w:ascii="仿宋" w:hAnsi="仿宋" w:eastAsia="仿宋" w:cs="仿宋"/>
          <w:sz w:val="32"/>
          <w:szCs w:val="32"/>
        </w:rPr>
        <w:t>严格规范具体行政行为的事实依据、程序履行和法律适用，在法定期限内向复议机关和人民法院提交作出具体行政行为的依据、证据和其他相关材料。2021年我局被复议案件16件，其中社会保险12件，占75%；政府信息公开2件，占12.5%；劳动监察2件，占12.5%。12件审结，维持率100%。2021年我局行政诉讼案件40件，其中社会保险39件，占97.5%；劳动保障监察1件，占2.5%。审结34件，未审结6件。审结案件中判决驳回原告诉讼请求33件，占97%；撤销1件，占3%。</w:t>
      </w:r>
    </w:p>
    <w:p>
      <w:pPr>
        <w:spacing w:line="480" w:lineRule="exact"/>
        <w:ind w:firstLine="640" w:firstLineChars="200"/>
        <w:rPr>
          <w:rFonts w:ascii="仿宋" w:hAnsi="仿宋" w:eastAsia="仿宋" w:cs="仿宋"/>
          <w:sz w:val="32"/>
          <w:szCs w:val="32"/>
        </w:rPr>
      </w:pPr>
      <w:r>
        <w:rPr>
          <w:rFonts w:hint="eastAsia" w:ascii="楷体" w:hAnsi="楷体" w:eastAsia="楷体" w:cs="仿宋"/>
          <w:color w:val="000000"/>
          <w:kern w:val="0"/>
          <w:sz w:val="32"/>
          <w:szCs w:val="32"/>
          <w:shd w:val="clear" w:color="auto" w:fill="FFFFFF"/>
        </w:rPr>
        <w:t>（八）健全行政权力制约和监督体系情况。一是</w:t>
      </w:r>
      <w:r>
        <w:rPr>
          <w:rFonts w:hint="eastAsia" w:ascii="仿宋" w:hAnsi="仿宋" w:eastAsia="仿宋" w:cs="仿宋"/>
          <w:b/>
          <w:sz w:val="32"/>
          <w:szCs w:val="32"/>
        </w:rPr>
        <w:t>加强党内监督，自觉接受人大监督、民主监督、司法监督。</w:t>
      </w:r>
      <w:r>
        <w:rPr>
          <w:rFonts w:hint="eastAsia" w:ascii="仿宋" w:hAnsi="仿宋" w:eastAsia="仿宋" w:cs="仿宋"/>
          <w:sz w:val="32"/>
          <w:szCs w:val="32"/>
        </w:rPr>
        <w:t>开展“三个责任”一体推进“三不”试点工作，使党内监督全面辐射制度机制建设、风险排查防控、日常监督检查、党员教育管理等重要内容。局党组带头开展党的十八大以来人社系统典型案例剖析，督促机关、二层单位以及县（区）人社部门开展“一案例一剖析”活动，用人社系统违纪违法案例实施廉政文化、警示教育进基层支部、进服务窗口、进主题党日、进网络学习、进素质培训。把建议提案办理作为接受人大监督和政协民主监督的重要工作，及时研究办理人大代表和政协委员提出的意见和建议，争取支持配合，切实改进工作。支持人民法院依法受理行政案件，尊重并执行人民法院生效裁判。</w:t>
      </w:r>
      <w:r>
        <w:rPr>
          <w:rFonts w:hint="eastAsia" w:ascii="仿宋" w:hAnsi="仿宋" w:eastAsia="仿宋" w:cs="仿宋"/>
          <w:b/>
          <w:sz w:val="32"/>
          <w:szCs w:val="32"/>
        </w:rPr>
        <w:t>二是加强和规范行政监督。</w:t>
      </w:r>
      <w:r>
        <w:rPr>
          <w:rFonts w:hint="eastAsia" w:ascii="仿宋" w:hAnsi="仿宋" w:eastAsia="仿宋" w:cs="仿宋"/>
          <w:sz w:val="32"/>
          <w:szCs w:val="32"/>
        </w:rPr>
        <w:t>通过行政检查、案卷评查、绩效督查等手段对二层部门及县（区）人社局的行政行为开展监督检查，督促规范行政行为。</w:t>
      </w:r>
      <w:r>
        <w:rPr>
          <w:rFonts w:hint="eastAsia" w:ascii="仿宋" w:hAnsi="仿宋" w:eastAsia="仿宋" w:cs="仿宋"/>
          <w:b/>
          <w:sz w:val="32"/>
          <w:szCs w:val="32"/>
        </w:rPr>
        <w:t>三是完善社会监督和舆论监督机制。</w:t>
      </w:r>
      <w:r>
        <w:rPr>
          <w:rFonts w:hint="eastAsia" w:ascii="仿宋" w:hAnsi="仿宋" w:eastAsia="仿宋" w:cs="仿宋"/>
          <w:sz w:val="32"/>
          <w:szCs w:val="32"/>
        </w:rPr>
        <w:t>在门户网站、微信公众号增设咨询答疑、投诉信箱、投诉热线等功能，安排专人解答群众反映和关心的相关问题。2021年累计接听12333群众来电35.12万个，网络答疑数1640件，推送新媒体信息3941条，办理政府热线4676条，依申请公开5件，召开政策说明会6场。</w:t>
      </w:r>
    </w:p>
    <w:p>
      <w:pPr>
        <w:spacing w:line="480" w:lineRule="exact"/>
        <w:ind w:firstLine="640" w:firstLineChars="200"/>
        <w:rPr>
          <w:rFonts w:ascii="仿宋" w:hAnsi="仿宋" w:eastAsia="仿宋" w:cs="仿宋"/>
          <w:sz w:val="32"/>
          <w:szCs w:val="32"/>
        </w:rPr>
      </w:pPr>
      <w:r>
        <w:rPr>
          <w:rFonts w:hint="eastAsia" w:ascii="楷体" w:hAnsi="楷体" w:eastAsia="楷体" w:cs="仿宋"/>
          <w:color w:val="000000"/>
          <w:kern w:val="0"/>
          <w:sz w:val="32"/>
          <w:szCs w:val="32"/>
          <w:shd w:val="clear" w:color="auto" w:fill="FFFFFF"/>
        </w:rPr>
        <w:t>（九）推进数字法治政府建设情况。</w:t>
      </w:r>
      <w:r>
        <w:rPr>
          <w:rFonts w:hint="eastAsia" w:ascii="仿宋" w:hAnsi="仿宋" w:eastAsia="仿宋" w:cs="宋体"/>
          <w:b/>
          <w:kern w:val="0"/>
          <w:sz w:val="32"/>
          <w:szCs w:val="32"/>
        </w:rPr>
        <w:t>一是积极</w:t>
      </w:r>
      <w:r>
        <w:rPr>
          <w:rFonts w:ascii="仿宋" w:hAnsi="仿宋" w:eastAsia="仿宋" w:cs="宋体"/>
          <w:b/>
          <w:kern w:val="0"/>
          <w:sz w:val="32"/>
          <w:szCs w:val="32"/>
        </w:rPr>
        <w:t>推进“互联网+仲裁”信息化</w:t>
      </w:r>
      <w:r>
        <w:rPr>
          <w:rFonts w:hint="eastAsia" w:ascii="仿宋" w:hAnsi="仿宋" w:eastAsia="仿宋" w:cs="宋体"/>
          <w:b/>
          <w:kern w:val="0"/>
          <w:sz w:val="32"/>
          <w:szCs w:val="32"/>
        </w:rPr>
        <w:t>建设。</w:t>
      </w:r>
      <w:r>
        <w:rPr>
          <w:rFonts w:hint="eastAsia" w:ascii="仿宋" w:hAnsi="仿宋" w:eastAsia="仿宋" w:cs="宋体"/>
          <w:kern w:val="0"/>
          <w:sz w:val="32"/>
          <w:szCs w:val="32"/>
        </w:rPr>
        <w:t>推广运用“柳州劳动人事微仲裁”</w:t>
      </w:r>
      <w:r>
        <w:rPr>
          <w:rFonts w:ascii="仿宋" w:hAnsi="仿宋" w:eastAsia="仿宋" w:cs="宋体"/>
          <w:kern w:val="0"/>
          <w:sz w:val="32"/>
          <w:szCs w:val="32"/>
        </w:rPr>
        <w:t>互联网</w:t>
      </w:r>
      <w:r>
        <w:rPr>
          <w:rFonts w:hint="eastAsia" w:ascii="仿宋" w:hAnsi="仿宋" w:eastAsia="仿宋" w:cs="宋体"/>
          <w:kern w:val="0"/>
          <w:sz w:val="32"/>
          <w:szCs w:val="32"/>
        </w:rPr>
        <w:t>视频智慧庭审服务平台，线上远程异地调解、庭审案件，全年在线调解、庭审案件</w:t>
      </w:r>
      <w:r>
        <w:rPr>
          <w:rFonts w:ascii="仿宋" w:hAnsi="仿宋" w:eastAsia="仿宋" w:cs="宋体"/>
          <w:kern w:val="0"/>
          <w:sz w:val="32"/>
          <w:szCs w:val="32"/>
        </w:rPr>
        <w:t>187</w:t>
      </w:r>
      <w:r>
        <w:rPr>
          <w:rFonts w:hint="eastAsia" w:ascii="仿宋" w:hAnsi="仿宋" w:eastAsia="仿宋" w:cs="宋体"/>
          <w:kern w:val="0"/>
          <w:sz w:val="32"/>
          <w:szCs w:val="32"/>
        </w:rPr>
        <w:t>件，涉及金额560万余元，大大减少当事人依法维权的时间成本和经济成本，有效减轻当事人诉累。2021年5月自治区人社厅</w:t>
      </w:r>
      <w:r>
        <w:rPr>
          <w:rFonts w:ascii="仿宋" w:hAnsi="仿宋" w:eastAsia="仿宋" w:cs="宋体"/>
          <w:kern w:val="0"/>
          <w:sz w:val="32"/>
          <w:szCs w:val="32"/>
        </w:rPr>
        <w:t>将</w:t>
      </w:r>
      <w:r>
        <w:rPr>
          <w:rFonts w:hint="eastAsia" w:ascii="仿宋" w:hAnsi="仿宋" w:eastAsia="仿宋" w:cs="宋体"/>
          <w:kern w:val="0"/>
          <w:sz w:val="32"/>
          <w:szCs w:val="32"/>
        </w:rPr>
        <w:t>我市劳动争议仲裁院列为全区仲裁办案系统信息化建设试点。</w:t>
      </w:r>
      <w:r>
        <w:rPr>
          <w:rFonts w:ascii="仿宋" w:hAnsi="仿宋" w:eastAsia="仿宋" w:cs="宋体"/>
          <w:kern w:val="0"/>
          <w:sz w:val="32"/>
          <w:szCs w:val="32"/>
        </w:rPr>
        <w:t xml:space="preserve"> </w:t>
      </w:r>
      <w:r>
        <w:rPr>
          <w:rFonts w:hint="eastAsia" w:ascii="仿宋" w:hAnsi="仿宋" w:eastAsia="仿宋" w:cs="宋体"/>
          <w:b/>
          <w:kern w:val="0"/>
          <w:sz w:val="32"/>
          <w:szCs w:val="32"/>
        </w:rPr>
        <w:t>二是进一步发挥柳州市劳动保障维权指挥中心作用。</w:t>
      </w:r>
      <w:r>
        <w:rPr>
          <w:rFonts w:hint="eastAsia" w:ascii="仿宋" w:hAnsi="仿宋" w:eastAsia="仿宋" w:cs="宋体"/>
          <w:kern w:val="0"/>
          <w:sz w:val="32"/>
          <w:szCs w:val="32"/>
        </w:rPr>
        <w:t>指挥中心除管理维权系统，还负责管理全国根治欠薪线索反映平台、广西根治欠薪线索反映平台、柳州市智慧劳动监察业务办理大厅、柳州市12333电话咨询服务系统监察分中心四大平台数据管理，保证各系统数据同步统一，对柳州市辖范围监察系统工作做实时记录，为智慧执法打下坚实基础。</w:t>
      </w:r>
      <w:r>
        <w:rPr>
          <w:rFonts w:hint="eastAsia" w:ascii="仿宋" w:hAnsi="仿宋" w:eastAsia="仿宋" w:cs="宋体"/>
          <w:b/>
          <w:kern w:val="0"/>
          <w:sz w:val="32"/>
          <w:szCs w:val="32"/>
        </w:rPr>
        <w:t>三是推进政务服务事项受审全分离。</w:t>
      </w:r>
      <w:r>
        <w:rPr>
          <w:rFonts w:hint="eastAsia" w:ascii="仿宋" w:hAnsi="仿宋" w:eastAsia="仿宋" w:cs="仿宋"/>
          <w:sz w:val="32"/>
          <w:szCs w:val="32"/>
        </w:rPr>
        <w:t>将“一门式”对外经办事项办事流程全部拆分为“受理----经办----反馈”三大流程，统一“受审分离”，实行“线上线下多平台统一受理”----“系统自动分配办理”----“线上线下多平台统一反馈”的工作机制。通过“一门式”系统</w:t>
      </w:r>
      <w:r>
        <w:rPr>
          <w:rFonts w:hint="eastAsia" w:ascii="仿宋" w:hAnsi="仿宋" w:eastAsia="仿宋"/>
          <w:sz w:val="32"/>
          <w:szCs w:val="32"/>
        </w:rPr>
        <w:t>对服务窗口和各审批职能部门后台服务情况进行监管，不断提高公共服务事项即办率、网办率、标准化率和联合办理率，增强群众的获得感、幸福感和安全感。</w:t>
      </w:r>
    </w:p>
    <w:p>
      <w:pPr>
        <w:pStyle w:val="7"/>
        <w:spacing w:line="480" w:lineRule="exact"/>
        <w:ind w:firstLine="480" w:firstLineChars="150"/>
        <w:rPr>
          <w:rFonts w:ascii="仿宋" w:hAnsi="仿宋" w:eastAsia="仿宋"/>
          <w:sz w:val="32"/>
          <w:szCs w:val="32"/>
        </w:rPr>
      </w:pPr>
      <w:r>
        <w:rPr>
          <w:rFonts w:hint="eastAsia" w:ascii="楷体" w:hAnsi="楷体" w:eastAsia="楷体" w:cs="仿宋"/>
          <w:color w:val="000000"/>
          <w:kern w:val="0"/>
          <w:sz w:val="32"/>
          <w:szCs w:val="32"/>
          <w:shd w:val="clear" w:color="auto" w:fill="FFFFFF"/>
        </w:rPr>
        <w:t>（十）落实“谁执法谁普法、谁管理谁普法、谁服务谁普法”普法责任制情况</w:t>
      </w:r>
      <w:r>
        <w:rPr>
          <w:rFonts w:hint="eastAsia" w:ascii="仿宋" w:hAnsi="仿宋" w:eastAsia="仿宋" w:cs="仿宋"/>
          <w:b/>
          <w:sz w:val="32"/>
          <w:szCs w:val="32"/>
        </w:rPr>
        <w:t>。一是落实领导干部职工学法。</w:t>
      </w:r>
      <w:r>
        <w:rPr>
          <w:rFonts w:hint="eastAsia" w:ascii="仿宋" w:hAnsi="仿宋" w:eastAsia="仿宋" w:cs="仿宋"/>
          <w:sz w:val="32"/>
          <w:szCs w:val="32"/>
        </w:rPr>
        <w:t>办公会讨论涉法议题时结合议题集体学法、党组中心组（扩大）会议学习党内法规，局领导带头参加法制讲座学习和在法制培训上作专题辅导等方式，切实落实领导干部集体学法。2021年</w:t>
      </w:r>
      <w:r>
        <w:rPr>
          <w:rFonts w:hint="eastAsia" w:ascii="仿宋" w:hAnsi="仿宋" w:eastAsia="仿宋"/>
          <w:spacing w:val="2"/>
          <w:sz w:val="32"/>
          <w:szCs w:val="32"/>
        </w:rPr>
        <w:t>在系统上下</w:t>
      </w:r>
      <w:r>
        <w:rPr>
          <w:rFonts w:hint="eastAsia" w:ascii="仿宋" w:hAnsi="仿宋" w:eastAsia="仿宋"/>
          <w:sz w:val="32"/>
          <w:szCs w:val="32"/>
        </w:rPr>
        <w:t>积极组织练兵比武活动，</w:t>
      </w:r>
      <w:r>
        <w:rPr>
          <w:rFonts w:hint="eastAsia" w:ascii="仿宋" w:hAnsi="仿宋" w:eastAsia="仿宋"/>
          <w:spacing w:val="2"/>
          <w:sz w:val="32"/>
          <w:szCs w:val="32"/>
        </w:rPr>
        <w:t>市级机关、局属单位和县区人社13支参赛队共计76名选手参加了闭卷考试和现场实操比武大赛，评比出20名综合业务知识全能标兵、6名业务系统实操能手、6个团体奖。</w:t>
      </w:r>
      <w:r>
        <w:rPr>
          <w:rFonts w:hint="eastAsia" w:ascii="仿宋" w:hAnsi="仿宋" w:eastAsia="仿宋" w:cs="仿宋"/>
          <w:sz w:val="32"/>
          <w:szCs w:val="32"/>
        </w:rPr>
        <w:t>组织、督促工作人员参加学法用法考试，人社系统国家工作人员学法用法考试参与率与合格率均达100%，确保行政执法人员熟练掌握行政执法依据和流程，提升行政执法素养和水平。</w:t>
      </w:r>
      <w:r>
        <w:rPr>
          <w:rFonts w:hint="eastAsia" w:ascii="仿宋" w:hAnsi="仿宋" w:eastAsia="仿宋" w:cs="仿宋"/>
          <w:b/>
          <w:sz w:val="32"/>
          <w:szCs w:val="32"/>
        </w:rPr>
        <w:t>二是全方位落实“谁执法谁普法”责任制。</w:t>
      </w:r>
      <w:r>
        <w:rPr>
          <w:rFonts w:hint="eastAsia" w:ascii="仿宋" w:hAnsi="仿宋" w:eastAsia="仿宋" w:cs="仿宋"/>
          <w:sz w:val="32"/>
          <w:szCs w:val="32"/>
        </w:rPr>
        <w:t>按照《柳州市人力资源和社会保障局关于实行国家机关“谁执法谁普法”普法责任制的实施方案》要求，把法治宣传贯穿业务经办，让执法人员成为法治宣传员，通过知识输出，让教育培训成果入脑入心。2021年在国家人力资源社会保障部官网、局网站、广西日报、柳州日报等相关媒体和网站发布政策宣传及普法稿件近百余篇。同时还通过全媒体大直播、新闻发布会、政策解读座谈等新兴方式向市民宣传普及人社法律政策。</w:t>
      </w:r>
    </w:p>
    <w:p>
      <w:pPr>
        <w:pBdr>
          <w:bottom w:val="single" w:color="FFFFFF" w:sz="4" w:space="31"/>
        </w:pBdr>
        <w:overflowPunct w:val="0"/>
        <w:topLinePunct/>
        <w:autoSpaceDE w:val="0"/>
        <w:autoSpaceDN w:val="0"/>
        <w:adjustRightInd w:val="0"/>
        <w:snapToGrid w:val="0"/>
        <w:spacing w:line="480" w:lineRule="exact"/>
        <w:ind w:firstLine="640" w:firstLineChars="200"/>
        <w:rPr>
          <w:rFonts w:ascii="楷体" w:hAnsi="楷体" w:eastAsia="楷体" w:cs="仿宋"/>
          <w:color w:val="000000"/>
          <w:kern w:val="0"/>
          <w:sz w:val="32"/>
          <w:szCs w:val="32"/>
          <w:shd w:val="clear" w:color="auto" w:fill="FFFFFF"/>
        </w:rPr>
      </w:pPr>
      <w:r>
        <w:rPr>
          <w:rFonts w:hint="eastAsia" w:ascii="楷体" w:hAnsi="楷体" w:eastAsia="楷体" w:cs="仿宋"/>
          <w:color w:val="000000"/>
          <w:kern w:val="0"/>
          <w:sz w:val="32"/>
          <w:szCs w:val="32"/>
          <w:shd w:val="clear" w:color="auto" w:fill="FFFFFF"/>
        </w:rPr>
        <w:t>（十一）加强党的领导，完善法治政府建设推进机制情况。</w:t>
      </w:r>
      <w:r>
        <w:rPr>
          <w:rFonts w:hint="eastAsia" w:ascii="仿宋" w:hAnsi="仿宋" w:eastAsia="仿宋" w:cs="仿宋"/>
          <w:sz w:val="32"/>
          <w:szCs w:val="32"/>
        </w:rPr>
        <w:t>主要负责人和局领导带头遵守执行宪法法律，注重法治培训和宣传教育。局党组高度重视法治政府建设工作，每年听取有关工作汇报并及时研究解决影响法治人社建设的重大问题，并将法治人社情况纳入县（区）年度绩效考核予以推动。</w:t>
      </w:r>
    </w:p>
    <w:p>
      <w:pPr>
        <w:pBdr>
          <w:bottom w:val="single" w:color="FFFFFF" w:sz="4" w:space="31"/>
        </w:pBdr>
        <w:overflowPunct w:val="0"/>
        <w:topLinePunct/>
        <w:autoSpaceDE w:val="0"/>
        <w:autoSpaceDN w:val="0"/>
        <w:adjustRightInd w:val="0"/>
        <w:snapToGrid w:val="0"/>
        <w:spacing w:line="480" w:lineRule="exact"/>
        <w:ind w:firstLine="640"/>
        <w:rPr>
          <w:rFonts w:ascii="黑体" w:hAnsi="黑体" w:eastAsia="黑体" w:cs="仿宋"/>
          <w:color w:val="000000"/>
          <w:kern w:val="0"/>
          <w:sz w:val="32"/>
          <w:szCs w:val="32"/>
          <w:shd w:val="clear" w:color="auto" w:fill="FFFFFF"/>
        </w:rPr>
      </w:pPr>
      <w:r>
        <w:rPr>
          <w:rFonts w:hint="eastAsia" w:ascii="黑体" w:hAnsi="黑体" w:eastAsia="黑体" w:cs="仿宋"/>
          <w:color w:val="000000"/>
          <w:kern w:val="0"/>
          <w:sz w:val="32"/>
          <w:szCs w:val="32"/>
          <w:shd w:val="clear" w:color="auto" w:fill="FFFFFF"/>
        </w:rPr>
        <w:t>二、存在的问题和原因</w:t>
      </w:r>
    </w:p>
    <w:p>
      <w:pPr>
        <w:pBdr>
          <w:bottom w:val="single" w:color="FFFFFF" w:sz="4" w:space="31"/>
        </w:pBdr>
        <w:overflowPunct w:val="0"/>
        <w:topLinePunct/>
        <w:autoSpaceDE w:val="0"/>
        <w:autoSpaceDN w:val="0"/>
        <w:adjustRightInd w:val="0"/>
        <w:snapToGrid w:val="0"/>
        <w:spacing w:line="480" w:lineRule="exact"/>
        <w:ind w:firstLine="640"/>
        <w:rPr>
          <w:rFonts w:ascii="仿宋" w:hAnsi="仿宋" w:eastAsia="仿宋" w:cs="仿宋"/>
          <w:color w:val="000000"/>
          <w:kern w:val="0"/>
          <w:sz w:val="32"/>
          <w:szCs w:val="32"/>
          <w:shd w:val="clear" w:color="auto" w:fill="FFFFFF"/>
        </w:rPr>
      </w:pPr>
      <w:r>
        <w:rPr>
          <w:rFonts w:hint="eastAsia" w:ascii="楷体" w:hAnsi="楷体" w:eastAsia="楷体" w:cs="仿宋"/>
          <w:color w:val="000000"/>
          <w:kern w:val="0"/>
          <w:sz w:val="32"/>
          <w:szCs w:val="32"/>
          <w:shd w:val="clear" w:color="auto" w:fill="FFFFFF"/>
        </w:rPr>
        <w:t>（一）各部门法治政府建设发展不平衡。</w:t>
      </w:r>
      <w:r>
        <w:rPr>
          <w:rFonts w:hint="eastAsia" w:ascii="仿宋" w:hAnsi="仿宋" w:eastAsia="仿宋" w:cs="仿宋"/>
          <w:color w:val="000000"/>
          <w:kern w:val="0"/>
          <w:sz w:val="32"/>
          <w:szCs w:val="32"/>
          <w:shd w:val="clear" w:color="auto" w:fill="FFFFFF"/>
        </w:rPr>
        <w:t>各县（区）人社局法治政府建设水平参差不齐，偏远县域法治建设水平偏低。执法权限集中的局属单位、科室执法程序普遍比较规范，社会保险、人事人才类的部门侧重于提供公共服务，但法治政府建设仍有较大的提升空间。</w:t>
      </w:r>
    </w:p>
    <w:p>
      <w:pPr>
        <w:pBdr>
          <w:bottom w:val="single" w:color="FFFFFF" w:sz="4" w:space="31"/>
        </w:pBdr>
        <w:overflowPunct w:val="0"/>
        <w:topLinePunct/>
        <w:autoSpaceDE w:val="0"/>
        <w:autoSpaceDN w:val="0"/>
        <w:adjustRightInd w:val="0"/>
        <w:snapToGrid w:val="0"/>
        <w:spacing w:line="480" w:lineRule="exact"/>
        <w:ind w:firstLine="640"/>
        <w:rPr>
          <w:rFonts w:ascii="仿宋" w:hAnsi="仿宋" w:eastAsia="仿宋" w:cs="仿宋"/>
          <w:color w:val="000000"/>
          <w:kern w:val="0"/>
          <w:sz w:val="32"/>
          <w:szCs w:val="32"/>
          <w:shd w:val="clear" w:color="auto" w:fill="FFFFFF"/>
        </w:rPr>
      </w:pPr>
      <w:r>
        <w:rPr>
          <w:rFonts w:hint="eastAsia" w:ascii="楷体" w:hAnsi="楷体" w:eastAsia="楷体" w:cs="仿宋"/>
          <w:color w:val="000000"/>
          <w:kern w:val="0"/>
          <w:sz w:val="32"/>
          <w:szCs w:val="32"/>
          <w:shd w:val="clear" w:color="auto" w:fill="FFFFFF"/>
        </w:rPr>
        <w:t>（二）法治宣传教育的手段和实效有待进一步丰富和提高。</w:t>
      </w:r>
      <w:r>
        <w:rPr>
          <w:rFonts w:hint="eastAsia" w:ascii="仿宋" w:hAnsi="仿宋" w:eastAsia="仿宋" w:cs="仿宋"/>
          <w:sz w:val="32"/>
          <w:szCs w:val="32"/>
        </w:rPr>
        <w:t>我局的法治宣传教育方式已尽量多样，但仍需在已有的宣传方式的基础上用更多群众喜闻乐见的方式扩大人社政策法规的知晓度和影响力。受疫情影响，今年干部职工学习培训减少，法治教育方式不够精细，针对性有待加强。</w:t>
      </w:r>
    </w:p>
    <w:p>
      <w:pPr>
        <w:pBdr>
          <w:bottom w:val="single" w:color="FFFFFF" w:sz="4" w:space="31"/>
        </w:pBdr>
        <w:overflowPunct w:val="0"/>
        <w:topLinePunct/>
        <w:autoSpaceDE w:val="0"/>
        <w:autoSpaceDN w:val="0"/>
        <w:adjustRightInd w:val="0"/>
        <w:snapToGrid w:val="0"/>
        <w:spacing w:line="480" w:lineRule="exact"/>
        <w:ind w:firstLine="640"/>
        <w:rPr>
          <w:rFonts w:ascii="仿宋" w:hAnsi="仿宋" w:eastAsia="仿宋"/>
          <w:sz w:val="32"/>
          <w:szCs w:val="32"/>
        </w:rPr>
      </w:pPr>
      <w:r>
        <w:rPr>
          <w:rFonts w:hint="eastAsia" w:ascii="楷体" w:hAnsi="楷体" w:eastAsia="楷体" w:cs="仿宋"/>
          <w:color w:val="000000"/>
          <w:kern w:val="0"/>
          <w:sz w:val="32"/>
          <w:szCs w:val="32"/>
          <w:shd w:val="clear" w:color="auto" w:fill="FFFFFF"/>
        </w:rPr>
        <w:t>（三）依法行政制度建设仍需进一步加强。</w:t>
      </w:r>
      <w:r>
        <w:rPr>
          <w:rFonts w:hint="eastAsia" w:ascii="仿宋" w:hAnsi="仿宋" w:eastAsia="仿宋" w:cs="仿宋"/>
          <w:sz w:val="32"/>
          <w:szCs w:val="32"/>
        </w:rPr>
        <w:t>几年来，我局先后制定了《柳州市人力资源和社会保障局合法性审查工作制度》《柳州市人力资源和社会保障局建立行政执法公示制度实施方案》《柳州市人力资源和社会保障局重大行政执法决定法制审核制度》等一系列制度，今年还制定《柳州市人力资源和社会保障局系统采购管理办法》和《柳州市人社局重大疑难事项联审制度》，但依法行政制度建设仍需进一步加强，继续推进行政行为的科学化、民主化、法治化。</w:t>
      </w:r>
    </w:p>
    <w:p>
      <w:pPr>
        <w:pBdr>
          <w:bottom w:val="single" w:color="FFFFFF" w:sz="4" w:space="31"/>
        </w:pBdr>
        <w:overflowPunct w:val="0"/>
        <w:topLinePunct/>
        <w:autoSpaceDE w:val="0"/>
        <w:autoSpaceDN w:val="0"/>
        <w:adjustRightInd w:val="0"/>
        <w:snapToGrid w:val="0"/>
        <w:spacing w:line="480" w:lineRule="exact"/>
        <w:ind w:firstLine="640"/>
        <w:rPr>
          <w:rFonts w:ascii="黑体" w:hAnsi="黑体" w:eastAsia="黑体" w:cs="仿宋"/>
          <w:color w:val="000000"/>
          <w:kern w:val="0"/>
          <w:sz w:val="32"/>
          <w:szCs w:val="32"/>
          <w:shd w:val="clear" w:color="auto" w:fill="FFFFFF"/>
        </w:rPr>
      </w:pPr>
      <w:r>
        <w:rPr>
          <w:rFonts w:hint="eastAsia" w:ascii="黑体" w:hAnsi="黑体" w:eastAsia="黑体" w:cs="仿宋"/>
          <w:color w:val="000000"/>
          <w:kern w:val="0"/>
          <w:sz w:val="32"/>
          <w:szCs w:val="32"/>
          <w:shd w:val="clear" w:color="auto" w:fill="FFFFFF"/>
        </w:rPr>
        <w:t>三、下一年度推进法治政府建设的打算</w:t>
      </w:r>
    </w:p>
    <w:p>
      <w:pPr>
        <w:pBdr>
          <w:bottom w:val="single" w:color="FFFFFF" w:sz="4" w:space="31"/>
        </w:pBdr>
        <w:overflowPunct w:val="0"/>
        <w:topLinePunct/>
        <w:autoSpaceDE w:val="0"/>
        <w:autoSpaceDN w:val="0"/>
        <w:adjustRightInd w:val="0"/>
        <w:snapToGrid w:val="0"/>
        <w:spacing w:line="480" w:lineRule="exact"/>
        <w:ind w:firstLine="640" w:firstLineChars="200"/>
        <w:rPr>
          <w:rFonts w:ascii="仿宋" w:hAnsi="仿宋" w:eastAsia="仿宋"/>
          <w:sz w:val="32"/>
          <w:szCs w:val="32"/>
        </w:rPr>
      </w:pPr>
      <w:r>
        <w:rPr>
          <w:rFonts w:hint="eastAsia" w:ascii="楷体" w:hAnsi="楷体" w:eastAsia="楷体" w:cs="仿宋"/>
          <w:color w:val="000000"/>
          <w:kern w:val="0"/>
          <w:sz w:val="32"/>
          <w:szCs w:val="32"/>
          <w:shd w:val="clear" w:color="auto" w:fill="FFFFFF"/>
        </w:rPr>
        <w:t>（一）做好2021-2025年法治政府建设和</w:t>
      </w:r>
      <w:r>
        <w:rPr>
          <w:rFonts w:hint="eastAsia" w:ascii="楷体" w:hAnsi="楷体" w:eastAsia="楷体"/>
          <w:sz w:val="32"/>
          <w:szCs w:val="32"/>
        </w:rPr>
        <w:t>法治宣传教育筹划工作。</w:t>
      </w:r>
      <w:r>
        <w:rPr>
          <w:rFonts w:hint="eastAsia" w:ascii="仿宋" w:hAnsi="仿宋" w:eastAsia="仿宋"/>
          <w:sz w:val="32"/>
          <w:szCs w:val="32"/>
        </w:rPr>
        <w:t>总结十三五时期我局法治政府建设和法治宣传教育工作的亮点做法和不足之处，以习近平法治思想为指导，以服务人社事业新发展为目标，制定十四五期间我局法治政府建设实施方案和法治宣传教育工作方案。</w:t>
      </w:r>
    </w:p>
    <w:p>
      <w:pPr>
        <w:pBdr>
          <w:bottom w:val="single" w:color="FFFFFF" w:sz="4" w:space="31"/>
        </w:pBdr>
        <w:overflowPunct w:val="0"/>
        <w:topLinePunct/>
        <w:autoSpaceDE w:val="0"/>
        <w:autoSpaceDN w:val="0"/>
        <w:adjustRightInd w:val="0"/>
        <w:snapToGrid w:val="0"/>
        <w:spacing w:line="480" w:lineRule="exact"/>
        <w:ind w:firstLine="640" w:firstLineChars="200"/>
        <w:rPr>
          <w:rFonts w:ascii="仿宋" w:hAnsi="仿宋" w:eastAsia="仿宋"/>
          <w:sz w:val="32"/>
          <w:szCs w:val="32"/>
        </w:rPr>
      </w:pPr>
      <w:r>
        <w:rPr>
          <w:rFonts w:hint="eastAsia" w:ascii="楷体" w:hAnsi="楷体" w:eastAsia="楷体"/>
          <w:sz w:val="32"/>
          <w:szCs w:val="32"/>
        </w:rPr>
        <w:t>（二）进一步加大法治宣传教育力度。</w:t>
      </w:r>
      <w:r>
        <w:rPr>
          <w:rFonts w:hint="eastAsia" w:ascii="仿宋" w:hAnsi="仿宋" w:eastAsia="仿宋"/>
          <w:sz w:val="32"/>
          <w:szCs w:val="32"/>
        </w:rPr>
        <w:t>深入学习贯彻习近平法治思想，吃透精神实质，把握核心要义，全面贯彻落实。加大对《宪法》《民法典》的宣传教育强度、深度、广度，让工作人员原原本本学习法律文本，入脑入心。认真落实“谁执法谁普法”普法责任制，把案件依法处理的过程变成普法公开课。</w:t>
      </w:r>
    </w:p>
    <w:p>
      <w:pPr>
        <w:pBdr>
          <w:bottom w:val="single" w:color="FFFFFF" w:sz="4" w:space="31"/>
        </w:pBdr>
        <w:overflowPunct w:val="0"/>
        <w:topLinePunct/>
        <w:autoSpaceDE w:val="0"/>
        <w:autoSpaceDN w:val="0"/>
        <w:adjustRightInd w:val="0"/>
        <w:snapToGrid w:val="0"/>
        <w:spacing w:line="480" w:lineRule="exact"/>
        <w:ind w:firstLine="640" w:firstLineChars="200"/>
        <w:rPr>
          <w:rFonts w:ascii="仿宋" w:hAnsi="仿宋" w:eastAsia="仿宋"/>
          <w:sz w:val="32"/>
          <w:szCs w:val="32"/>
        </w:rPr>
      </w:pPr>
      <w:r>
        <w:rPr>
          <w:rFonts w:hint="eastAsia" w:ascii="楷体" w:hAnsi="楷体" w:eastAsia="楷体"/>
          <w:sz w:val="32"/>
          <w:szCs w:val="32"/>
        </w:rPr>
        <w:t>（三）进一步完善行政决策机制。</w:t>
      </w:r>
      <w:r>
        <w:rPr>
          <w:rFonts w:hint="eastAsia" w:ascii="仿宋" w:hAnsi="仿宋" w:eastAsia="仿宋"/>
          <w:sz w:val="32"/>
          <w:szCs w:val="32"/>
        </w:rPr>
        <w:t>加强行政决策程序建设，完善重大行政决策制度。完善机制，抓实规范性文件制定、合法性审查程序。加强办公室等发文部门的审核把关责任，常态性开展发文文本的抽查工作，对未按法定程序制定的规范性文件及时清理，并对相关责任部门进行通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6563"/>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E79A2"/>
    <w:multiLevelType w:val="multilevel"/>
    <w:tmpl w:val="22CE79A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0077"/>
    <w:rsid w:val="00042D45"/>
    <w:rsid w:val="00054689"/>
    <w:rsid w:val="00062325"/>
    <w:rsid w:val="000722F7"/>
    <w:rsid w:val="00074D6B"/>
    <w:rsid w:val="000A32F7"/>
    <w:rsid w:val="000E3C4B"/>
    <w:rsid w:val="000F28AB"/>
    <w:rsid w:val="00110C9F"/>
    <w:rsid w:val="001209EC"/>
    <w:rsid w:val="00124129"/>
    <w:rsid w:val="00142354"/>
    <w:rsid w:val="00192A03"/>
    <w:rsid w:val="001A4DAA"/>
    <w:rsid w:val="001C1D62"/>
    <w:rsid w:val="001D5070"/>
    <w:rsid w:val="00217545"/>
    <w:rsid w:val="002373DE"/>
    <w:rsid w:val="0025797E"/>
    <w:rsid w:val="00296326"/>
    <w:rsid w:val="002E7F4F"/>
    <w:rsid w:val="00310755"/>
    <w:rsid w:val="00317C4D"/>
    <w:rsid w:val="00324246"/>
    <w:rsid w:val="003845E0"/>
    <w:rsid w:val="00391829"/>
    <w:rsid w:val="00396646"/>
    <w:rsid w:val="003A09A1"/>
    <w:rsid w:val="003C0D01"/>
    <w:rsid w:val="003D7676"/>
    <w:rsid w:val="0042643E"/>
    <w:rsid w:val="00430B8B"/>
    <w:rsid w:val="00435DB1"/>
    <w:rsid w:val="00456EF3"/>
    <w:rsid w:val="004849E9"/>
    <w:rsid w:val="004A0916"/>
    <w:rsid w:val="004C0E52"/>
    <w:rsid w:val="004C4A6A"/>
    <w:rsid w:val="00514B70"/>
    <w:rsid w:val="00526B4A"/>
    <w:rsid w:val="00532F25"/>
    <w:rsid w:val="00541829"/>
    <w:rsid w:val="005459AF"/>
    <w:rsid w:val="0055530E"/>
    <w:rsid w:val="0055584A"/>
    <w:rsid w:val="005651F2"/>
    <w:rsid w:val="00570AA5"/>
    <w:rsid w:val="00574D88"/>
    <w:rsid w:val="005B51EA"/>
    <w:rsid w:val="005E279F"/>
    <w:rsid w:val="005F0AEE"/>
    <w:rsid w:val="00600ED8"/>
    <w:rsid w:val="00610280"/>
    <w:rsid w:val="00636527"/>
    <w:rsid w:val="0065773E"/>
    <w:rsid w:val="00665EF0"/>
    <w:rsid w:val="00690AB8"/>
    <w:rsid w:val="006913E4"/>
    <w:rsid w:val="006B4431"/>
    <w:rsid w:val="006C0A4A"/>
    <w:rsid w:val="006D4524"/>
    <w:rsid w:val="00721F58"/>
    <w:rsid w:val="00772923"/>
    <w:rsid w:val="00775651"/>
    <w:rsid w:val="007A69A5"/>
    <w:rsid w:val="007D0E53"/>
    <w:rsid w:val="00824D03"/>
    <w:rsid w:val="00864313"/>
    <w:rsid w:val="008750E4"/>
    <w:rsid w:val="008A5C55"/>
    <w:rsid w:val="008B1DEA"/>
    <w:rsid w:val="009049D7"/>
    <w:rsid w:val="009139CE"/>
    <w:rsid w:val="00936546"/>
    <w:rsid w:val="00957090"/>
    <w:rsid w:val="00957EB2"/>
    <w:rsid w:val="00971F96"/>
    <w:rsid w:val="00990F53"/>
    <w:rsid w:val="009B0092"/>
    <w:rsid w:val="009E3B3F"/>
    <w:rsid w:val="00A20077"/>
    <w:rsid w:val="00A60F92"/>
    <w:rsid w:val="00AA1FC7"/>
    <w:rsid w:val="00AC3182"/>
    <w:rsid w:val="00AD2662"/>
    <w:rsid w:val="00AE4538"/>
    <w:rsid w:val="00AE59E1"/>
    <w:rsid w:val="00AF27B5"/>
    <w:rsid w:val="00AF3CA0"/>
    <w:rsid w:val="00B1156C"/>
    <w:rsid w:val="00B11D54"/>
    <w:rsid w:val="00B2221E"/>
    <w:rsid w:val="00B713CA"/>
    <w:rsid w:val="00BA2C51"/>
    <w:rsid w:val="00BB2577"/>
    <w:rsid w:val="00BC5C72"/>
    <w:rsid w:val="00BC7AC9"/>
    <w:rsid w:val="00BD28B9"/>
    <w:rsid w:val="00BD296D"/>
    <w:rsid w:val="00BE34B8"/>
    <w:rsid w:val="00BF4405"/>
    <w:rsid w:val="00C27FA4"/>
    <w:rsid w:val="00C3414D"/>
    <w:rsid w:val="00C607C5"/>
    <w:rsid w:val="00C60A6C"/>
    <w:rsid w:val="00C7457A"/>
    <w:rsid w:val="00CE0D58"/>
    <w:rsid w:val="00CE0DCE"/>
    <w:rsid w:val="00CE7444"/>
    <w:rsid w:val="00CF644A"/>
    <w:rsid w:val="00D00D90"/>
    <w:rsid w:val="00D13278"/>
    <w:rsid w:val="00DA7D3A"/>
    <w:rsid w:val="00DD5564"/>
    <w:rsid w:val="00E15748"/>
    <w:rsid w:val="00E25AEC"/>
    <w:rsid w:val="00E80A6D"/>
    <w:rsid w:val="00E810E9"/>
    <w:rsid w:val="00E844CA"/>
    <w:rsid w:val="00E90D3C"/>
    <w:rsid w:val="00ED5694"/>
    <w:rsid w:val="00F256B7"/>
    <w:rsid w:val="00F27D75"/>
    <w:rsid w:val="00F3355B"/>
    <w:rsid w:val="00F37866"/>
    <w:rsid w:val="00F818B4"/>
    <w:rsid w:val="00F9474D"/>
    <w:rsid w:val="00F958A1"/>
    <w:rsid w:val="00FA5CC9"/>
    <w:rsid w:val="00FD054F"/>
    <w:rsid w:val="00FF27B1"/>
    <w:rsid w:val="0B841FCB"/>
    <w:rsid w:val="125A3E59"/>
    <w:rsid w:val="18FC3341"/>
    <w:rsid w:val="21A672E3"/>
    <w:rsid w:val="33ED7954"/>
    <w:rsid w:val="41A07DBC"/>
    <w:rsid w:val="50BD3D24"/>
    <w:rsid w:val="54F92D7A"/>
    <w:rsid w:val="5E390C89"/>
    <w:rsid w:val="603B61BE"/>
    <w:rsid w:val="66EE4E1B"/>
    <w:rsid w:val="6F6D4D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semiHidden/>
    <w:qFormat/>
    <w:uiPriority w:val="99"/>
    <w:rPr>
      <w:rFonts w:ascii="Calibri" w:hAnsi="Calibri" w:eastAsia="宋体" w:cs="Times New Roman"/>
      <w:sz w:val="18"/>
      <w:szCs w:val="18"/>
    </w:rPr>
  </w:style>
  <w:style w:type="character" w:customStyle="1" w:styleId="9">
    <w:name w:val="页脚 Char"/>
    <w:basedOn w:val="6"/>
    <w:link w:val="3"/>
    <w:qFormat/>
    <w:uiPriority w:val="99"/>
    <w:rPr>
      <w:rFonts w:ascii="Calibri" w:hAnsi="Calibri" w:eastAsia="宋体" w:cs="Times New Roman"/>
      <w:sz w:val="18"/>
      <w:szCs w:val="18"/>
    </w:r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 w:type="paragraph" w:customStyle="1" w:styleId="11">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782</Words>
  <Characters>4464</Characters>
  <Lines>37</Lines>
  <Paragraphs>10</Paragraphs>
  <TotalTime>148</TotalTime>
  <ScaleCrop>false</ScaleCrop>
  <LinksUpToDate>false</LinksUpToDate>
  <CharactersWithSpaces>5236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2021-01-15T16:44:00Z</dcterms:created>
  <dc:creator>qcq</dc:creator>
  <cp:lastModifiedBy>gxxc</cp:lastModifiedBy>
  <cp:lastPrinted>2022-01-05T17:40:00Z</cp:lastPrinted>
  <dcterms:modified xsi:type="dcterms:W3CDTF">2022-02-15T08:43:05Z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