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900" w:lineRule="exact"/>
        <w:jc w:val="both"/>
        <w:rPr>
          <w:rFonts w:ascii="方正小标宋_GBK" w:hAnsi="黑体" w:eastAsia="方正小标宋_GBK" w:cs="Times New Roman"/>
          <w:b/>
          <w:sz w:val="44"/>
          <w:szCs w:val="32"/>
        </w:rPr>
      </w:pPr>
      <w:r>
        <w:rPr>
          <w:rFonts w:hint="eastAsia" w:ascii="方正小标宋_GBK" w:hAnsi="黑体" w:eastAsia="方正小标宋_GBK" w:cs="Times New Roman"/>
          <w:b/>
          <w:sz w:val="44"/>
          <w:szCs w:val="32"/>
        </w:rPr>
        <w:t>柳州市工业和信息化局202</w:t>
      </w:r>
      <w:r>
        <w:rPr>
          <w:rFonts w:hint="eastAsia" w:ascii="方正小标宋_GBK" w:hAnsi="黑体" w:eastAsia="方正小标宋_GBK" w:cs="Times New Roman"/>
          <w:b/>
          <w:sz w:val="44"/>
          <w:szCs w:val="32"/>
          <w:lang w:val="en-US" w:eastAsia="zh-CN"/>
        </w:rPr>
        <w:t>2</w:t>
      </w:r>
      <w:r>
        <w:rPr>
          <w:rFonts w:hint="eastAsia" w:ascii="方正小标宋_GBK" w:hAnsi="黑体" w:eastAsia="方正小标宋_GBK" w:cs="Times New Roman"/>
          <w:b/>
          <w:sz w:val="44"/>
          <w:szCs w:val="32"/>
        </w:rPr>
        <w:t>年法治政府</w:t>
      </w:r>
    </w:p>
    <w:p>
      <w:pPr>
        <w:keepNext w:val="0"/>
        <w:keepLines w:val="0"/>
        <w:pageBreakBefore w:val="0"/>
        <w:widowControl/>
        <w:kinsoku/>
        <w:wordWrap/>
        <w:overflowPunct/>
        <w:topLinePunct w:val="0"/>
        <w:autoSpaceDE/>
        <w:autoSpaceDN/>
        <w:bidi w:val="0"/>
        <w:adjustRightInd/>
        <w:snapToGrid w:val="0"/>
        <w:spacing w:line="480" w:lineRule="exact"/>
        <w:jc w:val="center"/>
        <w:textAlignment w:val="auto"/>
        <w:rPr>
          <w:rFonts w:ascii="方正小标宋_GBK" w:hAnsi="黑体" w:eastAsia="方正小标宋_GBK" w:cs="Times New Roman"/>
          <w:b/>
          <w:sz w:val="44"/>
          <w:szCs w:val="32"/>
        </w:rPr>
      </w:pPr>
      <w:r>
        <w:rPr>
          <w:rFonts w:hint="eastAsia" w:ascii="方正小标宋_GBK" w:hAnsi="黑体" w:eastAsia="方正小标宋_GBK" w:cs="Times New Roman"/>
          <w:b/>
          <w:sz w:val="44"/>
          <w:szCs w:val="32"/>
        </w:rPr>
        <w:t>建设工作情况报告</w:t>
      </w:r>
    </w:p>
    <w:p>
      <w:pPr>
        <w:rPr>
          <w:rFonts w:hint="eastAsia" w:ascii="仿宋_GB2312" w:eastAsia="仿宋_GB2312"/>
          <w:sz w:val="32"/>
          <w:szCs w:val="32"/>
        </w:rPr>
      </w:pP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市工信</w:t>
      </w:r>
      <w:r>
        <w:rPr>
          <w:rFonts w:hint="eastAsia" w:ascii="仿宋_GB2312" w:hAnsi="仿宋" w:eastAsia="仿宋_GB2312" w:cs="宋体"/>
          <w:color w:val="000000"/>
          <w:kern w:val="0"/>
          <w:sz w:val="32"/>
          <w:szCs w:val="32"/>
        </w:rPr>
        <w:t>局</w:t>
      </w:r>
      <w:r>
        <w:rPr>
          <w:rFonts w:hint="eastAsia" w:ascii="仿宋_GB2312" w:hAnsi="仿宋" w:eastAsia="仿宋_GB2312" w:cs="宋体"/>
          <w:color w:val="000000"/>
          <w:kern w:val="0"/>
          <w:sz w:val="32"/>
          <w:szCs w:val="32"/>
          <w:lang w:eastAsia="zh-CN"/>
        </w:rPr>
        <w:t>认真</w:t>
      </w:r>
      <w:r>
        <w:rPr>
          <w:rFonts w:hint="eastAsia" w:ascii="仿宋_GB2312" w:hAnsi="仿宋" w:eastAsia="仿宋_GB2312" w:cs="宋体"/>
          <w:color w:val="000000"/>
          <w:kern w:val="0"/>
          <w:sz w:val="32"/>
          <w:szCs w:val="32"/>
        </w:rPr>
        <w:t>贯彻落实“深入推进依法行政，加快建设法治政府”的重要精神，根据</w:t>
      </w:r>
      <w:r>
        <w:rPr>
          <w:rFonts w:hint="eastAsia" w:ascii="仿宋_GB2312" w:hAnsi="宋体" w:eastAsia="仿宋_GB2312" w:cs="仿宋_GB2312"/>
          <w:color w:val="000000"/>
          <w:kern w:val="0"/>
          <w:sz w:val="32"/>
          <w:szCs w:val="32"/>
        </w:rPr>
        <w:t>中共中央、国务院《法治政府建设实施纲要（2021-2025年）》，中共中央办公厅、国务院办公厅《法治政府建设与责任落实督察工作规定》等文件</w:t>
      </w:r>
      <w:r>
        <w:rPr>
          <w:rFonts w:hint="eastAsia" w:ascii="仿宋_GB2312" w:hAnsi="宋体" w:eastAsia="仿宋_GB2312" w:cs="仿宋_GB2312"/>
          <w:color w:val="000000"/>
          <w:kern w:val="0"/>
          <w:sz w:val="32"/>
          <w:szCs w:val="32"/>
          <w:lang w:eastAsia="zh-CN"/>
        </w:rPr>
        <w:t>要求</w:t>
      </w:r>
      <w:r>
        <w:rPr>
          <w:rFonts w:hint="eastAsia"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lang w:eastAsia="zh-CN"/>
        </w:rPr>
        <w:t>扎实推进</w:t>
      </w:r>
      <w:r>
        <w:rPr>
          <w:rFonts w:hint="eastAsia" w:ascii="仿宋_GB2312" w:hAnsi="仿宋" w:eastAsia="仿宋_GB2312" w:cs="宋体"/>
          <w:color w:val="000000"/>
          <w:kern w:val="0"/>
          <w:sz w:val="32"/>
          <w:szCs w:val="32"/>
        </w:rPr>
        <w:t>各项工作，现将我局202</w:t>
      </w:r>
      <w:r>
        <w:rPr>
          <w:rFonts w:hint="eastAsia" w:ascii="仿宋_GB2312" w:hAnsi="仿宋" w:eastAsia="仿宋_GB2312" w:cs="宋体"/>
          <w:color w:val="000000"/>
          <w:kern w:val="0"/>
          <w:sz w:val="32"/>
          <w:szCs w:val="32"/>
          <w:lang w:val="en-US" w:eastAsia="zh-CN"/>
        </w:rPr>
        <w:t>2</w:t>
      </w:r>
      <w:r>
        <w:rPr>
          <w:rFonts w:hint="eastAsia" w:ascii="仿宋_GB2312" w:hAnsi="仿宋" w:eastAsia="仿宋_GB2312" w:cs="宋体"/>
          <w:color w:val="000000"/>
          <w:kern w:val="0"/>
          <w:sz w:val="32"/>
          <w:szCs w:val="32"/>
        </w:rPr>
        <w:t>年法治政府建设工作情况汇报如下：</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宋体" w:hAnsi="宋体"/>
          <w:b/>
          <w:sz w:val="32"/>
          <w:szCs w:val="32"/>
        </w:rPr>
      </w:pPr>
      <w:r>
        <w:rPr>
          <w:rFonts w:hint="eastAsia" w:ascii="仿宋_GB2312" w:hAnsi="仿宋" w:eastAsia="仿宋_GB2312"/>
          <w:b/>
          <w:sz w:val="32"/>
          <w:szCs w:val="32"/>
        </w:rPr>
        <w:t xml:space="preserve"> </w:t>
      </w:r>
      <w:r>
        <w:rPr>
          <w:rFonts w:hint="eastAsia" w:ascii="宋体" w:hAnsi="宋体"/>
          <w:b/>
          <w:sz w:val="32"/>
          <w:szCs w:val="32"/>
        </w:rPr>
        <w:t>一、202</w:t>
      </w:r>
      <w:r>
        <w:rPr>
          <w:rFonts w:hint="eastAsia" w:ascii="宋体" w:hAnsi="宋体"/>
          <w:b/>
          <w:sz w:val="32"/>
          <w:szCs w:val="32"/>
          <w:lang w:val="en-US" w:eastAsia="zh-CN"/>
        </w:rPr>
        <w:t>2</w:t>
      </w:r>
      <w:r>
        <w:rPr>
          <w:rFonts w:hint="eastAsia" w:ascii="宋体" w:hAnsi="宋体"/>
          <w:b/>
          <w:sz w:val="32"/>
          <w:szCs w:val="32"/>
        </w:rPr>
        <w:t>年推进法治政府建设主要举措和成效</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仿宋_GB2312" w:hAnsi="仿宋" w:eastAsia="仿宋_GB2312"/>
          <w:b/>
          <w:color w:val="000000"/>
          <w:sz w:val="32"/>
          <w:szCs w:val="32"/>
        </w:rPr>
      </w:pPr>
      <w:r>
        <w:rPr>
          <w:rFonts w:hint="eastAsia" w:ascii="仿宋_GB2312" w:hAnsi="仿宋" w:eastAsia="仿宋_GB2312"/>
          <w:b/>
          <w:color w:val="000000"/>
          <w:sz w:val="32"/>
          <w:szCs w:val="32"/>
        </w:rPr>
        <w:t>（一）依法全面履行政府职能</w:t>
      </w:r>
    </w:p>
    <w:p>
      <w:pPr>
        <w:keepNext w:val="0"/>
        <w:keepLines w:val="0"/>
        <w:pageBreakBefore w:val="0"/>
        <w:kinsoku/>
        <w:wordWrap/>
        <w:overflowPunct/>
        <w:topLinePunct w:val="0"/>
        <w:autoSpaceDE/>
        <w:bidi w:val="0"/>
        <w:adjustRightInd/>
        <w:snapToGrid/>
        <w:spacing w:line="480" w:lineRule="exact"/>
        <w:ind w:firstLine="643" w:firstLineChars="200"/>
        <w:contextualSpacing/>
        <w:textAlignment w:val="auto"/>
        <w:rPr>
          <w:rFonts w:hint="eastAsia" w:ascii="仿宋_GB2312" w:hAnsi="仿宋" w:eastAsia="仿宋_GB2312"/>
          <w:b/>
          <w:color w:val="000000"/>
          <w:sz w:val="32"/>
          <w:szCs w:val="32"/>
        </w:rPr>
      </w:pPr>
      <w:r>
        <w:rPr>
          <w:rFonts w:hint="eastAsia" w:ascii="仿宋_GB2312" w:hAnsi="仿宋" w:eastAsia="仿宋_GB2312"/>
          <w:b/>
          <w:color w:val="000000"/>
          <w:sz w:val="32"/>
          <w:szCs w:val="32"/>
          <w:lang w:val="en-US" w:eastAsia="zh-CN"/>
        </w:rPr>
        <w:t>1</w:t>
      </w:r>
      <w:r>
        <w:rPr>
          <w:rFonts w:hint="eastAsia" w:ascii="仿宋_GB2312" w:hAnsi="仿宋" w:eastAsia="仿宋_GB2312"/>
          <w:b/>
          <w:color w:val="000000"/>
          <w:sz w:val="32"/>
          <w:szCs w:val="32"/>
        </w:rPr>
        <w:t>.强化对行政权力的制约和监督</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val="en-US" w:eastAsia="zh-CN"/>
        </w:rPr>
        <w:t>为持续推进“放管服”改革，深化政府权责清单制度建设，我局进一步完善权责清单制度，确保权责清单的合法性和实效性，打造更加统一规范、简便易行、纵向顺畅、横向衔接的清单模式，确保权责清单监管更加有力，做到“接得住”、“放到位”、“管得好”。</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lang w:eastAsia="zh-CN"/>
        </w:rPr>
        <w:t>我局认真</w:t>
      </w:r>
      <w:r>
        <w:rPr>
          <w:rFonts w:hint="eastAsia" w:ascii="仿宋_GB2312" w:hAnsi="仿宋" w:eastAsia="仿宋_GB2312" w:cs="宋体"/>
          <w:color w:val="000000"/>
          <w:kern w:val="0"/>
          <w:sz w:val="32"/>
          <w:szCs w:val="32"/>
        </w:rPr>
        <w:t>将市委编办、市司法局、市行政审批局三家联审后的市县乡三级权责清单规范化通用目录和权责清单</w:t>
      </w:r>
      <w:r>
        <w:rPr>
          <w:rFonts w:hint="eastAsia" w:ascii="仿宋_GB2312" w:hAnsi="仿宋" w:eastAsia="仿宋_GB2312" w:cs="宋体"/>
          <w:color w:val="000000"/>
          <w:kern w:val="0"/>
          <w:sz w:val="32"/>
          <w:szCs w:val="32"/>
          <w:lang w:eastAsia="zh-CN"/>
        </w:rPr>
        <w:t>进行研究，将</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新建、扩建或者改建水泥、预拌混凝土和预拌砂浆生产项目及散装水泥中转配送站符合散装水泥、预拌混凝土和预拌砂浆产业发展规划的证明文件出具的初审转报</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散装水泥发展和应用情况检查</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对禁止现场搅拌区域内建设工程使用袋装水泥、现场搅拌混凝土或者砂浆的处罚</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对禁止现场搅拌区域外建设工程使用散装水泥未达规定比例的处罚</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对预拌混凝土生产企业、预拌砂浆生产企业、水泥制品（构件）生产企业生产不使用或者不全部使用散装水泥的处罚</w:t>
      </w:r>
      <w:r>
        <w:rPr>
          <w:rFonts w:hint="eastAsia" w:ascii="仿宋_GB2312" w:hAnsi="仿宋" w:eastAsia="仿宋_GB2312" w:cs="宋体"/>
          <w:color w:val="000000"/>
          <w:kern w:val="0"/>
          <w:sz w:val="32"/>
          <w:szCs w:val="32"/>
          <w:lang w:val="en-US" w:eastAsia="zh-CN"/>
        </w:rPr>
        <w:t>”、“</w:t>
      </w:r>
      <w:r>
        <w:rPr>
          <w:rFonts w:hint="default" w:ascii="仿宋_GB2312" w:hAnsi="仿宋" w:eastAsia="仿宋_GB2312" w:cs="宋体"/>
          <w:color w:val="000000"/>
          <w:kern w:val="0"/>
          <w:sz w:val="32"/>
          <w:szCs w:val="32"/>
          <w:lang w:val="en-US" w:eastAsia="zh-CN"/>
        </w:rPr>
        <w:t>不按照规定报送生产、销售、采购散装水泥、预拌混凝土、预拌砂浆票据和相关资料的生产企业、建设工程的处罚”</w:t>
      </w:r>
      <w:r>
        <w:rPr>
          <w:rFonts w:hint="eastAsia" w:ascii="仿宋_GB2312" w:hAnsi="仿宋" w:eastAsia="仿宋_GB2312" w:cs="宋体"/>
          <w:color w:val="000000"/>
          <w:kern w:val="0"/>
          <w:sz w:val="32"/>
          <w:szCs w:val="32"/>
          <w:lang w:val="en-US" w:eastAsia="zh-CN"/>
        </w:rPr>
        <w:t>等</w:t>
      </w:r>
      <w:r>
        <w:rPr>
          <w:rFonts w:hint="default" w:ascii="仿宋_GB2312" w:hAnsi="仿宋" w:eastAsia="仿宋_GB2312" w:cs="宋体"/>
          <w:color w:val="000000"/>
          <w:kern w:val="0"/>
          <w:sz w:val="32"/>
          <w:szCs w:val="32"/>
          <w:lang w:val="en-US" w:eastAsia="zh-CN"/>
        </w:rPr>
        <w:t>为市住建局</w:t>
      </w:r>
      <w:r>
        <w:rPr>
          <w:rFonts w:hint="eastAsia" w:ascii="仿宋_GB2312" w:hAnsi="仿宋" w:eastAsia="仿宋_GB2312" w:cs="宋体"/>
          <w:color w:val="000000"/>
          <w:kern w:val="0"/>
          <w:sz w:val="32"/>
          <w:szCs w:val="32"/>
          <w:lang w:val="en-US" w:eastAsia="zh-CN"/>
        </w:rPr>
        <w:t>直属单位</w:t>
      </w:r>
      <w:r>
        <w:rPr>
          <w:rFonts w:hint="default" w:ascii="仿宋_GB2312" w:hAnsi="仿宋" w:eastAsia="仿宋_GB2312" w:cs="宋体"/>
          <w:color w:val="000000"/>
          <w:kern w:val="0"/>
          <w:sz w:val="32"/>
          <w:szCs w:val="32"/>
          <w:lang w:val="en-US" w:eastAsia="zh-CN"/>
        </w:rPr>
        <w:t>散装水泥办公室的</w:t>
      </w:r>
      <w:r>
        <w:rPr>
          <w:rFonts w:hint="eastAsia" w:ascii="仿宋_GB2312" w:hAnsi="仿宋" w:eastAsia="仿宋_GB2312" w:cs="宋体"/>
          <w:color w:val="000000"/>
          <w:kern w:val="0"/>
          <w:sz w:val="32"/>
          <w:szCs w:val="32"/>
          <w:lang w:val="en-US" w:eastAsia="zh-CN"/>
        </w:rPr>
        <w:t>权责事项从</w:t>
      </w:r>
      <w:r>
        <w:rPr>
          <w:rFonts w:hint="default" w:ascii="仿宋_GB2312" w:hAnsi="仿宋" w:eastAsia="仿宋_GB2312" w:cs="宋体"/>
          <w:color w:val="000000"/>
          <w:kern w:val="0"/>
          <w:sz w:val="32"/>
          <w:szCs w:val="32"/>
          <w:lang w:val="en-US" w:eastAsia="zh-CN"/>
        </w:rPr>
        <w:t>我局的权责清单</w:t>
      </w:r>
      <w:r>
        <w:rPr>
          <w:rFonts w:hint="eastAsia" w:ascii="仿宋_GB2312" w:hAnsi="仿宋" w:eastAsia="仿宋_GB2312" w:cs="宋体"/>
          <w:color w:val="000000"/>
          <w:kern w:val="0"/>
          <w:sz w:val="32"/>
          <w:szCs w:val="32"/>
          <w:lang w:val="en-US" w:eastAsia="zh-CN"/>
        </w:rPr>
        <w:t>及我市工信系统通用目录中予以删除。</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hint="default" w:ascii="仿宋_GB2312" w:hAnsi="仿宋" w:eastAsia="仿宋_GB2312" w:cs="宋体"/>
          <w:color w:val="000000"/>
          <w:kern w:val="0"/>
          <w:sz w:val="32"/>
          <w:szCs w:val="32"/>
          <w:lang w:val="en-US" w:eastAsia="zh-CN"/>
        </w:rPr>
      </w:pPr>
      <w:r>
        <w:rPr>
          <w:rFonts w:hint="default" w:ascii="仿宋_GB2312" w:hAnsi="仿宋" w:eastAsia="仿宋_GB2312" w:cs="宋体"/>
          <w:color w:val="000000"/>
          <w:kern w:val="0"/>
          <w:sz w:val="32"/>
          <w:szCs w:val="32"/>
          <w:lang w:val="en-US" w:eastAsia="zh-CN"/>
        </w:rPr>
        <w:t>我局的权责清单</w:t>
      </w:r>
      <w:r>
        <w:rPr>
          <w:rFonts w:hint="eastAsia" w:ascii="仿宋_GB2312" w:hAnsi="仿宋" w:eastAsia="仿宋_GB2312" w:cs="宋体"/>
          <w:color w:val="000000"/>
          <w:kern w:val="0"/>
          <w:sz w:val="32"/>
          <w:szCs w:val="32"/>
          <w:lang w:val="en-US" w:eastAsia="zh-CN"/>
        </w:rPr>
        <w:t>及我市工信系统通用目录已根据</w:t>
      </w:r>
      <w:r>
        <w:rPr>
          <w:rFonts w:hint="eastAsia" w:ascii="仿宋_GB2312" w:hAnsi="仿宋" w:eastAsia="仿宋_GB2312" w:cs="宋体"/>
          <w:color w:val="000000"/>
          <w:kern w:val="0"/>
          <w:sz w:val="32"/>
          <w:szCs w:val="32"/>
          <w:lang w:val="en" w:eastAsia="zh-CN"/>
        </w:rPr>
        <w:t>新修订的《中华人民共和国行政处罚法》和</w:t>
      </w:r>
      <w:r>
        <w:rPr>
          <w:rFonts w:hint="eastAsia" w:ascii="仿宋_GB2312" w:hAnsi="仿宋" w:eastAsia="仿宋_GB2312" w:cs="宋体"/>
          <w:color w:val="000000"/>
          <w:kern w:val="0"/>
          <w:sz w:val="32"/>
          <w:szCs w:val="32"/>
          <w:lang w:val="en-US" w:eastAsia="zh-CN"/>
        </w:rPr>
        <w:t>《中华人民共和国公务员法》内容做相应的调整，待市政府审议通过后，将</w:t>
      </w:r>
      <w:r>
        <w:rPr>
          <w:rFonts w:hint="default" w:ascii="仿宋_GB2312" w:hAnsi="仿宋" w:eastAsia="仿宋_GB2312" w:cs="宋体"/>
          <w:color w:val="000000"/>
          <w:kern w:val="0"/>
          <w:sz w:val="32"/>
          <w:szCs w:val="32"/>
          <w:lang w:val="en-US" w:eastAsia="zh-CN"/>
        </w:rPr>
        <w:t>我局的权责清单</w:t>
      </w:r>
      <w:r>
        <w:rPr>
          <w:rFonts w:hint="eastAsia" w:ascii="仿宋_GB2312" w:hAnsi="仿宋" w:eastAsia="仿宋_GB2312" w:cs="宋体"/>
          <w:color w:val="000000"/>
          <w:kern w:val="0"/>
          <w:sz w:val="32"/>
          <w:szCs w:val="32"/>
          <w:lang w:val="en-US" w:eastAsia="zh-CN"/>
        </w:rPr>
        <w:t>及我市工信系统通用目录予以公示。</w:t>
      </w:r>
    </w:p>
    <w:p>
      <w:pPr>
        <w:keepNext w:val="0"/>
        <w:keepLines w:val="0"/>
        <w:pageBreakBefore w:val="0"/>
        <w:kinsoku/>
        <w:wordWrap/>
        <w:overflowPunct/>
        <w:topLinePunct w:val="0"/>
        <w:autoSpaceDE/>
        <w:bidi w:val="0"/>
        <w:adjustRightInd/>
        <w:snapToGrid/>
        <w:spacing w:line="480" w:lineRule="exact"/>
        <w:ind w:firstLine="643" w:firstLineChars="200"/>
        <w:contextualSpacing/>
        <w:textAlignment w:val="auto"/>
        <w:rPr>
          <w:rFonts w:hint="eastAsia" w:ascii="仿宋_GB2312" w:hAnsi="仿宋" w:eastAsia="仿宋_GB2312"/>
          <w:b/>
          <w:color w:val="000000"/>
          <w:sz w:val="32"/>
          <w:szCs w:val="32"/>
          <w:lang w:eastAsia="zh-CN"/>
        </w:rPr>
      </w:pPr>
      <w:r>
        <w:rPr>
          <w:rFonts w:hint="eastAsia" w:ascii="仿宋_GB2312" w:hAnsi="仿宋" w:eastAsia="仿宋_GB2312"/>
          <w:b/>
          <w:color w:val="000000"/>
          <w:sz w:val="32"/>
          <w:szCs w:val="32"/>
          <w:lang w:val="en-US" w:eastAsia="zh-CN"/>
        </w:rPr>
        <w:t>2</w:t>
      </w:r>
      <w:r>
        <w:rPr>
          <w:rFonts w:hint="eastAsia" w:ascii="仿宋_GB2312" w:hAnsi="仿宋" w:eastAsia="仿宋_GB2312"/>
          <w:b/>
          <w:color w:val="000000"/>
          <w:sz w:val="32"/>
          <w:szCs w:val="32"/>
        </w:rPr>
        <w:t>.</w:t>
      </w:r>
      <w:r>
        <w:rPr>
          <w:rFonts w:hint="eastAsia" w:ascii="仿宋_GB2312" w:hAnsi="仿宋" w:eastAsia="仿宋_GB2312"/>
          <w:b/>
          <w:color w:val="000000"/>
          <w:sz w:val="32"/>
          <w:szCs w:val="32"/>
          <w:lang w:eastAsia="zh-CN"/>
        </w:rPr>
        <w:t>推进惠企惠民政策汇聚工作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contextualSpacing/>
        <w:textAlignment w:val="auto"/>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lang w:eastAsia="zh-CN"/>
        </w:rPr>
        <w:t>根据《广西壮族自治区数字广西建设领导小组关于印发广西推进惠企惠民政策兑现工作实施方案的通知》《柳州市惠企惠民政策认领兑现任务清单》要求，我局在广西惠企惠民平台进行政策发布，包括认领、填报、发布、解读等工作内容，并于10月底前通过广西惠企惠民政策兑现平台完成</w:t>
      </w:r>
      <w:r>
        <w:rPr>
          <w:rFonts w:hint="eastAsia" w:ascii="仿宋_GB2312" w:hAnsi="Times New Roman" w:eastAsia="仿宋_GB2312" w:cs="Times New Roman"/>
          <w:bCs/>
          <w:sz w:val="32"/>
          <w:szCs w:val="32"/>
          <w:lang w:val="en-US" w:eastAsia="zh-CN"/>
        </w:rPr>
        <w:t>15条</w:t>
      </w:r>
      <w:r>
        <w:rPr>
          <w:rFonts w:hint="eastAsia" w:ascii="仿宋_GB2312" w:hAnsi="Times New Roman" w:eastAsia="仿宋_GB2312" w:cs="Times New Roman"/>
          <w:bCs/>
          <w:sz w:val="32"/>
          <w:szCs w:val="32"/>
          <w:lang w:eastAsia="zh-CN"/>
        </w:rPr>
        <w:t>惠企惠民政策的发布工作。</w:t>
      </w:r>
    </w:p>
    <w:p>
      <w:pPr>
        <w:keepNext w:val="0"/>
        <w:keepLines w:val="0"/>
        <w:pageBreakBefore w:val="0"/>
        <w:kinsoku/>
        <w:wordWrap/>
        <w:overflowPunct/>
        <w:topLinePunct w:val="0"/>
        <w:autoSpaceDE/>
        <w:bidi w:val="0"/>
        <w:adjustRightInd/>
        <w:snapToGrid/>
        <w:spacing w:line="480" w:lineRule="exact"/>
        <w:ind w:firstLine="643" w:firstLineChars="200"/>
        <w:contextualSpacing/>
        <w:textAlignment w:val="auto"/>
        <w:rPr>
          <w:rFonts w:ascii="仿宋_GB2312" w:hAnsi="仿宋" w:eastAsia="仿宋_GB2312"/>
          <w:b/>
          <w:color w:val="000000"/>
          <w:sz w:val="32"/>
          <w:szCs w:val="32"/>
        </w:rPr>
      </w:pPr>
      <w:r>
        <w:rPr>
          <w:rFonts w:hint="eastAsia" w:ascii="仿宋_GB2312" w:hAnsi="仿宋" w:eastAsia="仿宋_GB2312"/>
          <w:b/>
          <w:color w:val="000000"/>
          <w:sz w:val="32"/>
          <w:szCs w:val="32"/>
        </w:rPr>
        <w:t>（二）加强</w:t>
      </w:r>
      <w:r>
        <w:rPr>
          <w:rFonts w:hint="eastAsia" w:ascii="仿宋_GB2312" w:hAnsi="仿宋" w:eastAsia="仿宋_GB2312"/>
          <w:b/>
          <w:color w:val="000000"/>
          <w:sz w:val="32"/>
          <w:szCs w:val="32"/>
          <w:lang w:eastAsia="zh-CN"/>
        </w:rPr>
        <w:t>政策</w:t>
      </w:r>
      <w:r>
        <w:rPr>
          <w:rFonts w:hint="eastAsia" w:ascii="仿宋_GB2312" w:hAnsi="仿宋" w:eastAsia="仿宋_GB2312"/>
          <w:b/>
          <w:color w:val="000000"/>
          <w:sz w:val="32"/>
          <w:szCs w:val="32"/>
        </w:rPr>
        <w:t>文件监督管理</w:t>
      </w:r>
    </w:p>
    <w:p>
      <w:pPr>
        <w:pStyle w:val="12"/>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我局对起草的《</w:t>
      </w:r>
      <w:r>
        <w:rPr>
          <w:rFonts w:hint="eastAsia" w:ascii="仿宋_GB2312" w:hAnsi="仿宋_GB2312" w:eastAsia="仿宋_GB2312" w:cs="仿宋_GB2312"/>
          <w:color w:val="000000"/>
          <w:sz w:val="32"/>
          <w:szCs w:val="32"/>
          <w:lang w:val="en-US" w:eastAsia="zh-CN"/>
        </w:rPr>
        <w:t>柳州市工业设计创新券管理办法(试行)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柳州市钢铁产业节能减排奖励实施细则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《柳州市关于鼓励建设和使用工业标准厂房的实施意见》《柳州市食盐供应应急预案》《柳州市2022年汽车促销扩产活动方案》</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个规范性文件进行合法性审查。</w:t>
      </w:r>
    </w:p>
    <w:p>
      <w:pPr>
        <w:keepNext w:val="0"/>
        <w:keepLines w:val="0"/>
        <w:pageBreakBefore w:val="0"/>
        <w:shd w:val="solid" w:color="FFFFFF" w:fill="auto"/>
        <w:kinsoku/>
        <w:wordWrap/>
        <w:overflowPunct/>
        <w:topLinePunct w:val="0"/>
        <w:autoSpaceDE/>
        <w:autoSpaceDN w:val="0"/>
        <w:bidi w:val="0"/>
        <w:adjustRightInd/>
        <w:snapToGrid/>
        <w:spacing w:line="480" w:lineRule="exact"/>
        <w:ind w:firstLine="643" w:firstLineChars="200"/>
        <w:jc w:val="left"/>
        <w:textAlignment w:val="auto"/>
        <w:rPr>
          <w:rFonts w:ascii="仿宋_GB2312" w:hAnsi="仿宋" w:eastAsia="仿宋_GB2312"/>
          <w:b/>
          <w:color w:val="000000"/>
          <w:sz w:val="32"/>
          <w:szCs w:val="32"/>
        </w:rPr>
      </w:pPr>
      <w:r>
        <w:rPr>
          <w:rFonts w:hint="eastAsia" w:ascii="仿宋_GB2312" w:hAnsi="仿宋" w:eastAsia="仿宋_GB2312"/>
          <w:b/>
          <w:color w:val="000000"/>
          <w:sz w:val="32"/>
          <w:szCs w:val="32"/>
        </w:rPr>
        <w:t>（三）落实法律顾问制度</w:t>
      </w:r>
    </w:p>
    <w:p>
      <w:pPr>
        <w:pStyle w:val="12"/>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rFonts w:ascii="仿宋_GB2312" w:eastAsia="仿宋_GB2312"/>
          <w:color w:val="000000"/>
          <w:sz w:val="32"/>
          <w:szCs w:val="32"/>
        </w:rPr>
      </w:pPr>
      <w:r>
        <w:rPr>
          <w:rFonts w:hint="eastAsia" w:ascii="仿宋_GB2312" w:eastAsia="仿宋_GB2312"/>
          <w:b/>
          <w:sz w:val="32"/>
          <w:szCs w:val="32"/>
        </w:rPr>
        <w:t>1、遴选法律顾问。</w:t>
      </w:r>
      <w:r>
        <w:rPr>
          <w:rFonts w:hint="eastAsia" w:ascii="仿宋_GB2312" w:eastAsia="仿宋_GB2312"/>
          <w:sz w:val="32"/>
          <w:szCs w:val="32"/>
        </w:rPr>
        <w:t>按照我局《法律顾问工作规则》和《法律顾问遴选程序》对</w:t>
      </w:r>
      <w:r>
        <w:rPr>
          <w:rFonts w:hint="eastAsia" w:ascii="仿宋_GB2312" w:eastAsia="仿宋_GB2312"/>
          <w:color w:val="000000"/>
          <w:sz w:val="32"/>
          <w:szCs w:val="32"/>
          <w:lang w:eastAsia="zh-CN"/>
        </w:rPr>
        <w:t>现聘律所</w:t>
      </w:r>
      <w:r>
        <w:rPr>
          <w:rFonts w:hint="eastAsia" w:ascii="仿宋_GB2312" w:eastAsia="仿宋_GB2312"/>
          <w:color w:val="000000"/>
          <w:sz w:val="32"/>
          <w:szCs w:val="32"/>
        </w:rPr>
        <w:t>广西柳晟律师事务所进行</w:t>
      </w:r>
      <w:r>
        <w:rPr>
          <w:rFonts w:hint="eastAsia" w:ascii="仿宋_GB2312" w:eastAsia="仿宋_GB2312"/>
          <w:color w:val="000000"/>
          <w:sz w:val="32"/>
          <w:szCs w:val="32"/>
          <w:lang w:eastAsia="zh-CN"/>
        </w:rPr>
        <w:t>评估、</w:t>
      </w:r>
      <w:r>
        <w:rPr>
          <w:rFonts w:hint="eastAsia" w:ascii="仿宋_GB2312" w:eastAsia="仿宋_GB2312"/>
          <w:color w:val="000000"/>
          <w:sz w:val="32"/>
          <w:szCs w:val="32"/>
        </w:rPr>
        <w:t>讨论。本着择优遴选的原则，最终决定今年</w:t>
      </w:r>
      <w:r>
        <w:rPr>
          <w:rFonts w:hint="eastAsia" w:ascii="仿宋_GB2312" w:eastAsia="仿宋_GB2312"/>
          <w:color w:val="000000"/>
          <w:sz w:val="32"/>
          <w:szCs w:val="32"/>
          <w:lang w:eastAsia="zh-CN"/>
        </w:rPr>
        <w:t>续</w:t>
      </w:r>
      <w:r>
        <w:rPr>
          <w:rFonts w:hint="eastAsia" w:ascii="仿宋_GB2312" w:eastAsia="仿宋_GB2312"/>
          <w:color w:val="000000"/>
          <w:sz w:val="32"/>
          <w:szCs w:val="32"/>
        </w:rPr>
        <w:t>聘广西柳晟律师事务所为常用法律顾问。</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hint="eastAsia" w:ascii="仿宋_GB2312" w:eastAsia="仿宋_GB2312"/>
          <w:sz w:val="32"/>
          <w:szCs w:val="32"/>
        </w:rPr>
      </w:pPr>
      <w:r>
        <w:rPr>
          <w:rFonts w:hint="eastAsia" w:ascii="仿宋_GB2312" w:eastAsia="仿宋_GB2312"/>
          <w:b/>
          <w:sz w:val="32"/>
          <w:szCs w:val="32"/>
          <w:lang w:val="en-US" w:eastAsia="zh-CN"/>
        </w:rPr>
        <w:t>2、推进决策法制化</w:t>
      </w:r>
      <w:r>
        <w:rPr>
          <w:rFonts w:hint="eastAsia" w:ascii="仿宋_GB2312" w:eastAsia="仿宋_GB2312"/>
          <w:b/>
          <w:sz w:val="32"/>
          <w:szCs w:val="32"/>
        </w:rPr>
        <w:t>。</w:t>
      </w:r>
      <w:r>
        <w:rPr>
          <w:rFonts w:hint="eastAsia" w:ascii="仿宋_GB2312" w:hAnsi="ˎ̥" w:eastAsia="仿宋_GB2312" w:cs="Times New Roman"/>
          <w:color w:val="000000"/>
          <w:sz w:val="32"/>
          <w:szCs w:val="32"/>
        </w:rPr>
        <w:t>随着经济社会发展和依法行政工作不断深入，政府法律顾问工作已由原先单一的承办案件，逐步拓展到各方面。如：对我局在行政管理及各项重大决策中所提出的有关行政管理等相关法律问题或疑问进行法律风险预测，并提供法律咨询意见和解决方案；为我局对外作出的行政文件（包括函件，行政决定）出具法律意见书，为我单位提供法律“智囊团”作用。截止12月底，法律顾问共审核1</w:t>
      </w:r>
      <w:r>
        <w:rPr>
          <w:rFonts w:hint="eastAsia" w:ascii="仿宋_GB2312" w:hAnsi="ˎ̥" w:eastAsia="仿宋_GB2312" w:cs="Times New Roman"/>
          <w:color w:val="000000"/>
          <w:sz w:val="32"/>
          <w:szCs w:val="32"/>
          <w:lang w:val="en-US" w:eastAsia="zh-CN"/>
        </w:rPr>
        <w:t>6</w:t>
      </w:r>
      <w:r>
        <w:rPr>
          <w:rFonts w:hint="eastAsia" w:ascii="仿宋_GB2312" w:hAnsi="ˎ̥" w:eastAsia="仿宋_GB2312" w:cs="Times New Roman"/>
          <w:color w:val="000000"/>
          <w:sz w:val="32"/>
          <w:szCs w:val="32"/>
        </w:rPr>
        <w:t>份合同，为单位人员提供免费法律咨询等。</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仿宋_GB2312" w:hAnsi="仿宋" w:eastAsia="仿宋_GB2312"/>
          <w:b/>
          <w:color w:val="000000"/>
          <w:sz w:val="32"/>
          <w:szCs w:val="32"/>
        </w:rPr>
      </w:pPr>
      <w:r>
        <w:rPr>
          <w:rFonts w:hint="eastAsia" w:ascii="仿宋_GB2312" w:hAnsi="仿宋" w:eastAsia="仿宋_GB2312"/>
          <w:b/>
          <w:color w:val="000000"/>
          <w:sz w:val="32"/>
          <w:szCs w:val="32"/>
        </w:rPr>
        <w:t>（四）坚持严格规范公正文明执法</w:t>
      </w:r>
    </w:p>
    <w:p>
      <w:pPr>
        <w:pStyle w:val="12"/>
        <w:keepNext w:val="0"/>
        <w:keepLines w:val="0"/>
        <w:pageBreakBefore w:val="0"/>
        <w:kinsoku/>
        <w:wordWrap/>
        <w:overflowPunct/>
        <w:topLinePunct w:val="0"/>
        <w:autoSpaceDE/>
        <w:bidi w:val="0"/>
        <w:adjustRightInd/>
        <w:snapToGrid/>
        <w:spacing w:line="480" w:lineRule="exact"/>
        <w:ind w:firstLine="643" w:firstLineChars="200"/>
        <w:jc w:val="left"/>
        <w:textAlignment w:val="auto"/>
        <w:rPr>
          <w:rFonts w:ascii="仿宋_GB2312" w:eastAsia="仿宋_GB2312"/>
          <w:b/>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积极推进“双随机、一公开”</w:t>
      </w:r>
    </w:p>
    <w:p>
      <w:pPr>
        <w:pStyle w:val="12"/>
        <w:keepNext w:val="0"/>
        <w:keepLines w:val="0"/>
        <w:pageBreakBefore w:val="0"/>
        <w:kinsoku/>
        <w:wordWrap/>
        <w:overflowPunct/>
        <w:topLinePunct w:val="0"/>
        <w:autoSpaceDE/>
        <w:bidi w:val="0"/>
        <w:adjustRightInd/>
        <w:snapToGrid/>
        <w:spacing w:line="48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对我局行政检查事项，相关业务科室做好“双随机</w:t>
      </w:r>
      <w:r>
        <w:rPr>
          <w:rFonts w:hint="eastAsia" w:ascii="仿宋_GB2312" w:eastAsia="仿宋_GB2312"/>
          <w:color w:val="000000"/>
          <w:sz w:val="32"/>
          <w:szCs w:val="32"/>
          <w:lang w:eastAsia="zh-CN"/>
        </w:rPr>
        <w:t>、</w:t>
      </w:r>
      <w:bookmarkStart w:id="0" w:name="_GoBack"/>
      <w:bookmarkEnd w:id="0"/>
      <w:r>
        <w:rPr>
          <w:rFonts w:hint="eastAsia" w:ascii="仿宋_GB2312" w:eastAsia="仿宋_GB2312"/>
          <w:color w:val="000000"/>
          <w:sz w:val="32"/>
          <w:szCs w:val="32"/>
        </w:rPr>
        <w:t>一公开”年度实施方案并组织实施，随机抽取检查对象，随机选派执法检查人员，抽查情况及查处结果及时向社会公开，进一步提升我局行政检查的公平性、规范性、有效性，是我局事中事后监管的关键环节。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eastAsia="仿宋_GB2312"/>
          <w:color w:val="000000"/>
          <w:sz w:val="32"/>
          <w:szCs w:val="32"/>
        </w:rPr>
      </w:pPr>
      <w:r>
        <w:rPr>
          <w:rFonts w:hint="eastAsia" w:ascii="仿宋_GB2312" w:hAnsi="仿宋" w:eastAsia="仿宋_GB2312"/>
          <w:color w:val="000000"/>
          <w:sz w:val="32"/>
          <w:szCs w:val="32"/>
        </w:rPr>
        <w:t>我局制定了</w:t>
      </w:r>
      <w:r>
        <w:rPr>
          <w:rFonts w:hint="eastAsia" w:ascii="仿宋_GB2312" w:hAnsi="Times New Roman" w:eastAsia="仿宋_GB2312" w:cs="Times New Roman"/>
          <w:bCs/>
          <w:sz w:val="32"/>
          <w:szCs w:val="32"/>
        </w:rPr>
        <w:t>《关于印发202</w:t>
      </w:r>
      <w:r>
        <w:rPr>
          <w:rFonts w:hint="eastAsia" w:ascii="仿宋_GB2312" w:hAnsi="Times New Roman" w:eastAsia="仿宋_GB2312" w:cs="Times New Roman"/>
          <w:bCs/>
          <w:sz w:val="32"/>
          <w:szCs w:val="32"/>
          <w:lang w:val="en-US" w:eastAsia="zh-CN"/>
        </w:rPr>
        <w:t>2</w:t>
      </w:r>
      <w:r>
        <w:rPr>
          <w:rFonts w:hint="eastAsia" w:ascii="仿宋_GB2312" w:hAnsi="Times New Roman" w:eastAsia="仿宋_GB2312" w:cs="Times New Roman"/>
          <w:bCs/>
          <w:sz w:val="32"/>
          <w:szCs w:val="32"/>
        </w:rPr>
        <w:t>全市工业节能监察重点工作计划的通知》</w:t>
      </w:r>
      <w:r>
        <w:rPr>
          <w:rFonts w:hint="eastAsia" w:ascii="仿宋_GB2312" w:hAnsi="仿宋" w:eastAsia="仿宋_GB2312"/>
          <w:color w:val="000000"/>
          <w:sz w:val="32"/>
          <w:szCs w:val="32"/>
        </w:rPr>
        <w:t>《随机抽查事项清单》，建立了“一单两库一细则”，严格按照自治区工业和信息化厅有关工作内容和“双随机、一公开”工作要求，</w:t>
      </w:r>
      <w:r>
        <w:rPr>
          <w:rFonts w:hint="eastAsia" w:ascii="仿宋_GB2312" w:hAnsi="Times New Roman" w:eastAsia="仿宋_GB2312" w:cs="Times New Roman"/>
          <w:bCs/>
          <w:sz w:val="32"/>
          <w:szCs w:val="32"/>
          <w:lang w:eastAsia="zh-CN"/>
        </w:rPr>
        <w:t>对列入节能监察计划的</w:t>
      </w:r>
      <w:r>
        <w:rPr>
          <w:rFonts w:hint="eastAsia" w:ascii="仿宋_GB2312" w:hAnsi="Times New Roman" w:eastAsia="仿宋_GB2312" w:cs="Times New Roman"/>
          <w:bCs/>
          <w:sz w:val="32"/>
          <w:szCs w:val="32"/>
          <w:lang w:val="en-US" w:eastAsia="zh-CN"/>
        </w:rPr>
        <w:t>11家</w:t>
      </w:r>
      <w:r>
        <w:rPr>
          <w:rFonts w:hint="eastAsia" w:ascii="仿宋_GB2312" w:hAnsi="Times New Roman" w:eastAsia="仿宋_GB2312" w:cs="Times New Roman"/>
          <w:bCs/>
          <w:sz w:val="32"/>
          <w:szCs w:val="32"/>
        </w:rPr>
        <w:t>有关企业开展现场监察</w:t>
      </w:r>
      <w:r>
        <w:rPr>
          <w:rFonts w:hint="eastAsia" w:ascii="仿宋_GB2312" w:hAnsi="Times New Roman" w:eastAsia="仿宋_GB2312" w:cs="Times New Roman"/>
          <w:bCs/>
          <w:sz w:val="32"/>
          <w:szCs w:val="32"/>
          <w:lang w:eastAsia="zh-CN"/>
        </w:rPr>
        <w:t>，分别涉及钢铁（</w:t>
      </w:r>
      <w:r>
        <w:rPr>
          <w:rFonts w:hint="eastAsia" w:ascii="仿宋_GB2312" w:hAnsi="Times New Roman" w:eastAsia="仿宋_GB2312" w:cs="Times New Roman"/>
          <w:bCs/>
          <w:sz w:val="32"/>
          <w:szCs w:val="32"/>
          <w:lang w:val="en-US" w:eastAsia="zh-CN"/>
        </w:rPr>
        <w:t>2家</w:t>
      </w:r>
      <w:r>
        <w:rPr>
          <w:rFonts w:hint="eastAsia" w:ascii="仿宋_GB2312" w:hAnsi="Times New Roman" w:eastAsia="仿宋_GB2312" w:cs="Times New Roman"/>
          <w:bCs/>
          <w:sz w:val="32"/>
          <w:szCs w:val="32"/>
          <w:lang w:eastAsia="zh-CN"/>
        </w:rPr>
        <w:t>）、水泥（</w:t>
      </w:r>
      <w:r>
        <w:rPr>
          <w:rFonts w:hint="eastAsia" w:ascii="仿宋_GB2312" w:hAnsi="Times New Roman" w:eastAsia="仿宋_GB2312" w:cs="Times New Roman"/>
          <w:bCs/>
          <w:sz w:val="32"/>
          <w:szCs w:val="32"/>
          <w:lang w:val="en-US" w:eastAsia="zh-CN"/>
        </w:rPr>
        <w:t>5家</w:t>
      </w:r>
      <w:r>
        <w:rPr>
          <w:rFonts w:hint="eastAsia" w:ascii="仿宋_GB2312" w:hAnsi="Times New Roman" w:eastAsia="仿宋_GB2312" w:cs="Times New Roman"/>
          <w:bCs/>
          <w:sz w:val="32"/>
          <w:szCs w:val="32"/>
          <w:lang w:eastAsia="zh-CN"/>
        </w:rPr>
        <w:t>）、化工（</w:t>
      </w:r>
      <w:r>
        <w:rPr>
          <w:rFonts w:hint="eastAsia" w:ascii="仿宋_GB2312" w:hAnsi="Times New Roman" w:eastAsia="仿宋_GB2312" w:cs="Times New Roman"/>
          <w:bCs/>
          <w:sz w:val="32"/>
          <w:szCs w:val="32"/>
          <w:lang w:val="en-US" w:eastAsia="zh-CN"/>
        </w:rPr>
        <w:t>2家</w:t>
      </w:r>
      <w:r>
        <w:rPr>
          <w:rFonts w:hint="eastAsia" w:ascii="仿宋_GB2312" w:hAnsi="Times New Roman" w:eastAsia="仿宋_GB2312" w:cs="Times New Roman"/>
          <w:bCs/>
          <w:sz w:val="32"/>
          <w:szCs w:val="32"/>
          <w:lang w:eastAsia="zh-CN"/>
        </w:rPr>
        <w:t>）、有色（</w:t>
      </w:r>
      <w:r>
        <w:rPr>
          <w:rFonts w:hint="eastAsia" w:ascii="仿宋_GB2312" w:hAnsi="Times New Roman" w:eastAsia="仿宋_GB2312" w:cs="Times New Roman"/>
          <w:bCs/>
          <w:sz w:val="32"/>
          <w:szCs w:val="32"/>
          <w:lang w:val="en-US" w:eastAsia="zh-CN"/>
        </w:rPr>
        <w:t>2家</w:t>
      </w:r>
      <w:r>
        <w:rPr>
          <w:rFonts w:hint="eastAsia" w:ascii="仿宋_GB2312" w:hAnsi="Times New Roman" w:eastAsia="仿宋_GB2312" w:cs="Times New Roman"/>
          <w:bCs/>
          <w:sz w:val="32"/>
          <w:szCs w:val="32"/>
          <w:lang w:eastAsia="zh-CN"/>
        </w:rPr>
        <w:t>）等重点高耗能行业，</w:t>
      </w:r>
      <w:r>
        <w:rPr>
          <w:rFonts w:hint="eastAsia" w:ascii="仿宋_GB2312" w:eastAsia="仿宋_GB2312"/>
          <w:color w:val="000000"/>
          <w:sz w:val="32"/>
          <w:szCs w:val="32"/>
        </w:rPr>
        <w:t>严格按要求记录归档，对企业进行“一户一册”的记录模式，完整记录监察执法内容，抽查结果</w:t>
      </w:r>
      <w:r>
        <w:rPr>
          <w:rFonts w:hint="eastAsia" w:ascii="仿宋_GB2312" w:eastAsia="仿宋_GB2312"/>
          <w:color w:val="000000"/>
          <w:sz w:val="32"/>
          <w:szCs w:val="32"/>
          <w:lang w:eastAsia="zh-CN"/>
        </w:rPr>
        <w:t>经过局内法制机构进行审核后</w:t>
      </w:r>
      <w:r>
        <w:rPr>
          <w:rFonts w:hint="eastAsia" w:ascii="仿宋_GB2312" w:eastAsia="仿宋_GB2312"/>
          <w:color w:val="000000"/>
          <w:sz w:val="32"/>
          <w:szCs w:val="32"/>
        </w:rPr>
        <w:t>在局网站</w:t>
      </w:r>
      <w:r>
        <w:rPr>
          <w:rFonts w:hint="eastAsia" w:ascii="仿宋_GB2312" w:eastAsia="仿宋_GB2312"/>
          <w:color w:val="000000"/>
          <w:sz w:val="32"/>
          <w:szCs w:val="32"/>
          <w:lang w:eastAsia="zh-CN"/>
        </w:rPr>
        <w:t>进行</w:t>
      </w:r>
      <w:r>
        <w:rPr>
          <w:rFonts w:hint="eastAsia" w:ascii="仿宋_GB2312" w:eastAsia="仿宋_GB2312"/>
          <w:color w:val="000000"/>
          <w:sz w:val="32"/>
          <w:szCs w:val="32"/>
        </w:rPr>
        <w:t>公示。截止202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年12月份，我局无行政许可、行政处罚、行政强制行为。</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Calibri" w:eastAsia="仿宋_GB2312" w:cs="Times New Roman"/>
          <w:b/>
          <w:color w:val="000000"/>
          <w:kern w:val="2"/>
          <w:sz w:val="32"/>
          <w:szCs w:val="32"/>
          <w:lang w:val="en-US" w:eastAsia="zh-CN" w:bidi="ar-SA"/>
        </w:rPr>
      </w:pPr>
      <w:r>
        <w:rPr>
          <w:rFonts w:hint="eastAsia" w:ascii="仿宋_GB2312" w:hAnsi="Calibri" w:eastAsia="仿宋_GB2312" w:cs="Times New Roman"/>
          <w:b/>
          <w:color w:val="000000"/>
          <w:kern w:val="2"/>
          <w:sz w:val="32"/>
          <w:szCs w:val="32"/>
          <w:lang w:val="en-US" w:eastAsia="zh-CN" w:bidi="ar-SA"/>
        </w:rPr>
        <w:t>2.严格执法证件管理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contextualSpacing/>
        <w:textAlignment w:val="auto"/>
        <w:rPr>
          <w:rFonts w:hint="eastAsia" w:ascii="仿宋_GB2312" w:hAnsi="仿宋" w:eastAsia="仿宋_GB2312"/>
          <w:b/>
          <w:color w:val="000000"/>
          <w:sz w:val="32"/>
          <w:szCs w:val="32"/>
        </w:rPr>
      </w:pPr>
      <w:r>
        <w:rPr>
          <w:rFonts w:hint="eastAsia" w:ascii="仿宋_GB2312" w:eastAsia="仿宋_GB2312"/>
          <w:color w:val="000000"/>
          <w:sz w:val="32"/>
          <w:szCs w:val="32"/>
          <w:lang w:val="en-US" w:eastAsia="zh-CN"/>
        </w:rPr>
        <w:t>为保证规范公正文明执法，</w:t>
      </w:r>
      <w:r>
        <w:rPr>
          <w:rFonts w:hint="eastAsia" w:ascii="仿宋_GB2312" w:hAnsi="仿宋" w:eastAsia="仿宋_GB2312"/>
          <w:color w:val="000000"/>
          <w:sz w:val="32"/>
          <w:szCs w:val="32"/>
        </w:rPr>
        <w:t>确保检查程序公平公正，为执法检查规范化、科学化奠定了更加坚实的基础</w:t>
      </w:r>
      <w:r>
        <w:rPr>
          <w:rFonts w:hint="eastAsia" w:ascii="仿宋_GB2312" w:hAnsi="仿宋" w:eastAsia="仿宋_GB2312"/>
          <w:color w:val="000000"/>
          <w:sz w:val="32"/>
          <w:szCs w:val="32"/>
          <w:lang w:eastAsia="zh-CN"/>
        </w:rPr>
        <w:t>，</w:t>
      </w:r>
      <w:r>
        <w:rPr>
          <w:rFonts w:hint="eastAsia" w:ascii="仿宋_GB2312" w:eastAsia="仿宋_GB2312"/>
          <w:color w:val="000000"/>
          <w:sz w:val="32"/>
          <w:szCs w:val="32"/>
          <w:lang w:val="en-US" w:eastAsia="zh-CN"/>
        </w:rPr>
        <w:t>我局积极组织执法人员参加行政执法人员资格（续职）考试，2022年我局有5名人员通过考试，目前我局有19人的执法证在有效期内。</w:t>
      </w:r>
    </w:p>
    <w:p>
      <w:pPr>
        <w:pStyle w:val="12"/>
        <w:keepNext w:val="0"/>
        <w:keepLines w:val="0"/>
        <w:pageBreakBefore w:val="0"/>
        <w:kinsoku/>
        <w:wordWrap/>
        <w:overflowPunct/>
        <w:topLinePunct w:val="0"/>
        <w:autoSpaceDE/>
        <w:bidi w:val="0"/>
        <w:adjustRightInd/>
        <w:snapToGrid/>
        <w:spacing w:line="480" w:lineRule="exact"/>
        <w:ind w:firstLine="643" w:firstLineChars="200"/>
        <w:jc w:val="left"/>
        <w:textAlignment w:val="auto"/>
        <w:rPr>
          <w:rFonts w:ascii="仿宋_GB2312" w:eastAsia="仿宋_GB2312"/>
          <w:color w:val="000000"/>
          <w:sz w:val="32"/>
          <w:szCs w:val="32"/>
          <w:shd w:val="clear" w:color="auto" w:fill="FFFFFF"/>
        </w:rPr>
      </w:pPr>
      <w:r>
        <w:rPr>
          <w:rFonts w:hint="eastAsia" w:ascii="仿宋_GB2312" w:eastAsia="仿宋_GB2312"/>
          <w:b/>
          <w:color w:val="000000"/>
          <w:sz w:val="32"/>
          <w:szCs w:val="32"/>
        </w:rPr>
        <w:t>（五）全面提高政府工作人员法治思维和依法行政能力</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eastAsia="仿宋_GB2312"/>
          <w:color w:val="FF0000"/>
          <w:sz w:val="32"/>
          <w:szCs w:val="32"/>
          <w:lang w:val="en-US" w:eastAsia="zh-CN"/>
        </w:rPr>
      </w:pPr>
      <w:r>
        <w:rPr>
          <w:rFonts w:hint="eastAsia" w:ascii="仿宋_GB2312" w:hAnsi="Calibri" w:eastAsia="仿宋_GB2312" w:cs="Times New Roman"/>
          <w:bCs/>
          <w:color w:val="000000"/>
          <w:sz w:val="32"/>
          <w:szCs w:val="32"/>
        </w:rPr>
        <w:t>落实领导干部学法和法律知识考试相关制度，强化法治教育的内容和要求，继续开展领导干部法治学习；</w:t>
      </w:r>
      <w:r>
        <w:rPr>
          <w:rFonts w:hint="eastAsia" w:ascii="仿宋_GB2312" w:hAnsi="Calibri" w:eastAsia="仿宋_GB2312" w:cs="Times New Roman"/>
          <w:bCs/>
          <w:color w:val="000000"/>
          <w:sz w:val="32"/>
          <w:szCs w:val="32"/>
          <w:lang w:eastAsia="zh-CN"/>
        </w:rPr>
        <w:t>上半年，</w:t>
      </w:r>
      <w:r>
        <w:rPr>
          <w:rFonts w:hint="eastAsia" w:ascii="仿宋_GB2312" w:hAnsi="Calibri" w:eastAsia="仿宋_GB2312" w:cs="Times New Roman"/>
          <w:bCs/>
          <w:color w:val="000000"/>
          <w:sz w:val="32"/>
          <w:szCs w:val="32"/>
        </w:rPr>
        <w:t>邀请法律顾问至我局开展</w:t>
      </w:r>
      <w:r>
        <w:rPr>
          <w:rFonts w:hint="eastAsia" w:ascii="仿宋_GB2312" w:hAnsi="仿宋_GB2312" w:eastAsia="仿宋_GB2312" w:cs="仿宋_GB2312"/>
          <w:color w:val="000000"/>
          <w:sz w:val="32"/>
          <w:szCs w:val="32"/>
          <w:lang w:val="en-US" w:eastAsia="zh-CN"/>
        </w:rPr>
        <w:t>法律讲座之“工作生活中的那些法律事”</w:t>
      </w:r>
      <w:r>
        <w:rPr>
          <w:rFonts w:hint="eastAsia" w:ascii="仿宋_GB2312" w:eastAsia="仿宋_GB2312"/>
          <w:color w:val="000000"/>
          <w:sz w:val="32"/>
          <w:szCs w:val="32"/>
        </w:rPr>
        <w:t>。围绕</w:t>
      </w:r>
      <w:r>
        <w:rPr>
          <w:rFonts w:hint="default" w:ascii="仿宋_GB2312" w:hAnsi="仿宋_GB2312" w:eastAsia="仿宋_GB2312" w:cs="仿宋_GB2312"/>
          <w:sz w:val="32"/>
          <w:szCs w:val="32"/>
          <w:lang w:val="en-US" w:eastAsia="zh-CN"/>
        </w:rPr>
        <w:t>市场受经济到疫情影响时，承租户是否可以要求解除或者变更租赁合同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女职工权益的法律特殊保护权</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交通事故纠纷中应当掌握的法律知识</w:t>
      </w:r>
      <w:r>
        <w:rPr>
          <w:rFonts w:hint="eastAsia" w:ascii="仿宋_GB2312" w:hAnsi="仿宋_GB2312" w:eastAsia="仿宋_GB2312" w:cs="仿宋_GB2312"/>
          <w:sz w:val="32"/>
          <w:szCs w:val="32"/>
          <w:lang w:val="en-US" w:eastAsia="zh-CN"/>
        </w:rPr>
        <w:t>”等我局人员关心的热点问题进行了详细的讲解，并以生动的语言和案例相结合，我局人员</w:t>
      </w:r>
      <w:r>
        <w:rPr>
          <w:rFonts w:hint="default" w:ascii="仿宋_GB2312" w:hAnsi="仿宋_GB2312" w:eastAsia="仿宋_GB2312" w:cs="仿宋_GB2312"/>
          <w:sz w:val="32"/>
          <w:szCs w:val="32"/>
          <w:lang w:val="en-US" w:eastAsia="zh-CN"/>
        </w:rPr>
        <w:t>深受教育</w:t>
      </w:r>
      <w:r>
        <w:rPr>
          <w:rFonts w:hint="eastAsia" w:ascii="仿宋_GB2312" w:hAnsi="仿宋_GB2312" w:eastAsia="仿宋_GB2312" w:cs="仿宋_GB2312"/>
          <w:sz w:val="32"/>
          <w:szCs w:val="32"/>
          <w:lang w:val="en-US" w:eastAsia="zh-CN"/>
        </w:rPr>
        <w:t>。</w:t>
      </w:r>
      <w:r>
        <w:rPr>
          <w:rFonts w:hint="eastAsia" w:ascii="仿宋_GB2312" w:eastAsia="仿宋_GB2312"/>
          <w:color w:val="000000"/>
          <w:sz w:val="32"/>
          <w:szCs w:val="32"/>
          <w:lang w:eastAsia="zh-CN"/>
        </w:rPr>
        <w:t>下半年，开展了</w:t>
      </w:r>
      <w:r>
        <w:rPr>
          <w:rFonts w:hint="eastAsia" w:ascii="仿宋_GB2312" w:hAnsi="仿宋_GB2312" w:eastAsia="仿宋_GB2312" w:cs="仿宋_GB2312"/>
          <w:sz w:val="32"/>
          <w:szCs w:val="32"/>
          <w:lang w:val="en-US" w:eastAsia="zh-CN"/>
        </w:rPr>
        <w:t>法律讲座之“预防职务犯罪之案例解读”，内容以“中央纪委国家监委对10起违反中央八项规定精神典型问题进行公开通报”为开头，以“优化营商环境”为重点，以“行贿 ”、“ 串通投标”、“  数罪并罚”为关键词，抽丝剥茧般阐述贿赂犯罪刑事责任追究的重大变化，对发生在涉及重大民生项目招标投标领域，对严重破坏营商环境和市场公平竞争规则的行贿犯罪，坚持受贿行贿一起查，推动腐败问题标本兼治。此次讲座，提醒了我局人员要以案为鉴，时刻牢记清廉是福、贪欲是祸，勤扫“思想尘”、常破“心中贼”，从理想信念上守起，恪守法律底线，自觉遵守中央八项规定精神，做一个干净的自己。</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hint="eastAsia" w:ascii="仿宋_GB2312" w:hAnsi="Calibri" w:eastAsia="仿宋_GB2312" w:cs="Times New Roman"/>
          <w:bCs/>
          <w:color w:val="000000"/>
          <w:sz w:val="32"/>
          <w:szCs w:val="32"/>
        </w:rPr>
      </w:pPr>
      <w:r>
        <w:rPr>
          <w:rFonts w:hint="eastAsia" w:ascii="仿宋_GB2312" w:hAnsi="Calibri" w:eastAsia="仿宋_GB2312" w:cs="Times New Roman"/>
          <w:bCs/>
          <w:color w:val="000000"/>
          <w:sz w:val="32"/>
          <w:szCs w:val="32"/>
        </w:rPr>
        <w:t>我局认真开展新颁布、新修订法律法规的学习宣传。将新颁布、新修订的法律法规列为年度普法重点,及时开展宣传教育，促进新颁布和新修订的法律法规有效实施。组织开展“三进”活动，让法律进机关、进企业，进社区，不断深化普法教育。</w:t>
      </w:r>
      <w:r>
        <w:rPr>
          <w:rFonts w:hint="eastAsia" w:ascii="仿宋_GB2312" w:hAnsi="Calibri" w:eastAsia="仿宋_GB2312" w:cs="Times New Roman"/>
          <w:bCs/>
          <w:color w:val="000000"/>
          <w:sz w:val="32"/>
          <w:szCs w:val="32"/>
          <w:lang w:eastAsia="zh-CN"/>
        </w:rPr>
        <w:t>一是</w:t>
      </w:r>
      <w:r>
        <w:rPr>
          <w:rFonts w:hint="eastAsia" w:ascii="仿宋_GB2312" w:hAnsi="Calibri" w:eastAsia="仿宋_GB2312" w:cs="Times New Roman"/>
          <w:bCs/>
          <w:color w:val="000000"/>
          <w:sz w:val="32"/>
          <w:szCs w:val="32"/>
        </w:rPr>
        <w:t>以电子屏幕滚动播放《中华人民共和国网络安全法》宣传片和张贴“2022年中国公平竞争政策宣传周”海报等多种形式推进法律进机关，对《反垄断法》《反不正当竞争法》《民法典》等多部法律进行广泛的学习和宣传，提高我局人员的依法行政的的能力和水平。</w:t>
      </w:r>
      <w:r>
        <w:rPr>
          <w:rFonts w:hint="eastAsia" w:ascii="仿宋_GB2312" w:hAnsi="Calibri" w:eastAsia="仿宋_GB2312" w:cs="Times New Roman"/>
          <w:bCs/>
          <w:color w:val="000000"/>
          <w:sz w:val="32"/>
          <w:szCs w:val="32"/>
          <w:lang w:eastAsia="zh-CN"/>
        </w:rPr>
        <w:t>二是</w:t>
      </w:r>
      <w:r>
        <w:rPr>
          <w:rFonts w:hint="eastAsia" w:ascii="仿宋_GB2312" w:hAnsi="Calibri" w:eastAsia="仿宋_GB2312" w:cs="Times New Roman"/>
          <w:bCs/>
          <w:color w:val="000000"/>
          <w:sz w:val="32"/>
          <w:szCs w:val="32"/>
        </w:rPr>
        <w:t>以我市企业服务年为契机，组织科室深入多家企业，有针对性地开展专题专业法宣传活动，围绕《国家安全法》、《反有组织犯罪法》和《法律援助法》等相关法律法规进行了宣传，增强企业经营者和职工依法维护自身权益的意识和能力，进一步促进企业建立和谐健康的劳动关系。</w:t>
      </w:r>
      <w:r>
        <w:rPr>
          <w:rFonts w:hint="eastAsia" w:ascii="仿宋_GB2312" w:hAnsi="Calibri" w:eastAsia="仿宋_GB2312" w:cs="Times New Roman"/>
          <w:bCs/>
          <w:color w:val="000000"/>
          <w:sz w:val="32"/>
          <w:szCs w:val="32"/>
          <w:lang w:eastAsia="zh-CN"/>
        </w:rPr>
        <w:t>三是</w:t>
      </w:r>
      <w:r>
        <w:rPr>
          <w:rFonts w:hint="eastAsia" w:ascii="仿宋_GB2312" w:hAnsi="Calibri" w:eastAsia="仿宋_GB2312" w:cs="Times New Roman"/>
          <w:bCs/>
          <w:color w:val="000000"/>
          <w:sz w:val="32"/>
          <w:szCs w:val="32"/>
        </w:rPr>
        <w:t>结合我市创城工作，协同天湖社区人员，开展入户宣传法律活动，提高辖区内居民的法律意识，进一步形成崇尚法律、遵守法律、维护法律权威的良好氛围。</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宋体" w:hAnsi="宋体" w:cs="Times New Roman"/>
          <w:b/>
          <w:color w:val="000000"/>
          <w:sz w:val="32"/>
          <w:szCs w:val="32"/>
        </w:rPr>
      </w:pPr>
      <w:r>
        <w:rPr>
          <w:rFonts w:hint="eastAsia" w:ascii="宋体" w:hAnsi="宋体" w:cs="Times New Roman"/>
          <w:b/>
          <w:color w:val="000000"/>
          <w:sz w:val="32"/>
          <w:szCs w:val="32"/>
        </w:rPr>
        <w:t>二、党政主要负责人履行推进法治建设第一责任人职责，加强法治政府建设情况</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Calibri" w:eastAsia="仿宋_GB2312" w:cs="Times New Roman"/>
          <w:color w:val="000000"/>
          <w:sz w:val="32"/>
          <w:szCs w:val="32"/>
        </w:rPr>
        <w:t>局党组高度重视法治政府建设工作，严格执行《广西贯彻&lt;党政主要负责人履行推进法治建设第一责任人职责规定&gt;实施办法》，切实落实党政主要负责人履行推进法治建设第一</w:t>
      </w:r>
      <w:r>
        <w:rPr>
          <w:rFonts w:hint="eastAsia" w:ascii="仿宋_GB2312" w:hAnsi="仿宋_GB2312" w:eastAsia="仿宋_GB2312" w:cs="仿宋_GB2312"/>
          <w:color w:val="000000"/>
          <w:sz w:val="32"/>
          <w:szCs w:val="32"/>
        </w:rPr>
        <w:t>责任人职责规定，以习近平总书记高度概括的“十个坚持”为我局依法行政的方向航标，把依法办事情况作为领导班子民主生活会重要内容，做到经常性提醒督促，推动班子成员强化法治意识。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pPr>
      <w:r>
        <w:rPr>
          <w:rFonts w:hint="eastAsia" w:ascii="仿宋_GB2312" w:hAnsi="仿宋_GB2312" w:eastAsia="仿宋_GB2312" w:cs="仿宋_GB2312"/>
          <w:color w:val="000000"/>
          <w:sz w:val="32"/>
          <w:szCs w:val="32"/>
        </w:rPr>
        <w:t>为了增强局领导的法律意识，</w:t>
      </w:r>
      <w:r>
        <w:rPr>
          <w:rFonts w:hint="eastAsia" w:ascii="仿宋_GB2312" w:hAnsi="仿宋_GB2312" w:eastAsia="仿宋_GB2312" w:cs="仿宋_GB2312"/>
          <w:color w:val="000000"/>
          <w:sz w:val="32"/>
          <w:szCs w:val="32"/>
          <w:lang w:eastAsia="zh-CN"/>
        </w:rPr>
        <w:t>上半年</w:t>
      </w:r>
      <w:r>
        <w:rPr>
          <w:rFonts w:hint="eastAsia" w:ascii="仿宋_GB2312" w:hAnsi="仿宋_GB2312" w:eastAsia="仿宋_GB2312" w:cs="仿宋_GB2312"/>
          <w:color w:val="000000"/>
          <w:sz w:val="32"/>
          <w:szCs w:val="32"/>
        </w:rPr>
        <w:t>局党组</w:t>
      </w:r>
      <w:r>
        <w:rPr>
          <w:rFonts w:hint="eastAsia" w:ascii="仿宋_GB2312" w:hAnsi="仿宋_GB2312" w:eastAsia="仿宋_GB2312" w:cs="仿宋_GB2312"/>
          <w:color w:val="000000"/>
          <w:sz w:val="32"/>
          <w:szCs w:val="32"/>
          <w:lang w:val="en-US" w:eastAsia="zh-CN"/>
        </w:rPr>
        <w:t>开展了一次《以案说法之政府信息公开条例》的法律学习，此《条例》是以习近平同志为核心的党中央为建设法治政府的一项重要举措，目的是提高政府工作的透明性、保障人民群众依法获取政府信息的权利、充分发挥政府信息对人民群众在生产、生活和经济发展上的服务作用。</w:t>
      </w:r>
      <w:r>
        <w:rPr>
          <w:rFonts w:hint="eastAsia" w:ascii="仿宋_GB2312" w:hAnsi="仿宋_GB2312" w:eastAsia="仿宋_GB2312" w:cs="仿宋_GB2312"/>
          <w:color w:val="000000"/>
          <w:sz w:val="32"/>
          <w:szCs w:val="32"/>
          <w:lang w:eastAsia="zh-CN"/>
        </w:rPr>
        <w:t>下半年，</w:t>
      </w:r>
      <w:r>
        <w:rPr>
          <w:rFonts w:hint="eastAsia" w:ascii="仿宋_GB2312" w:hAnsi="仿宋_GB2312" w:eastAsia="仿宋_GB2312" w:cs="仿宋_GB2312"/>
          <w:color w:val="000000"/>
          <w:sz w:val="32"/>
          <w:szCs w:val="32"/>
        </w:rPr>
        <w:t>开展了一次局党组的</w:t>
      </w:r>
      <w:r>
        <w:rPr>
          <w:rFonts w:hint="eastAsia" w:ascii="仿宋_GB2312" w:hAnsi="仿宋_GB2312" w:eastAsia="仿宋_GB2312" w:cs="仿宋_GB2312"/>
          <w:i w:val="0"/>
          <w:caps w:val="0"/>
          <w:color w:val="191919"/>
          <w:spacing w:val="0"/>
          <w:kern w:val="0"/>
          <w:sz w:val="32"/>
          <w:szCs w:val="32"/>
          <w:shd w:val="clear" w:color="auto" w:fill="FFFFFF"/>
          <w:lang w:val="en-US" w:eastAsia="zh-CN" w:bidi="ar"/>
        </w:rPr>
        <w:t>宪法修正案学习。学习会上指出，宪法是国家的根本法，是治国安邦的总章程，学习好、宣传好、贯彻好宪法，是党中央赋予的重大政治任务，也是加强意识形态管理、助推法治建设、推动我局各项工作高质量发展的内在需要；结合专题学习，我局领导干部要不断强化学法用法意识，做到“三个坚持”：一是坚持把学习宪法放在首位，树立忠于宪法、遵守宪法、维护宪法的自觉意识；二是坚持发挥带头模范作用，抓好“关键少数”，辐射“广大多数”，进一步树立领导干部法治理念，增强依法行政意识，带动了我局干部队伍学法、用法、依法履职的积极性。</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仿宋_GB2312" w:hAnsi="Calibri" w:eastAsia="仿宋_GB2312" w:cs="Times New Roman"/>
          <w:b/>
          <w:color w:val="000000"/>
          <w:sz w:val="32"/>
          <w:szCs w:val="32"/>
        </w:rPr>
      </w:pPr>
      <w:r>
        <w:rPr>
          <w:rFonts w:hint="eastAsia" w:ascii="仿宋_GB2312" w:hAnsi="Calibri" w:eastAsia="仿宋_GB2312" w:cs="Times New Roman"/>
          <w:b/>
          <w:color w:val="000000"/>
          <w:sz w:val="32"/>
          <w:szCs w:val="32"/>
        </w:rPr>
        <w:t>三、存在问题和原因</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依法行政水平有待进一步提高。目前，我们需要进一步优化行政服务体系，研究措施，提高服务水平。法制工作要求越来越严格，对执法装备有更高的要求，工作内容越来越专业，需要执法人员增强法律意识，提高执法水平。</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ascii="宋体" w:hAnsi="宋体" w:cs="Times New Roman"/>
          <w:b/>
          <w:color w:val="000000"/>
          <w:sz w:val="32"/>
          <w:szCs w:val="32"/>
        </w:rPr>
      </w:pPr>
      <w:r>
        <w:rPr>
          <w:rFonts w:hint="eastAsia" w:ascii="宋体" w:hAnsi="宋体" w:cs="Times New Roman"/>
          <w:b/>
          <w:color w:val="000000"/>
          <w:sz w:val="32"/>
          <w:szCs w:val="32"/>
        </w:rPr>
        <w:t>四、202</w:t>
      </w:r>
      <w:r>
        <w:rPr>
          <w:rFonts w:hint="eastAsia" w:ascii="宋体" w:hAnsi="宋体" w:cs="Times New Roman"/>
          <w:b/>
          <w:color w:val="000000"/>
          <w:sz w:val="32"/>
          <w:szCs w:val="32"/>
          <w:lang w:val="en-US" w:eastAsia="zh-CN"/>
        </w:rPr>
        <w:t>3</w:t>
      </w:r>
      <w:r>
        <w:rPr>
          <w:rFonts w:hint="eastAsia" w:ascii="宋体" w:hAnsi="宋体" w:cs="Times New Roman"/>
          <w:b/>
          <w:color w:val="000000"/>
          <w:sz w:val="32"/>
          <w:szCs w:val="32"/>
        </w:rPr>
        <w:t>年工作思路</w:t>
      </w:r>
    </w:p>
    <w:p>
      <w:pPr>
        <w:keepNext w:val="0"/>
        <w:keepLines w:val="0"/>
        <w:pageBreakBefore w:val="0"/>
        <w:kinsoku/>
        <w:wordWrap/>
        <w:overflowPunct/>
        <w:topLinePunct w:val="0"/>
        <w:autoSpaceDE/>
        <w:bidi w:val="0"/>
        <w:adjustRightInd/>
        <w:snapToGrid/>
        <w:spacing w:line="480" w:lineRule="exact"/>
        <w:ind w:firstLine="643" w:firstLineChars="200"/>
        <w:textAlignment w:val="auto"/>
        <w:rPr>
          <w:rFonts w:hint="eastAsia" w:ascii="仿宋_GB2312" w:hAnsi="Calibri" w:eastAsia="仿宋_GB2312" w:cs="Times New Roman"/>
          <w:b/>
          <w:color w:val="000000"/>
          <w:sz w:val="32"/>
          <w:szCs w:val="32"/>
          <w:lang w:val="en-US" w:eastAsia="zh-CN"/>
        </w:rPr>
      </w:pPr>
      <w:r>
        <w:rPr>
          <w:rFonts w:hint="eastAsia" w:ascii="仿宋_GB2312" w:hAnsi="Calibri" w:eastAsia="仿宋_GB2312" w:cs="Times New Roman"/>
          <w:b/>
          <w:color w:val="000000"/>
          <w:sz w:val="32"/>
          <w:szCs w:val="32"/>
          <w:lang w:val="en-US" w:eastAsia="zh-CN"/>
        </w:rPr>
        <w:t>（一）深入学习宣传贯彻习近平法治思想</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hint="eastAsia" w:ascii="仿宋_GB2312" w:hAnsi="Calibri" w:eastAsia="仿宋_GB2312" w:cs="Times New Roman"/>
          <w:b/>
          <w:color w:val="000000"/>
          <w:sz w:val="32"/>
          <w:szCs w:val="32"/>
          <w:lang w:val="en-US" w:eastAsia="zh-CN"/>
        </w:rPr>
      </w:pPr>
      <w:r>
        <w:rPr>
          <w:rFonts w:hint="eastAsia" w:ascii="仿宋_GB2312" w:hAnsi="Calibri" w:eastAsia="仿宋_GB2312" w:cs="Times New Roman"/>
          <w:color w:val="000000"/>
          <w:sz w:val="32"/>
          <w:szCs w:val="32"/>
          <w:lang w:val="en-US" w:eastAsia="zh-CN"/>
        </w:rPr>
        <w:t>全面系统准确领会习近平法治思想的重大意义、科学内涵和实践要求，切实担负深化贯彻落实的重大政治责任，认真履职尽责，主动担当作为，扎实推进法治政府建设，切实把习近平法治思想转化为柳州工信法治建设的生动实践。</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ascii="仿宋_GB2312" w:hAnsi="Calibri" w:eastAsia="仿宋_GB2312" w:cs="Times New Roman"/>
          <w:b/>
          <w:color w:val="000000"/>
          <w:sz w:val="32"/>
          <w:szCs w:val="32"/>
        </w:rPr>
      </w:pPr>
      <w:r>
        <w:rPr>
          <w:rFonts w:hint="eastAsia" w:ascii="仿宋_GB2312" w:hAnsi="Calibri" w:eastAsia="仿宋_GB2312" w:cs="Times New Roman"/>
          <w:color w:val="000000"/>
          <w:sz w:val="32"/>
          <w:szCs w:val="32"/>
        </w:rPr>
        <w:t>（二）</w:t>
      </w:r>
      <w:r>
        <w:rPr>
          <w:rFonts w:hint="eastAsia" w:ascii="仿宋_GB2312" w:hAnsi="Calibri" w:eastAsia="仿宋_GB2312" w:cs="Times New Roman"/>
          <w:b/>
          <w:color w:val="000000"/>
          <w:sz w:val="32"/>
          <w:szCs w:val="32"/>
        </w:rPr>
        <w:t>深入推进依法行政、加快法治单位建设</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按照《法治政府建设纲要》、年度依法行政工作要点规定的各项工作任务。完善依法行政工作机制，明确各程序的责任主体、承办机构、内容、期限等要求，确保决策制定科学、程序正当、过程公开、责任明确。</w:t>
      </w:r>
    </w:p>
    <w:p>
      <w:pPr>
        <w:keepNext w:val="0"/>
        <w:keepLines w:val="0"/>
        <w:pageBreakBefore w:val="0"/>
        <w:kinsoku/>
        <w:wordWrap/>
        <w:overflowPunct/>
        <w:topLinePunct w:val="0"/>
        <w:autoSpaceDE/>
        <w:bidi w:val="0"/>
        <w:adjustRightInd/>
        <w:snapToGrid/>
        <w:spacing w:line="480" w:lineRule="exact"/>
        <w:ind w:firstLine="640" w:firstLineChars="200"/>
        <w:textAlignment w:val="auto"/>
        <w:rPr>
          <w:rFonts w:ascii="仿宋_GB2312" w:hAnsi="Calibri" w:eastAsia="仿宋_GB2312" w:cs="Times New Roman"/>
          <w:color w:val="000000"/>
          <w:sz w:val="32"/>
          <w:szCs w:val="32"/>
        </w:rPr>
      </w:pPr>
      <w:r>
        <w:rPr>
          <w:rFonts w:ascii="仿宋_GB2312" w:hAnsi="Calibri" w:eastAsia="仿宋_GB2312" w:cs="Times New Roman"/>
          <w:color w:val="000000"/>
          <w:sz w:val="32"/>
          <w:szCs w:val="32"/>
        </w:rPr>
        <w:t>实行规范性文件“三统一”制度，加强规范性文件管理，严格规范性文件制发程序，强化规范性文件监督管理，规范行政机关依法行使职权，从源头上预防和减少行政争议，保护公民、法人和其他组织合法权益，维护法制统一和促进政令畅通，推进依法行政、建设法治政府，提高政府公信力和执行力。</w:t>
      </w:r>
    </w:p>
    <w:p>
      <w:pPr>
        <w:pStyle w:val="10"/>
        <w:keepNext w:val="0"/>
        <w:keepLines w:val="0"/>
        <w:pageBreakBefore w:val="0"/>
        <w:kinsoku/>
        <w:wordWrap/>
        <w:overflowPunct/>
        <w:topLinePunct w:val="0"/>
        <w:autoSpaceDE/>
        <w:bidi w:val="0"/>
        <w:adjustRightInd/>
        <w:snapToGrid/>
        <w:spacing w:line="52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0"/>
        <w:keepNext w:val="0"/>
        <w:keepLines w:val="0"/>
        <w:pageBreakBefore w:val="0"/>
        <w:kinsoku/>
        <w:wordWrap/>
        <w:overflowPunct/>
        <w:topLinePunct w:val="0"/>
        <w:autoSpaceDE/>
        <w:bidi w:val="0"/>
        <w:adjustRightInd/>
        <w:snapToGrid/>
        <w:spacing w:line="520" w:lineRule="exact"/>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C47A24-253C-46B0-B1B8-97455BE8E73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04D41D-D6D8-4333-85C5-2911F48A6721}"/>
  </w:font>
  <w:font w:name="方正小标宋_GBK">
    <w:panose1 w:val="02000000000000000000"/>
    <w:charset w:val="86"/>
    <w:family w:val="script"/>
    <w:pitch w:val="default"/>
    <w:sig w:usb0="A00002BF" w:usb1="38CF7CFA" w:usb2="00082016" w:usb3="00000000" w:csb0="00040001" w:csb1="00000000"/>
    <w:embedRegular r:id="rId3" w:fontKey="{A186F015-88BF-4392-8D72-6FF0233F7479}"/>
  </w:font>
  <w:font w:name="仿宋_GB2312">
    <w:panose1 w:val="02010609030101010101"/>
    <w:charset w:val="86"/>
    <w:family w:val="modern"/>
    <w:pitch w:val="default"/>
    <w:sig w:usb0="00000001" w:usb1="080E0000" w:usb2="00000000" w:usb3="00000000" w:csb0="00040000" w:csb1="00000000"/>
    <w:embedRegular r:id="rId4" w:fontKey="{CF4545CD-A30E-4343-BBBC-DA23A27FD420}"/>
  </w:font>
  <w:font w:name="仿宋">
    <w:panose1 w:val="02010609060101010101"/>
    <w:charset w:val="86"/>
    <w:family w:val="modern"/>
    <w:pitch w:val="default"/>
    <w:sig w:usb0="800002BF" w:usb1="38CF7CFA" w:usb2="00000016" w:usb3="00000000" w:csb0="00040001" w:csb1="00000000"/>
    <w:embedRegular r:id="rId5" w:fontKey="{F9B0B439-A506-4CC5-8348-722C9998922B}"/>
  </w:font>
  <w:font w:name="ˎ̥">
    <w:altName w:val="Times New Roman"/>
    <w:panose1 w:val="00000000000000000000"/>
    <w:charset w:val="00"/>
    <w:family w:val="roman"/>
    <w:pitch w:val="default"/>
    <w:sig w:usb0="00000000" w:usb1="00000000" w:usb2="00000000" w:usb3="00000000" w:csb0="00000000" w:csb1="00000000"/>
    <w:embedRegular r:id="rId6" w:fontKey="{2F3BFF82-10F4-461F-93BD-33DB520FFA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65936"/>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hYTI3YzZjOTVhNzA4NWM4NTc1NjRlYzRjZThlMDkifQ=="/>
  </w:docVars>
  <w:rsids>
    <w:rsidRoot w:val="00C633D1"/>
    <w:rsid w:val="00001781"/>
    <w:rsid w:val="00010A3E"/>
    <w:rsid w:val="00012B39"/>
    <w:rsid w:val="00013E1E"/>
    <w:rsid w:val="0002583E"/>
    <w:rsid w:val="0004115C"/>
    <w:rsid w:val="000437F2"/>
    <w:rsid w:val="00045F4B"/>
    <w:rsid w:val="00047696"/>
    <w:rsid w:val="0006641F"/>
    <w:rsid w:val="000700D1"/>
    <w:rsid w:val="0007226C"/>
    <w:rsid w:val="00075DD9"/>
    <w:rsid w:val="00093E2A"/>
    <w:rsid w:val="000B0E9D"/>
    <w:rsid w:val="000B2159"/>
    <w:rsid w:val="000B7618"/>
    <w:rsid w:val="000C22F4"/>
    <w:rsid w:val="000C7492"/>
    <w:rsid w:val="000D2F81"/>
    <w:rsid w:val="000D40F2"/>
    <w:rsid w:val="000D42D5"/>
    <w:rsid w:val="000D6E91"/>
    <w:rsid w:val="000F164A"/>
    <w:rsid w:val="000F2DBB"/>
    <w:rsid w:val="000F3055"/>
    <w:rsid w:val="000F54D0"/>
    <w:rsid w:val="00102435"/>
    <w:rsid w:val="00107287"/>
    <w:rsid w:val="00115F1E"/>
    <w:rsid w:val="001173A2"/>
    <w:rsid w:val="00117F92"/>
    <w:rsid w:val="00120BC2"/>
    <w:rsid w:val="00133E91"/>
    <w:rsid w:val="0015388C"/>
    <w:rsid w:val="001575F6"/>
    <w:rsid w:val="00164460"/>
    <w:rsid w:val="00176B71"/>
    <w:rsid w:val="00182AE4"/>
    <w:rsid w:val="0018550A"/>
    <w:rsid w:val="00186FA0"/>
    <w:rsid w:val="00187274"/>
    <w:rsid w:val="00187B6F"/>
    <w:rsid w:val="00193CC3"/>
    <w:rsid w:val="00197937"/>
    <w:rsid w:val="001A316E"/>
    <w:rsid w:val="001A79DD"/>
    <w:rsid w:val="001B0743"/>
    <w:rsid w:val="001B2FA3"/>
    <w:rsid w:val="001B50C5"/>
    <w:rsid w:val="001B5901"/>
    <w:rsid w:val="001C2CD0"/>
    <w:rsid w:val="001D18F7"/>
    <w:rsid w:val="001D63D9"/>
    <w:rsid w:val="001F18FF"/>
    <w:rsid w:val="001F2D48"/>
    <w:rsid w:val="00210E89"/>
    <w:rsid w:val="002306BD"/>
    <w:rsid w:val="00231DE9"/>
    <w:rsid w:val="002404EB"/>
    <w:rsid w:val="00252F1D"/>
    <w:rsid w:val="002667F1"/>
    <w:rsid w:val="00282F15"/>
    <w:rsid w:val="00283B67"/>
    <w:rsid w:val="00284608"/>
    <w:rsid w:val="00294EF6"/>
    <w:rsid w:val="002A5E71"/>
    <w:rsid w:val="002C7B82"/>
    <w:rsid w:val="002E2849"/>
    <w:rsid w:val="002E6C8C"/>
    <w:rsid w:val="002E77FA"/>
    <w:rsid w:val="00300CAE"/>
    <w:rsid w:val="00303F43"/>
    <w:rsid w:val="00306075"/>
    <w:rsid w:val="00313601"/>
    <w:rsid w:val="003209AA"/>
    <w:rsid w:val="003219D3"/>
    <w:rsid w:val="00346346"/>
    <w:rsid w:val="00350D48"/>
    <w:rsid w:val="00354657"/>
    <w:rsid w:val="00354CA1"/>
    <w:rsid w:val="00360802"/>
    <w:rsid w:val="00362B17"/>
    <w:rsid w:val="00365B23"/>
    <w:rsid w:val="00373949"/>
    <w:rsid w:val="00375BC4"/>
    <w:rsid w:val="00392528"/>
    <w:rsid w:val="00393458"/>
    <w:rsid w:val="003A11DB"/>
    <w:rsid w:val="003A17F7"/>
    <w:rsid w:val="003A2A7F"/>
    <w:rsid w:val="003B1ED4"/>
    <w:rsid w:val="003B601B"/>
    <w:rsid w:val="003B764A"/>
    <w:rsid w:val="003D10C6"/>
    <w:rsid w:val="003D51EB"/>
    <w:rsid w:val="003E542C"/>
    <w:rsid w:val="003E7DE0"/>
    <w:rsid w:val="003F21AB"/>
    <w:rsid w:val="003F4000"/>
    <w:rsid w:val="003F7D21"/>
    <w:rsid w:val="004131C0"/>
    <w:rsid w:val="004264E3"/>
    <w:rsid w:val="004322FB"/>
    <w:rsid w:val="004349E2"/>
    <w:rsid w:val="00441DA9"/>
    <w:rsid w:val="00442550"/>
    <w:rsid w:val="0044795C"/>
    <w:rsid w:val="00451BE8"/>
    <w:rsid w:val="004562DF"/>
    <w:rsid w:val="00464C36"/>
    <w:rsid w:val="00474791"/>
    <w:rsid w:val="00477118"/>
    <w:rsid w:val="00485B24"/>
    <w:rsid w:val="00494CFE"/>
    <w:rsid w:val="004B40A5"/>
    <w:rsid w:val="004B5BE0"/>
    <w:rsid w:val="004C1989"/>
    <w:rsid w:val="004D1B30"/>
    <w:rsid w:val="004D3D5E"/>
    <w:rsid w:val="004D4026"/>
    <w:rsid w:val="004D4DFA"/>
    <w:rsid w:val="004D65DE"/>
    <w:rsid w:val="004E1080"/>
    <w:rsid w:val="004E4E02"/>
    <w:rsid w:val="004E52DD"/>
    <w:rsid w:val="004F5848"/>
    <w:rsid w:val="004F6E9F"/>
    <w:rsid w:val="004F7254"/>
    <w:rsid w:val="004F78CA"/>
    <w:rsid w:val="00510CC2"/>
    <w:rsid w:val="005227E5"/>
    <w:rsid w:val="00527945"/>
    <w:rsid w:val="005321C8"/>
    <w:rsid w:val="00533372"/>
    <w:rsid w:val="00534F9D"/>
    <w:rsid w:val="0054038D"/>
    <w:rsid w:val="00544D11"/>
    <w:rsid w:val="00546536"/>
    <w:rsid w:val="00550E57"/>
    <w:rsid w:val="00551F81"/>
    <w:rsid w:val="00555E7A"/>
    <w:rsid w:val="005727F3"/>
    <w:rsid w:val="00577160"/>
    <w:rsid w:val="00581325"/>
    <w:rsid w:val="0059554E"/>
    <w:rsid w:val="00595BC5"/>
    <w:rsid w:val="005C17EE"/>
    <w:rsid w:val="005C78D6"/>
    <w:rsid w:val="005D44F5"/>
    <w:rsid w:val="005D5F17"/>
    <w:rsid w:val="005E1832"/>
    <w:rsid w:val="005F5C52"/>
    <w:rsid w:val="006013E6"/>
    <w:rsid w:val="00615FC2"/>
    <w:rsid w:val="00616526"/>
    <w:rsid w:val="006165E3"/>
    <w:rsid w:val="0063790C"/>
    <w:rsid w:val="00641D10"/>
    <w:rsid w:val="00646CCD"/>
    <w:rsid w:val="00651C9B"/>
    <w:rsid w:val="00657E24"/>
    <w:rsid w:val="00660851"/>
    <w:rsid w:val="00661723"/>
    <w:rsid w:val="00664529"/>
    <w:rsid w:val="00665E25"/>
    <w:rsid w:val="0067449A"/>
    <w:rsid w:val="00685DCA"/>
    <w:rsid w:val="006964CB"/>
    <w:rsid w:val="00697A15"/>
    <w:rsid w:val="006A0D2B"/>
    <w:rsid w:val="006A12D7"/>
    <w:rsid w:val="006A6C84"/>
    <w:rsid w:val="006A72DD"/>
    <w:rsid w:val="006B1C4E"/>
    <w:rsid w:val="006D3B7D"/>
    <w:rsid w:val="006E6E80"/>
    <w:rsid w:val="006F12A8"/>
    <w:rsid w:val="006F5FCC"/>
    <w:rsid w:val="00704786"/>
    <w:rsid w:val="0070499F"/>
    <w:rsid w:val="00720F4C"/>
    <w:rsid w:val="00742123"/>
    <w:rsid w:val="0075113B"/>
    <w:rsid w:val="00761D36"/>
    <w:rsid w:val="007629A9"/>
    <w:rsid w:val="007836DB"/>
    <w:rsid w:val="007A04A0"/>
    <w:rsid w:val="007A13DA"/>
    <w:rsid w:val="007A2816"/>
    <w:rsid w:val="007A312C"/>
    <w:rsid w:val="007C174B"/>
    <w:rsid w:val="007C1D6F"/>
    <w:rsid w:val="007C23C7"/>
    <w:rsid w:val="007E1433"/>
    <w:rsid w:val="007F383E"/>
    <w:rsid w:val="007F5080"/>
    <w:rsid w:val="007F6A2A"/>
    <w:rsid w:val="007F6C82"/>
    <w:rsid w:val="00800002"/>
    <w:rsid w:val="00834B85"/>
    <w:rsid w:val="008434D6"/>
    <w:rsid w:val="00844105"/>
    <w:rsid w:val="008471DF"/>
    <w:rsid w:val="00855693"/>
    <w:rsid w:val="0088027B"/>
    <w:rsid w:val="00882FE7"/>
    <w:rsid w:val="008A6C20"/>
    <w:rsid w:val="008B01D1"/>
    <w:rsid w:val="008C17E5"/>
    <w:rsid w:val="008C6275"/>
    <w:rsid w:val="008D2481"/>
    <w:rsid w:val="008D6222"/>
    <w:rsid w:val="008E0DFE"/>
    <w:rsid w:val="008E2C5B"/>
    <w:rsid w:val="008E4702"/>
    <w:rsid w:val="009033F8"/>
    <w:rsid w:val="0091217E"/>
    <w:rsid w:val="0091223A"/>
    <w:rsid w:val="00922F3E"/>
    <w:rsid w:val="00925492"/>
    <w:rsid w:val="0092707C"/>
    <w:rsid w:val="00931F6D"/>
    <w:rsid w:val="00934FB7"/>
    <w:rsid w:val="00943885"/>
    <w:rsid w:val="00945CE8"/>
    <w:rsid w:val="0095629B"/>
    <w:rsid w:val="0096080F"/>
    <w:rsid w:val="00960E88"/>
    <w:rsid w:val="00963E0A"/>
    <w:rsid w:val="00967D2F"/>
    <w:rsid w:val="00973DCC"/>
    <w:rsid w:val="00980EC8"/>
    <w:rsid w:val="009934C8"/>
    <w:rsid w:val="00995E0D"/>
    <w:rsid w:val="009B3DFA"/>
    <w:rsid w:val="009C20FA"/>
    <w:rsid w:val="009C25A3"/>
    <w:rsid w:val="009C57AE"/>
    <w:rsid w:val="009D1B01"/>
    <w:rsid w:val="009D2DA3"/>
    <w:rsid w:val="009D3570"/>
    <w:rsid w:val="009D5242"/>
    <w:rsid w:val="009D6CAF"/>
    <w:rsid w:val="009D6DD2"/>
    <w:rsid w:val="009E2854"/>
    <w:rsid w:val="009E5D78"/>
    <w:rsid w:val="00A05690"/>
    <w:rsid w:val="00A11C4D"/>
    <w:rsid w:val="00A14A0F"/>
    <w:rsid w:val="00A2514B"/>
    <w:rsid w:val="00A31A6B"/>
    <w:rsid w:val="00A31B91"/>
    <w:rsid w:val="00A34576"/>
    <w:rsid w:val="00A53DCC"/>
    <w:rsid w:val="00A671F0"/>
    <w:rsid w:val="00A760EC"/>
    <w:rsid w:val="00A9026F"/>
    <w:rsid w:val="00A96578"/>
    <w:rsid w:val="00AB2A51"/>
    <w:rsid w:val="00AC57E7"/>
    <w:rsid w:val="00AD3CFD"/>
    <w:rsid w:val="00AD5048"/>
    <w:rsid w:val="00B04AF7"/>
    <w:rsid w:val="00B107C3"/>
    <w:rsid w:val="00B12417"/>
    <w:rsid w:val="00B234D5"/>
    <w:rsid w:val="00B26862"/>
    <w:rsid w:val="00B26B66"/>
    <w:rsid w:val="00B332B8"/>
    <w:rsid w:val="00B450D0"/>
    <w:rsid w:val="00B518F7"/>
    <w:rsid w:val="00B56A97"/>
    <w:rsid w:val="00B67F08"/>
    <w:rsid w:val="00B710D3"/>
    <w:rsid w:val="00B8542A"/>
    <w:rsid w:val="00BB0575"/>
    <w:rsid w:val="00BD365C"/>
    <w:rsid w:val="00BD4BC9"/>
    <w:rsid w:val="00C00144"/>
    <w:rsid w:val="00C12453"/>
    <w:rsid w:val="00C14323"/>
    <w:rsid w:val="00C243A8"/>
    <w:rsid w:val="00C33FB7"/>
    <w:rsid w:val="00C363A9"/>
    <w:rsid w:val="00C43C6F"/>
    <w:rsid w:val="00C44EF6"/>
    <w:rsid w:val="00C5505A"/>
    <w:rsid w:val="00C633D1"/>
    <w:rsid w:val="00C7045C"/>
    <w:rsid w:val="00C913DB"/>
    <w:rsid w:val="00C96C8E"/>
    <w:rsid w:val="00CA401B"/>
    <w:rsid w:val="00CA45D6"/>
    <w:rsid w:val="00CA4D89"/>
    <w:rsid w:val="00CB3E54"/>
    <w:rsid w:val="00CD11B6"/>
    <w:rsid w:val="00CD4631"/>
    <w:rsid w:val="00CD7267"/>
    <w:rsid w:val="00CE561D"/>
    <w:rsid w:val="00CF0147"/>
    <w:rsid w:val="00CF2EE9"/>
    <w:rsid w:val="00CF575A"/>
    <w:rsid w:val="00CF67ED"/>
    <w:rsid w:val="00CF67F5"/>
    <w:rsid w:val="00D079BA"/>
    <w:rsid w:val="00D262F6"/>
    <w:rsid w:val="00D37A95"/>
    <w:rsid w:val="00D4014E"/>
    <w:rsid w:val="00D4661D"/>
    <w:rsid w:val="00D509CE"/>
    <w:rsid w:val="00D62835"/>
    <w:rsid w:val="00D628D7"/>
    <w:rsid w:val="00D663CD"/>
    <w:rsid w:val="00D72306"/>
    <w:rsid w:val="00D86245"/>
    <w:rsid w:val="00D864E8"/>
    <w:rsid w:val="00D9200D"/>
    <w:rsid w:val="00D96EF7"/>
    <w:rsid w:val="00D975D6"/>
    <w:rsid w:val="00DA036D"/>
    <w:rsid w:val="00DB1237"/>
    <w:rsid w:val="00DB2406"/>
    <w:rsid w:val="00DC7C39"/>
    <w:rsid w:val="00DE3CC0"/>
    <w:rsid w:val="00DF5450"/>
    <w:rsid w:val="00E022DD"/>
    <w:rsid w:val="00E02C24"/>
    <w:rsid w:val="00E054A9"/>
    <w:rsid w:val="00E05723"/>
    <w:rsid w:val="00E22490"/>
    <w:rsid w:val="00E32A1D"/>
    <w:rsid w:val="00E33283"/>
    <w:rsid w:val="00E35152"/>
    <w:rsid w:val="00E521F7"/>
    <w:rsid w:val="00E551AA"/>
    <w:rsid w:val="00E608EA"/>
    <w:rsid w:val="00E62754"/>
    <w:rsid w:val="00E8394E"/>
    <w:rsid w:val="00E853F9"/>
    <w:rsid w:val="00E9645C"/>
    <w:rsid w:val="00EA2248"/>
    <w:rsid w:val="00EA2713"/>
    <w:rsid w:val="00EA7518"/>
    <w:rsid w:val="00EC2110"/>
    <w:rsid w:val="00EC49C6"/>
    <w:rsid w:val="00ED1B8C"/>
    <w:rsid w:val="00ED4F24"/>
    <w:rsid w:val="00EE3C84"/>
    <w:rsid w:val="00EE5986"/>
    <w:rsid w:val="00EF13AC"/>
    <w:rsid w:val="00EF257D"/>
    <w:rsid w:val="00EF6E14"/>
    <w:rsid w:val="00EF6FDD"/>
    <w:rsid w:val="00F03DFD"/>
    <w:rsid w:val="00F51948"/>
    <w:rsid w:val="00F71F4E"/>
    <w:rsid w:val="00F8278B"/>
    <w:rsid w:val="00F84BA7"/>
    <w:rsid w:val="00F85020"/>
    <w:rsid w:val="00F8583F"/>
    <w:rsid w:val="00F95531"/>
    <w:rsid w:val="00F95DBA"/>
    <w:rsid w:val="00FA1279"/>
    <w:rsid w:val="00FA385A"/>
    <w:rsid w:val="00FA54FA"/>
    <w:rsid w:val="00FA6103"/>
    <w:rsid w:val="00FB6C29"/>
    <w:rsid w:val="00FC24B8"/>
    <w:rsid w:val="00FC3210"/>
    <w:rsid w:val="00FC3AF3"/>
    <w:rsid w:val="00FD06EB"/>
    <w:rsid w:val="00FD5A94"/>
    <w:rsid w:val="00FE680F"/>
    <w:rsid w:val="013A56E2"/>
    <w:rsid w:val="01882873"/>
    <w:rsid w:val="020166AB"/>
    <w:rsid w:val="021775A9"/>
    <w:rsid w:val="0247603B"/>
    <w:rsid w:val="02AA12C9"/>
    <w:rsid w:val="03233CC5"/>
    <w:rsid w:val="037D70DD"/>
    <w:rsid w:val="03C81A2F"/>
    <w:rsid w:val="03DE573C"/>
    <w:rsid w:val="04461F09"/>
    <w:rsid w:val="05AF31E4"/>
    <w:rsid w:val="05B02F4B"/>
    <w:rsid w:val="064377B6"/>
    <w:rsid w:val="06B424C4"/>
    <w:rsid w:val="0735486C"/>
    <w:rsid w:val="07B13E62"/>
    <w:rsid w:val="089258E7"/>
    <w:rsid w:val="08EA7316"/>
    <w:rsid w:val="09061E5E"/>
    <w:rsid w:val="09EB630E"/>
    <w:rsid w:val="0AE178B4"/>
    <w:rsid w:val="0B125CF6"/>
    <w:rsid w:val="0BE66190"/>
    <w:rsid w:val="0C717BD8"/>
    <w:rsid w:val="0CB83A14"/>
    <w:rsid w:val="0CCC669D"/>
    <w:rsid w:val="0E1C4634"/>
    <w:rsid w:val="0E5E2D3A"/>
    <w:rsid w:val="0EA83DE3"/>
    <w:rsid w:val="0EAD1C9C"/>
    <w:rsid w:val="0EBD1A03"/>
    <w:rsid w:val="0EE9445E"/>
    <w:rsid w:val="0EED0D0E"/>
    <w:rsid w:val="0EF97BE9"/>
    <w:rsid w:val="0F9E383C"/>
    <w:rsid w:val="0FA45EA5"/>
    <w:rsid w:val="0FC145C0"/>
    <w:rsid w:val="108F5238"/>
    <w:rsid w:val="10CF64CB"/>
    <w:rsid w:val="117858BA"/>
    <w:rsid w:val="11810DA2"/>
    <w:rsid w:val="13394931"/>
    <w:rsid w:val="13A25D48"/>
    <w:rsid w:val="13D644AE"/>
    <w:rsid w:val="149605EF"/>
    <w:rsid w:val="14A75FF6"/>
    <w:rsid w:val="15461CDA"/>
    <w:rsid w:val="15681715"/>
    <w:rsid w:val="16310E0D"/>
    <w:rsid w:val="17034ABF"/>
    <w:rsid w:val="17CE78DD"/>
    <w:rsid w:val="18D259B6"/>
    <w:rsid w:val="18E02D4F"/>
    <w:rsid w:val="195B2CA9"/>
    <w:rsid w:val="199B2A5E"/>
    <w:rsid w:val="1A042225"/>
    <w:rsid w:val="1A4D1F20"/>
    <w:rsid w:val="1AEB6AB6"/>
    <w:rsid w:val="1C9E7829"/>
    <w:rsid w:val="1CD46A18"/>
    <w:rsid w:val="1D503631"/>
    <w:rsid w:val="1D8D7FE5"/>
    <w:rsid w:val="1DD5177B"/>
    <w:rsid w:val="1E8D6B18"/>
    <w:rsid w:val="1E9F555E"/>
    <w:rsid w:val="1F0A6897"/>
    <w:rsid w:val="1F571760"/>
    <w:rsid w:val="1F596A89"/>
    <w:rsid w:val="1F6F2F20"/>
    <w:rsid w:val="1F8715E4"/>
    <w:rsid w:val="206B2886"/>
    <w:rsid w:val="207B0851"/>
    <w:rsid w:val="2089302F"/>
    <w:rsid w:val="211D7942"/>
    <w:rsid w:val="212A3D0F"/>
    <w:rsid w:val="219E20B0"/>
    <w:rsid w:val="21A60A1E"/>
    <w:rsid w:val="22D94865"/>
    <w:rsid w:val="235C2517"/>
    <w:rsid w:val="247A70F7"/>
    <w:rsid w:val="25550C6C"/>
    <w:rsid w:val="26F96BB1"/>
    <w:rsid w:val="277D66C8"/>
    <w:rsid w:val="28C0394B"/>
    <w:rsid w:val="29842C01"/>
    <w:rsid w:val="29C86522"/>
    <w:rsid w:val="2A173CBD"/>
    <w:rsid w:val="2A311367"/>
    <w:rsid w:val="2A3B08D7"/>
    <w:rsid w:val="2AA36A6E"/>
    <w:rsid w:val="2AE22B71"/>
    <w:rsid w:val="2BB024DC"/>
    <w:rsid w:val="2BCF69F8"/>
    <w:rsid w:val="2C293300"/>
    <w:rsid w:val="2C374701"/>
    <w:rsid w:val="2C5138C2"/>
    <w:rsid w:val="2C7A70EB"/>
    <w:rsid w:val="2C824D44"/>
    <w:rsid w:val="2CB42168"/>
    <w:rsid w:val="2CEF5165"/>
    <w:rsid w:val="2D035767"/>
    <w:rsid w:val="2D29018C"/>
    <w:rsid w:val="2DF32F7C"/>
    <w:rsid w:val="2E795803"/>
    <w:rsid w:val="2E7B1761"/>
    <w:rsid w:val="2E8536FF"/>
    <w:rsid w:val="2EFDDD75"/>
    <w:rsid w:val="2F4F47BF"/>
    <w:rsid w:val="2FE74BA2"/>
    <w:rsid w:val="300B11FD"/>
    <w:rsid w:val="304E2E6D"/>
    <w:rsid w:val="311C4FF1"/>
    <w:rsid w:val="3125714D"/>
    <w:rsid w:val="31C403F5"/>
    <w:rsid w:val="31C4299E"/>
    <w:rsid w:val="32442581"/>
    <w:rsid w:val="32A323DE"/>
    <w:rsid w:val="32E73C7E"/>
    <w:rsid w:val="33386C99"/>
    <w:rsid w:val="33793BB4"/>
    <w:rsid w:val="34215FDC"/>
    <w:rsid w:val="34334C72"/>
    <w:rsid w:val="3519629B"/>
    <w:rsid w:val="355D574F"/>
    <w:rsid w:val="357F5EB5"/>
    <w:rsid w:val="35950082"/>
    <w:rsid w:val="35A25F33"/>
    <w:rsid w:val="35B27FA2"/>
    <w:rsid w:val="35DD058A"/>
    <w:rsid w:val="35DF705E"/>
    <w:rsid w:val="37424F2C"/>
    <w:rsid w:val="38456BE2"/>
    <w:rsid w:val="387E7F3A"/>
    <w:rsid w:val="38EC7A99"/>
    <w:rsid w:val="3AB63D35"/>
    <w:rsid w:val="3B0E0FD6"/>
    <w:rsid w:val="3BA07D26"/>
    <w:rsid w:val="3C1105B6"/>
    <w:rsid w:val="3C474FA6"/>
    <w:rsid w:val="3C4D3F14"/>
    <w:rsid w:val="3C834DF0"/>
    <w:rsid w:val="3C9711AA"/>
    <w:rsid w:val="3CEB1973"/>
    <w:rsid w:val="3D2437D1"/>
    <w:rsid w:val="3D694BC5"/>
    <w:rsid w:val="3DFFE62C"/>
    <w:rsid w:val="3E6704CA"/>
    <w:rsid w:val="3E952094"/>
    <w:rsid w:val="3EF928BA"/>
    <w:rsid w:val="3F204F40"/>
    <w:rsid w:val="3FAF015C"/>
    <w:rsid w:val="3FAF9466"/>
    <w:rsid w:val="3FE74094"/>
    <w:rsid w:val="3FF334E7"/>
    <w:rsid w:val="400D0E8B"/>
    <w:rsid w:val="407B5F05"/>
    <w:rsid w:val="407C12CE"/>
    <w:rsid w:val="40B42B7E"/>
    <w:rsid w:val="41184ADC"/>
    <w:rsid w:val="41391D9A"/>
    <w:rsid w:val="41986B2E"/>
    <w:rsid w:val="41B42626"/>
    <w:rsid w:val="42303E80"/>
    <w:rsid w:val="429D5822"/>
    <w:rsid w:val="42BD3B3A"/>
    <w:rsid w:val="42C725E0"/>
    <w:rsid w:val="437F313D"/>
    <w:rsid w:val="439148A1"/>
    <w:rsid w:val="44582E6B"/>
    <w:rsid w:val="449E54DF"/>
    <w:rsid w:val="44B91A0F"/>
    <w:rsid w:val="46207ACF"/>
    <w:rsid w:val="465D5D1D"/>
    <w:rsid w:val="468F04CF"/>
    <w:rsid w:val="46DC3169"/>
    <w:rsid w:val="47CF59CD"/>
    <w:rsid w:val="47E725FC"/>
    <w:rsid w:val="4831413D"/>
    <w:rsid w:val="48DA2A2C"/>
    <w:rsid w:val="48FC43D3"/>
    <w:rsid w:val="49857C46"/>
    <w:rsid w:val="49C538A2"/>
    <w:rsid w:val="4A204BDB"/>
    <w:rsid w:val="4A59146B"/>
    <w:rsid w:val="4A811EA6"/>
    <w:rsid w:val="4AAF2FFA"/>
    <w:rsid w:val="4BDC1128"/>
    <w:rsid w:val="4D1F509F"/>
    <w:rsid w:val="4E432380"/>
    <w:rsid w:val="4EBFDB6D"/>
    <w:rsid w:val="4F401AA1"/>
    <w:rsid w:val="4F7D425B"/>
    <w:rsid w:val="4FC71CF1"/>
    <w:rsid w:val="4FDB1A60"/>
    <w:rsid w:val="4FF9714C"/>
    <w:rsid w:val="503A32B5"/>
    <w:rsid w:val="50BA201A"/>
    <w:rsid w:val="511A7F19"/>
    <w:rsid w:val="515E4CE4"/>
    <w:rsid w:val="52043E6A"/>
    <w:rsid w:val="52560E54"/>
    <w:rsid w:val="546847B7"/>
    <w:rsid w:val="550D1FA8"/>
    <w:rsid w:val="554E39C5"/>
    <w:rsid w:val="5603486F"/>
    <w:rsid w:val="56312332"/>
    <w:rsid w:val="56DC13BB"/>
    <w:rsid w:val="572D7DD1"/>
    <w:rsid w:val="57533927"/>
    <w:rsid w:val="58175BD2"/>
    <w:rsid w:val="5857561E"/>
    <w:rsid w:val="589F6F92"/>
    <w:rsid w:val="59602BFE"/>
    <w:rsid w:val="59964422"/>
    <w:rsid w:val="5A9D5C6D"/>
    <w:rsid w:val="5AA305D6"/>
    <w:rsid w:val="5AB31F92"/>
    <w:rsid w:val="5ABE69E4"/>
    <w:rsid w:val="5AFB3960"/>
    <w:rsid w:val="5BA4331F"/>
    <w:rsid w:val="5BDB646E"/>
    <w:rsid w:val="5C0025B0"/>
    <w:rsid w:val="5C3915A6"/>
    <w:rsid w:val="5D0369B0"/>
    <w:rsid w:val="5DCC1DB8"/>
    <w:rsid w:val="5E1826E3"/>
    <w:rsid w:val="5E2D9834"/>
    <w:rsid w:val="5E850FED"/>
    <w:rsid w:val="5E992C41"/>
    <w:rsid w:val="5EDE400A"/>
    <w:rsid w:val="5EE255EC"/>
    <w:rsid w:val="5F0F510E"/>
    <w:rsid w:val="5F6C3193"/>
    <w:rsid w:val="5FB96138"/>
    <w:rsid w:val="5FBD1D15"/>
    <w:rsid w:val="6005611F"/>
    <w:rsid w:val="60512144"/>
    <w:rsid w:val="606E2C5B"/>
    <w:rsid w:val="62BF6E39"/>
    <w:rsid w:val="62ED5B5D"/>
    <w:rsid w:val="63E31A89"/>
    <w:rsid w:val="64275AE3"/>
    <w:rsid w:val="64500B53"/>
    <w:rsid w:val="65CD3FF7"/>
    <w:rsid w:val="661035E5"/>
    <w:rsid w:val="66AB2A4E"/>
    <w:rsid w:val="670D21A4"/>
    <w:rsid w:val="67640B8A"/>
    <w:rsid w:val="67DD4A50"/>
    <w:rsid w:val="67EE76A2"/>
    <w:rsid w:val="68024FC4"/>
    <w:rsid w:val="6851576C"/>
    <w:rsid w:val="69A17368"/>
    <w:rsid w:val="69E25730"/>
    <w:rsid w:val="6A3E5E8C"/>
    <w:rsid w:val="6AF244DB"/>
    <w:rsid w:val="6B0E2F8A"/>
    <w:rsid w:val="6B9B52B8"/>
    <w:rsid w:val="6BB60F1E"/>
    <w:rsid w:val="6C7D0919"/>
    <w:rsid w:val="6C7F72DA"/>
    <w:rsid w:val="6C8E0669"/>
    <w:rsid w:val="6CA83EC0"/>
    <w:rsid w:val="6DD01F1E"/>
    <w:rsid w:val="6E5147E7"/>
    <w:rsid w:val="6E5B08E9"/>
    <w:rsid w:val="6E6CFA77"/>
    <w:rsid w:val="6E9B9303"/>
    <w:rsid w:val="6EBF7DA3"/>
    <w:rsid w:val="6EFF1D96"/>
    <w:rsid w:val="6F4E1EE2"/>
    <w:rsid w:val="6F562838"/>
    <w:rsid w:val="6F6F408C"/>
    <w:rsid w:val="6F8197CE"/>
    <w:rsid w:val="6FA82844"/>
    <w:rsid w:val="6FB13533"/>
    <w:rsid w:val="71252055"/>
    <w:rsid w:val="716D0FC9"/>
    <w:rsid w:val="71C023B7"/>
    <w:rsid w:val="71FD1E10"/>
    <w:rsid w:val="72760FA8"/>
    <w:rsid w:val="72791D8F"/>
    <w:rsid w:val="73413E03"/>
    <w:rsid w:val="73534F90"/>
    <w:rsid w:val="735E2AAF"/>
    <w:rsid w:val="738F4417"/>
    <w:rsid w:val="73A45747"/>
    <w:rsid w:val="74886F1C"/>
    <w:rsid w:val="75B26BA6"/>
    <w:rsid w:val="75EF2E7C"/>
    <w:rsid w:val="75FF29FF"/>
    <w:rsid w:val="76750F6D"/>
    <w:rsid w:val="76E52804"/>
    <w:rsid w:val="76FC31DA"/>
    <w:rsid w:val="77203896"/>
    <w:rsid w:val="77EF0168"/>
    <w:rsid w:val="782154DC"/>
    <w:rsid w:val="78694DA6"/>
    <w:rsid w:val="787E37B7"/>
    <w:rsid w:val="78C77C95"/>
    <w:rsid w:val="79473975"/>
    <w:rsid w:val="796B056C"/>
    <w:rsid w:val="799E7C25"/>
    <w:rsid w:val="79B73369"/>
    <w:rsid w:val="7A4C4934"/>
    <w:rsid w:val="7A834A90"/>
    <w:rsid w:val="7A85C2D8"/>
    <w:rsid w:val="7AAC56E9"/>
    <w:rsid w:val="7AB706DE"/>
    <w:rsid w:val="7AFF2437"/>
    <w:rsid w:val="7AFF31EE"/>
    <w:rsid w:val="7B4E797B"/>
    <w:rsid w:val="7BB32753"/>
    <w:rsid w:val="7BCD3E7D"/>
    <w:rsid w:val="7BFF2203"/>
    <w:rsid w:val="7CBB0791"/>
    <w:rsid w:val="7CDE7222"/>
    <w:rsid w:val="7D5D9FAD"/>
    <w:rsid w:val="7D798037"/>
    <w:rsid w:val="7DAB2918"/>
    <w:rsid w:val="7DDC25D5"/>
    <w:rsid w:val="7DF53ACE"/>
    <w:rsid w:val="7DF93700"/>
    <w:rsid w:val="7E367332"/>
    <w:rsid w:val="7E9B79E1"/>
    <w:rsid w:val="7EB0F0FD"/>
    <w:rsid w:val="7EE59629"/>
    <w:rsid w:val="7EFDDB71"/>
    <w:rsid w:val="7F3695D6"/>
    <w:rsid w:val="7F375AFF"/>
    <w:rsid w:val="7F7B3733"/>
    <w:rsid w:val="7F9B4C17"/>
    <w:rsid w:val="7FB934C8"/>
    <w:rsid w:val="7FCC767A"/>
    <w:rsid w:val="7FD3A7B1"/>
    <w:rsid w:val="7FDE3A11"/>
    <w:rsid w:val="7FDF1656"/>
    <w:rsid w:val="7FFF2586"/>
    <w:rsid w:val="89FF6E35"/>
    <w:rsid w:val="8FBF17A3"/>
    <w:rsid w:val="976C49A1"/>
    <w:rsid w:val="99EBDCFB"/>
    <w:rsid w:val="AEB5A073"/>
    <w:rsid w:val="AECF8FC3"/>
    <w:rsid w:val="AFAE3CEF"/>
    <w:rsid w:val="AFEF4D8D"/>
    <w:rsid w:val="AFF715A7"/>
    <w:rsid w:val="B67F3DC7"/>
    <w:rsid w:val="B6BC6061"/>
    <w:rsid w:val="B6FD950C"/>
    <w:rsid w:val="BAFF4868"/>
    <w:rsid w:val="BED73E4B"/>
    <w:rsid w:val="BF5E2A31"/>
    <w:rsid w:val="BF9B44A9"/>
    <w:rsid w:val="C5B58F91"/>
    <w:rsid w:val="CA77367D"/>
    <w:rsid w:val="CF4C43C1"/>
    <w:rsid w:val="CFFACD96"/>
    <w:rsid w:val="D5BF14AC"/>
    <w:rsid w:val="DBFEE5BC"/>
    <w:rsid w:val="DD6B259F"/>
    <w:rsid w:val="DEDB9E76"/>
    <w:rsid w:val="DF3F2C0C"/>
    <w:rsid w:val="DF7B08D8"/>
    <w:rsid w:val="DFBED618"/>
    <w:rsid w:val="DFBFFBD1"/>
    <w:rsid w:val="E3756F6B"/>
    <w:rsid w:val="E4D27FE4"/>
    <w:rsid w:val="E6A7600C"/>
    <w:rsid w:val="E6FF0FFB"/>
    <w:rsid w:val="E7FD7D9C"/>
    <w:rsid w:val="E7FFAD0A"/>
    <w:rsid w:val="EFAC34ED"/>
    <w:rsid w:val="EFB53E2E"/>
    <w:rsid w:val="EFDF98D0"/>
    <w:rsid w:val="EFFF70B0"/>
    <w:rsid w:val="F2AF1F13"/>
    <w:rsid w:val="F3DF1086"/>
    <w:rsid w:val="F5F7254F"/>
    <w:rsid w:val="F7547032"/>
    <w:rsid w:val="F7EF4F29"/>
    <w:rsid w:val="F7FBA198"/>
    <w:rsid w:val="F85E5CFD"/>
    <w:rsid w:val="F87E373E"/>
    <w:rsid w:val="F92FA8A3"/>
    <w:rsid w:val="F9DE5C70"/>
    <w:rsid w:val="F9FAEBF1"/>
    <w:rsid w:val="FAE6C1DF"/>
    <w:rsid w:val="FAF770E0"/>
    <w:rsid w:val="FB6A2DF7"/>
    <w:rsid w:val="FBAD8248"/>
    <w:rsid w:val="FBE769C4"/>
    <w:rsid w:val="FBEF056D"/>
    <w:rsid w:val="FBF3A962"/>
    <w:rsid w:val="FBF50C5E"/>
    <w:rsid w:val="FC3E97E6"/>
    <w:rsid w:val="FD7D20A8"/>
    <w:rsid w:val="FDBF1B84"/>
    <w:rsid w:val="FDFEE875"/>
    <w:rsid w:val="FE79BA80"/>
    <w:rsid w:val="FF5FB051"/>
    <w:rsid w:val="FF5FD45A"/>
    <w:rsid w:val="FF6EDA8F"/>
    <w:rsid w:val="FF9F12B5"/>
    <w:rsid w:val="FFA5E244"/>
    <w:rsid w:val="FFB75E38"/>
    <w:rsid w:val="FFEACA7D"/>
    <w:rsid w:val="FFF7A0D9"/>
    <w:rsid w:val="FFFBF7C1"/>
    <w:rsid w:val="FFFC2CFE"/>
    <w:rsid w:val="FFFE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Balloon Text"/>
    <w:basedOn w:val="1"/>
    <w:link w:val="13"/>
    <w:autoRedefine/>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p0"/>
    <w:basedOn w:val="1"/>
    <w:qFormat/>
    <w:uiPriority w:val="0"/>
    <w:pPr>
      <w:widowControl/>
    </w:pPr>
    <w:rPr>
      <w:rFonts w:ascii="Calibri" w:hAnsi="Calibri" w:eastAsia="宋体" w:cs="宋体"/>
      <w:kern w:val="0"/>
      <w:szCs w:val="21"/>
    </w:rPr>
  </w:style>
  <w:style w:type="character" w:customStyle="1" w:styleId="11">
    <w:name w:val="日期 Char"/>
    <w:basedOn w:val="7"/>
    <w:link w:val="2"/>
    <w:semiHidden/>
    <w:qFormat/>
    <w:uiPriority w:val="99"/>
  </w:style>
  <w:style w:type="paragraph" w:styleId="12">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批注框文本 Char"/>
    <w:basedOn w:val="7"/>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729</Words>
  <Characters>4158</Characters>
  <Lines>34</Lines>
  <Paragraphs>9</Paragraphs>
  <TotalTime>6</TotalTime>
  <ScaleCrop>false</ScaleCrop>
  <LinksUpToDate>false</LinksUpToDate>
  <CharactersWithSpaces>4878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2017-11-08T09:21:00Z</dcterms:created>
  <dc:creator>周涣涵</dc:creator>
  <cp:lastModifiedBy>Rancho</cp:lastModifiedBy>
  <cp:lastPrinted>2020-01-20T02:39:00Z</cp:lastPrinted>
  <dcterms:modified xsi:type="dcterms:W3CDTF">2024-03-28T00:58:07Z</dcterms:modified>
  <cp:revision>1577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838BB7B344DC44B3A797D64847133D28_12</vt:lpwstr>
  </property>
</Properties>
</file>