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F7" w:rsidRDefault="00916BBB">
      <w:pPr>
        <w:spacing w:line="500" w:lineRule="exact"/>
        <w:rPr>
          <w:rFonts w:ascii="Times New Roman" w:eastAsia="黑体" w:hAnsi="Times New Roman"/>
          <w:kern w:val="0"/>
          <w:sz w:val="40"/>
          <w:szCs w:val="40"/>
        </w:rPr>
      </w:pPr>
      <w:r>
        <w:rPr>
          <w:rFonts w:ascii="Times New Roman" w:eastAsia="黑体" w:hAnsi="Times New Roman"/>
          <w:sz w:val="32"/>
          <w:szCs w:val="32"/>
        </w:rPr>
        <w:t>附件</w:t>
      </w:r>
      <w:r>
        <w:rPr>
          <w:rFonts w:ascii="Times New Roman" w:eastAsia="黑体" w:hAnsi="Times New Roman"/>
          <w:sz w:val="32"/>
          <w:szCs w:val="32"/>
        </w:rPr>
        <w:t>1</w:t>
      </w:r>
    </w:p>
    <w:p w:rsidR="00D87CF7" w:rsidRDefault="00916BBB">
      <w:pPr>
        <w:spacing w:line="500" w:lineRule="exact"/>
        <w:jc w:val="center"/>
        <w:rPr>
          <w:rFonts w:ascii="Times New Roman" w:eastAsia="创艺简标宋" w:hAnsi="Times New Roman"/>
          <w:kern w:val="0"/>
          <w:sz w:val="40"/>
          <w:szCs w:val="40"/>
        </w:rPr>
      </w:pPr>
      <w:r>
        <w:rPr>
          <w:rFonts w:ascii="Times New Roman" w:eastAsia="创艺简标宋" w:hAnsi="Times New Roman"/>
          <w:kern w:val="0"/>
          <w:sz w:val="40"/>
          <w:szCs w:val="40"/>
        </w:rPr>
        <w:t>柳州市建设单位优良行为记分标准</w:t>
      </w:r>
    </w:p>
    <w:p w:rsidR="00D87CF7" w:rsidRDefault="00D87CF7">
      <w:pPr>
        <w:spacing w:line="200" w:lineRule="exact"/>
        <w:jc w:val="center"/>
        <w:rPr>
          <w:rFonts w:ascii="Times New Roman" w:eastAsia="创艺简标宋" w:hAnsi="Times New Roman"/>
          <w:sz w:val="32"/>
          <w:szCs w:val="3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707"/>
        <w:gridCol w:w="708"/>
        <w:gridCol w:w="2835"/>
        <w:gridCol w:w="1418"/>
        <w:gridCol w:w="850"/>
        <w:gridCol w:w="2509"/>
      </w:tblGrid>
      <w:tr w:rsidR="00D87CF7">
        <w:trPr>
          <w:trHeight w:val="521"/>
          <w:jc w:val="center"/>
        </w:trPr>
        <w:tc>
          <w:tcPr>
            <w:tcW w:w="528" w:type="dxa"/>
            <w:vAlign w:val="center"/>
          </w:tcPr>
          <w:p w:rsidR="00D87CF7" w:rsidRDefault="00916BBB">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序号</w:t>
            </w:r>
          </w:p>
        </w:tc>
        <w:tc>
          <w:tcPr>
            <w:tcW w:w="707" w:type="dxa"/>
            <w:vAlign w:val="center"/>
          </w:tcPr>
          <w:p w:rsidR="00D87CF7" w:rsidRDefault="00916BBB">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获奖类别</w:t>
            </w:r>
          </w:p>
        </w:tc>
        <w:tc>
          <w:tcPr>
            <w:tcW w:w="3543" w:type="dxa"/>
            <w:gridSpan w:val="2"/>
            <w:vAlign w:val="center"/>
          </w:tcPr>
          <w:p w:rsidR="00D87CF7" w:rsidRDefault="00916BBB">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获奖情况</w:t>
            </w:r>
            <w:bookmarkStart w:id="0" w:name="_GoBack"/>
            <w:bookmarkEnd w:id="0"/>
          </w:p>
        </w:tc>
        <w:tc>
          <w:tcPr>
            <w:tcW w:w="1418" w:type="dxa"/>
            <w:vAlign w:val="center"/>
          </w:tcPr>
          <w:p w:rsidR="00D87CF7" w:rsidRDefault="00916BBB">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分值</w:t>
            </w:r>
          </w:p>
        </w:tc>
        <w:tc>
          <w:tcPr>
            <w:tcW w:w="850" w:type="dxa"/>
            <w:vAlign w:val="center"/>
          </w:tcPr>
          <w:p w:rsidR="00D87CF7" w:rsidRDefault="00916BBB">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有效期（月）</w:t>
            </w:r>
          </w:p>
        </w:tc>
        <w:tc>
          <w:tcPr>
            <w:tcW w:w="2509" w:type="dxa"/>
            <w:vAlign w:val="center"/>
          </w:tcPr>
          <w:p w:rsidR="00D87CF7" w:rsidRDefault="00916BBB">
            <w:pPr>
              <w:widowControl/>
              <w:spacing w:line="240" w:lineRule="exact"/>
              <w:jc w:val="center"/>
              <w:rPr>
                <w:rFonts w:ascii="Times New Roman" w:eastAsia="黑体" w:hAnsi="Times New Roman"/>
                <w:kern w:val="0"/>
                <w:sz w:val="18"/>
                <w:szCs w:val="18"/>
              </w:rPr>
            </w:pPr>
            <w:r>
              <w:rPr>
                <w:rFonts w:ascii="Times New Roman" w:eastAsia="黑体" w:hAnsi="Times New Roman"/>
                <w:kern w:val="0"/>
                <w:sz w:val="18"/>
                <w:szCs w:val="18"/>
              </w:rPr>
              <w:t>备注说明</w:t>
            </w:r>
          </w:p>
        </w:tc>
      </w:tr>
      <w:tr w:rsidR="00D87CF7">
        <w:trPr>
          <w:trHeight w:val="40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707" w:type="dxa"/>
            <w:vMerge w:val="restart"/>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综合</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表彰</w:t>
            </w:r>
          </w:p>
        </w:tc>
        <w:tc>
          <w:tcPr>
            <w:tcW w:w="708" w:type="dxa"/>
            <w:vMerge w:val="restart"/>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国</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家</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级</w:t>
            </w: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国务院表彰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15</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36</w:t>
            </w:r>
          </w:p>
        </w:tc>
        <w:tc>
          <w:tcPr>
            <w:tcW w:w="2509" w:type="dxa"/>
            <w:vMerge w:val="restart"/>
            <w:vAlign w:val="center"/>
          </w:tcPr>
          <w:p w:rsidR="00D87CF7" w:rsidRDefault="00916BBB">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15</w:t>
            </w:r>
            <w:r>
              <w:rPr>
                <w:rFonts w:ascii="Times New Roman" w:eastAsia="仿宋_GB2312" w:hAnsi="Times New Roman"/>
                <w:kern w:val="0"/>
                <w:sz w:val="15"/>
                <w:szCs w:val="15"/>
              </w:rPr>
              <w:t>分。</w:t>
            </w:r>
          </w:p>
        </w:tc>
      </w:tr>
      <w:tr w:rsidR="00D87CF7">
        <w:trPr>
          <w:trHeight w:val="40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708"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住建部通报表彰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24</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40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708"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国家级建设行业协会通报表彰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8</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18</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40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708" w:type="dxa"/>
            <w:vMerge w:val="restart"/>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自</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治</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区</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级</w:t>
            </w: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自治区政府表彰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18</w:t>
            </w:r>
          </w:p>
        </w:tc>
        <w:tc>
          <w:tcPr>
            <w:tcW w:w="2509" w:type="dxa"/>
            <w:vMerge w:val="restart"/>
            <w:vAlign w:val="center"/>
          </w:tcPr>
          <w:p w:rsidR="00D87CF7" w:rsidRDefault="00916BBB">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12</w:t>
            </w:r>
            <w:r>
              <w:rPr>
                <w:rFonts w:ascii="Times New Roman" w:eastAsia="仿宋_GB2312" w:hAnsi="Times New Roman"/>
                <w:kern w:val="0"/>
                <w:sz w:val="15"/>
                <w:szCs w:val="15"/>
              </w:rPr>
              <w:t>分。</w:t>
            </w:r>
          </w:p>
        </w:tc>
      </w:tr>
      <w:tr w:rsidR="00D87CF7">
        <w:trPr>
          <w:trHeight w:val="40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708"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自治区住建厅通报表彰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8</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18</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40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708"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w:t>
            </w:r>
            <w:proofErr w:type="gramStart"/>
            <w:r>
              <w:rPr>
                <w:rFonts w:ascii="Times New Roman" w:eastAsia="仿宋_GB2312" w:hAnsi="Times New Roman"/>
                <w:kern w:val="0"/>
                <w:sz w:val="18"/>
                <w:szCs w:val="18"/>
              </w:rPr>
              <w:t>级建设</w:t>
            </w:r>
            <w:proofErr w:type="gramEnd"/>
            <w:r>
              <w:rPr>
                <w:rFonts w:ascii="Times New Roman" w:eastAsia="仿宋_GB2312" w:hAnsi="Times New Roman"/>
                <w:kern w:val="0"/>
                <w:sz w:val="18"/>
                <w:szCs w:val="18"/>
              </w:rPr>
              <w:t>行业协会通报表彰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40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7</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708" w:type="dxa"/>
            <w:vMerge w:val="restart"/>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市</w:t>
            </w:r>
          </w:p>
          <w:p w:rsidR="00D87CF7" w:rsidRDefault="00D87CF7">
            <w:pPr>
              <w:widowControl/>
              <w:spacing w:line="240" w:lineRule="exact"/>
              <w:jc w:val="center"/>
              <w:rPr>
                <w:rFonts w:ascii="Times New Roman" w:eastAsia="仿宋_GB2312" w:hAnsi="Times New Roman"/>
                <w:kern w:val="0"/>
                <w:sz w:val="18"/>
                <w:szCs w:val="18"/>
              </w:rPr>
            </w:pP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级</w:t>
            </w: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市政府通报表彰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8</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2509" w:type="dxa"/>
            <w:vMerge w:val="restart"/>
            <w:vAlign w:val="center"/>
          </w:tcPr>
          <w:p w:rsidR="00D87CF7" w:rsidRDefault="00916BBB">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8</w:t>
            </w:r>
            <w:r>
              <w:rPr>
                <w:rFonts w:ascii="Times New Roman" w:eastAsia="仿宋_GB2312" w:hAnsi="Times New Roman"/>
                <w:kern w:val="0"/>
                <w:sz w:val="15"/>
                <w:szCs w:val="15"/>
              </w:rPr>
              <w:t>分。</w:t>
            </w:r>
          </w:p>
        </w:tc>
      </w:tr>
      <w:tr w:rsidR="00D87CF7">
        <w:trPr>
          <w:trHeight w:val="39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708"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市住建</w:t>
            </w:r>
            <w:r w:rsidR="000952D1">
              <w:rPr>
                <w:rFonts w:ascii="Times New Roman" w:eastAsia="仿宋_GB2312" w:hAnsi="Times New Roman"/>
                <w:kern w:val="0"/>
                <w:sz w:val="18"/>
                <w:szCs w:val="18"/>
              </w:rPr>
              <w:t>局</w:t>
            </w:r>
            <w:r>
              <w:rPr>
                <w:rFonts w:ascii="Times New Roman" w:eastAsia="仿宋_GB2312" w:hAnsi="Times New Roman"/>
                <w:kern w:val="0"/>
                <w:sz w:val="18"/>
                <w:szCs w:val="18"/>
              </w:rPr>
              <w:t>通报表扬</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379"/>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9</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708"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市级建设行业协会通报表彰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38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708" w:type="dxa"/>
            <w:vMerge w:val="restart"/>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县</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（市）</w:t>
            </w:r>
          </w:p>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区</w:t>
            </w: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县（市）区政府通报表彰</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restart"/>
            <w:vAlign w:val="center"/>
          </w:tcPr>
          <w:p w:rsidR="00D87CF7" w:rsidRDefault="00916BBB">
            <w:pPr>
              <w:widowControl/>
              <w:snapToGrid w:val="0"/>
              <w:spacing w:line="26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5</w:t>
            </w:r>
            <w:r>
              <w:rPr>
                <w:rFonts w:ascii="Times New Roman" w:eastAsia="仿宋_GB2312" w:hAnsi="Times New Roman"/>
                <w:kern w:val="0"/>
                <w:sz w:val="15"/>
                <w:szCs w:val="15"/>
              </w:rPr>
              <w:t>分。</w:t>
            </w:r>
          </w:p>
        </w:tc>
      </w:tr>
      <w:tr w:rsidR="00D87CF7">
        <w:trPr>
          <w:trHeight w:val="35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11</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708"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2835" w:type="dxa"/>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县（市）区建设主管部门通报表扬</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459"/>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707" w:type="dxa"/>
            <w:vMerge w:val="restart"/>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项目获奖</w:t>
            </w:r>
          </w:p>
        </w:tc>
        <w:tc>
          <w:tcPr>
            <w:tcW w:w="3543" w:type="dxa"/>
            <w:gridSpan w:val="2"/>
            <w:vAlign w:val="center"/>
          </w:tcPr>
          <w:p w:rsidR="00D87CF7" w:rsidRDefault="00916BBB">
            <w:pPr>
              <w:pStyle w:val="a5"/>
              <w:widowControl/>
              <w:spacing w:line="240" w:lineRule="exact"/>
              <w:rPr>
                <w:rFonts w:ascii="Times New Roman" w:eastAsia="仿宋_GB2312" w:hAnsi="Times New Roman"/>
                <w:sz w:val="18"/>
                <w:szCs w:val="18"/>
              </w:rPr>
            </w:pPr>
            <w:r>
              <w:rPr>
                <w:rFonts w:ascii="Times New Roman" w:eastAsia="仿宋_GB2312" w:hAnsi="Times New Roman"/>
                <w:sz w:val="18"/>
                <w:szCs w:val="18"/>
              </w:rPr>
              <w:t>鲁班奖、詹天佑奖、全国市政金杯奖、国家优质工程奖</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25</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2509" w:type="dxa"/>
            <w:vMerge w:val="restart"/>
            <w:vAlign w:val="center"/>
          </w:tcPr>
          <w:p w:rsidR="00D87CF7" w:rsidRDefault="00916BBB">
            <w:pPr>
              <w:widowControl/>
              <w:snapToGrid w:val="0"/>
              <w:spacing w:line="240" w:lineRule="exact"/>
              <w:jc w:val="left"/>
              <w:rPr>
                <w:rFonts w:ascii="Times New Roman" w:eastAsia="仿宋_GB2312" w:hAnsi="Times New Roman"/>
                <w:b/>
                <w:kern w:val="0"/>
                <w:sz w:val="15"/>
                <w:szCs w:val="15"/>
              </w:rPr>
            </w:pPr>
            <w:r>
              <w:rPr>
                <w:rFonts w:ascii="Times New Roman" w:eastAsia="仿宋_GB2312" w:hAnsi="Times New Roman"/>
                <w:bCs/>
                <w:kern w:val="0"/>
                <w:sz w:val="15"/>
                <w:szCs w:val="15"/>
              </w:rPr>
              <w:t>同一项目同时获得不同奖项的，仅能加一次分；同时</w:t>
            </w:r>
            <w:r>
              <w:rPr>
                <w:rFonts w:ascii="Times New Roman" w:eastAsia="仿宋_GB2312" w:hAnsi="Times New Roman"/>
                <w:kern w:val="0"/>
                <w:sz w:val="15"/>
                <w:szCs w:val="15"/>
              </w:rPr>
              <w:t>撤销自治区</w:t>
            </w:r>
            <w:proofErr w:type="gramStart"/>
            <w:r>
              <w:rPr>
                <w:rFonts w:ascii="Times New Roman" w:eastAsia="仿宋_GB2312" w:hAnsi="Times New Roman"/>
                <w:kern w:val="0"/>
                <w:sz w:val="15"/>
                <w:szCs w:val="15"/>
              </w:rPr>
              <w:t>级相应</w:t>
            </w:r>
            <w:proofErr w:type="gramEnd"/>
            <w:r>
              <w:rPr>
                <w:rFonts w:ascii="Times New Roman" w:eastAsia="仿宋_GB2312" w:hAnsi="Times New Roman"/>
                <w:kern w:val="0"/>
                <w:sz w:val="15"/>
                <w:szCs w:val="15"/>
              </w:rPr>
              <w:t>奖项加分</w:t>
            </w:r>
            <w:r>
              <w:rPr>
                <w:rFonts w:ascii="Times New Roman" w:eastAsia="仿宋_GB2312" w:hAnsi="Times New Roman"/>
                <w:bCs/>
                <w:kern w:val="0"/>
                <w:sz w:val="15"/>
                <w:szCs w:val="15"/>
              </w:rPr>
              <w:t>。</w:t>
            </w:r>
            <w:r>
              <w:rPr>
                <w:rFonts w:ascii="Times New Roman" w:eastAsia="仿宋_GB2312" w:hAnsi="Times New Roman"/>
                <w:kern w:val="0"/>
                <w:sz w:val="15"/>
                <w:szCs w:val="15"/>
              </w:rPr>
              <w:t>装配式建筑示范项目为住建部认定公布。</w:t>
            </w:r>
          </w:p>
        </w:tc>
      </w:tr>
      <w:tr w:rsidR="00D87CF7">
        <w:trPr>
          <w:trHeight w:val="330"/>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13</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543" w:type="dxa"/>
            <w:gridSpan w:val="2"/>
            <w:vAlign w:val="center"/>
          </w:tcPr>
          <w:p w:rsidR="00D87CF7" w:rsidRDefault="00916BBB">
            <w:pPr>
              <w:pStyle w:val="a5"/>
              <w:widowControl/>
              <w:spacing w:line="240" w:lineRule="exact"/>
              <w:rPr>
                <w:rFonts w:ascii="Times New Roman" w:eastAsia="仿宋_GB2312" w:hAnsi="Times New Roman"/>
                <w:sz w:val="18"/>
                <w:szCs w:val="18"/>
              </w:rPr>
            </w:pPr>
            <w:r>
              <w:rPr>
                <w:rFonts w:ascii="Times New Roman" w:eastAsia="仿宋_GB2312" w:hAnsi="Times New Roman"/>
                <w:sz w:val="18"/>
                <w:szCs w:val="18"/>
              </w:rPr>
              <w:t>中国房地产</w:t>
            </w:r>
            <w:r>
              <w:rPr>
                <w:rFonts w:ascii="Times New Roman" w:eastAsia="仿宋_GB2312" w:hAnsi="Times New Roman"/>
                <w:sz w:val="18"/>
                <w:szCs w:val="18"/>
              </w:rPr>
              <w:t>“</w:t>
            </w:r>
            <w:r>
              <w:rPr>
                <w:rFonts w:ascii="Times New Roman" w:eastAsia="仿宋_GB2312" w:hAnsi="Times New Roman"/>
                <w:sz w:val="18"/>
                <w:szCs w:val="18"/>
              </w:rPr>
              <w:t>广厦奖</w:t>
            </w:r>
            <w:r>
              <w:rPr>
                <w:rFonts w:ascii="Times New Roman" w:eastAsia="仿宋_GB2312" w:hAnsi="Times New Roman"/>
                <w:sz w:val="18"/>
                <w:szCs w:val="18"/>
              </w:rPr>
              <w:t>”</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2509" w:type="dxa"/>
            <w:vMerge/>
            <w:vAlign w:val="center"/>
          </w:tcPr>
          <w:p w:rsidR="00D87CF7" w:rsidRDefault="00D87CF7">
            <w:pPr>
              <w:widowControl/>
              <w:snapToGrid w:val="0"/>
              <w:spacing w:line="240" w:lineRule="exact"/>
              <w:jc w:val="left"/>
              <w:rPr>
                <w:rFonts w:ascii="Times New Roman" w:eastAsia="仿宋_GB2312" w:hAnsi="Times New Roman"/>
                <w:bCs/>
                <w:kern w:val="0"/>
                <w:sz w:val="15"/>
                <w:szCs w:val="15"/>
              </w:rPr>
            </w:pPr>
          </w:p>
        </w:tc>
      </w:tr>
      <w:tr w:rsidR="00D87CF7">
        <w:trPr>
          <w:trHeight w:val="589"/>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14</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pStyle w:val="a5"/>
              <w:widowControl/>
              <w:spacing w:line="240" w:lineRule="exact"/>
              <w:rPr>
                <w:rFonts w:ascii="Times New Roman" w:eastAsia="仿宋_GB2312" w:hAnsi="Times New Roman"/>
                <w:sz w:val="18"/>
                <w:szCs w:val="18"/>
              </w:rPr>
            </w:pPr>
            <w:r>
              <w:rPr>
                <w:rFonts w:ascii="宋体" w:hAnsi="宋体" w:cs="宋体"/>
                <w:sz w:val="18"/>
              </w:rPr>
              <w:t>国家级安全、质量、装配式建筑等观摩示范工程，装配式建筑示范项目</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2509" w:type="dxa"/>
            <w:vMerge/>
            <w:vAlign w:val="center"/>
          </w:tcPr>
          <w:p w:rsidR="00D87CF7" w:rsidRDefault="00D87CF7">
            <w:pPr>
              <w:widowControl/>
              <w:snapToGrid w:val="0"/>
              <w:spacing w:line="240" w:lineRule="exact"/>
              <w:jc w:val="left"/>
              <w:rPr>
                <w:rFonts w:ascii="Times New Roman" w:eastAsia="仿宋_GB2312" w:hAnsi="Times New Roman"/>
                <w:b/>
                <w:kern w:val="0"/>
                <w:sz w:val="15"/>
                <w:szCs w:val="15"/>
              </w:rPr>
            </w:pPr>
          </w:p>
        </w:tc>
      </w:tr>
      <w:tr w:rsidR="00D87CF7">
        <w:trPr>
          <w:trHeight w:val="7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pStyle w:val="a5"/>
              <w:widowControl/>
              <w:spacing w:line="240" w:lineRule="exact"/>
              <w:rPr>
                <w:rFonts w:ascii="Times New Roman" w:eastAsia="仿宋_GB2312" w:hAnsi="Times New Roman"/>
                <w:sz w:val="18"/>
                <w:szCs w:val="18"/>
              </w:rPr>
            </w:pPr>
            <w:r>
              <w:rPr>
                <w:rFonts w:ascii="Times New Roman" w:eastAsia="仿宋_GB2312" w:hAnsi="Times New Roman"/>
                <w:sz w:val="18"/>
                <w:szCs w:val="18"/>
              </w:rPr>
              <w:t>全国</w:t>
            </w:r>
            <w:r>
              <w:rPr>
                <w:rFonts w:ascii="Times New Roman" w:eastAsia="仿宋_GB2312" w:hAnsi="Times New Roman"/>
                <w:sz w:val="18"/>
                <w:szCs w:val="18"/>
              </w:rPr>
              <w:t>“AAA”</w:t>
            </w:r>
            <w:r>
              <w:rPr>
                <w:rFonts w:ascii="Times New Roman" w:eastAsia="仿宋_GB2312" w:hAnsi="Times New Roman"/>
                <w:sz w:val="18"/>
                <w:szCs w:val="18"/>
              </w:rPr>
              <w:t>安全文明施工现场、全国绿色施工示范工程、全国建筑业新技术应用示范工程、中国钢结构金奖等国家级奖项</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2509" w:type="dxa"/>
            <w:vMerge/>
            <w:vAlign w:val="center"/>
          </w:tcPr>
          <w:p w:rsidR="00D87CF7" w:rsidRDefault="00D87CF7">
            <w:pPr>
              <w:widowControl/>
              <w:snapToGrid w:val="0"/>
              <w:spacing w:line="240" w:lineRule="exact"/>
              <w:jc w:val="left"/>
              <w:rPr>
                <w:rFonts w:ascii="Times New Roman" w:eastAsia="仿宋_GB2312" w:hAnsi="Times New Roman"/>
                <w:bCs/>
                <w:kern w:val="0"/>
                <w:sz w:val="15"/>
                <w:szCs w:val="15"/>
              </w:rPr>
            </w:pPr>
          </w:p>
        </w:tc>
      </w:tr>
      <w:tr w:rsidR="00D87CF7">
        <w:trPr>
          <w:trHeight w:val="7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16</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宋体" w:hAnsi="宋体" w:cs="宋体"/>
                <w:sz w:val="18"/>
              </w:rPr>
              <w:t>自治区级安全、质量、装配式建筑等观摩示范工程</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同一工程项目获安全、质量观摩工程，则撤销其自治区级安全文明</w:t>
            </w:r>
            <w:proofErr w:type="gramStart"/>
            <w:r>
              <w:rPr>
                <w:rFonts w:ascii="Times New Roman" w:eastAsia="仿宋_GB2312" w:hAnsi="Times New Roman"/>
                <w:kern w:val="0"/>
                <w:sz w:val="15"/>
                <w:szCs w:val="15"/>
              </w:rPr>
              <w:t>工地奖</w:t>
            </w:r>
            <w:proofErr w:type="gramEnd"/>
            <w:r>
              <w:rPr>
                <w:rFonts w:ascii="Times New Roman" w:eastAsia="仿宋_GB2312" w:hAnsi="Times New Roman"/>
                <w:kern w:val="0"/>
                <w:sz w:val="15"/>
                <w:szCs w:val="15"/>
              </w:rPr>
              <w:t>加分。</w:t>
            </w:r>
          </w:p>
        </w:tc>
      </w:tr>
      <w:tr w:rsidR="00D87CF7">
        <w:trPr>
          <w:trHeight w:val="90"/>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17</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自治区级绿色施工示范工程、自治区级科技示范工程、自治区级绿色建筑示范项目</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按工程项目加分，</w:t>
            </w:r>
            <w:r>
              <w:rPr>
                <w:rFonts w:ascii="Times New Roman" w:eastAsia="仿宋_GB2312" w:hAnsi="Times New Roman"/>
                <w:bCs/>
                <w:kern w:val="0"/>
                <w:sz w:val="15"/>
                <w:szCs w:val="15"/>
              </w:rPr>
              <w:t>同时</w:t>
            </w:r>
            <w:r>
              <w:rPr>
                <w:rFonts w:ascii="Times New Roman" w:eastAsia="仿宋_GB2312" w:hAnsi="Times New Roman"/>
                <w:kern w:val="0"/>
                <w:sz w:val="15"/>
                <w:szCs w:val="15"/>
              </w:rPr>
              <w:t>撤销市级相应奖项加分。</w:t>
            </w:r>
          </w:p>
        </w:tc>
      </w:tr>
      <w:tr w:rsidR="00D87CF7">
        <w:trPr>
          <w:trHeight w:val="535"/>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自治区优质工程、装配式建筑示范项目</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同一工程项目获自治区优质工程奖，则撤销其自治区优质结构工程奖和市优质工程加分。装配式建筑示范项目为自治区住建厅认定公布。</w:t>
            </w:r>
          </w:p>
        </w:tc>
      </w:tr>
      <w:tr w:rsidR="00D87CF7">
        <w:trPr>
          <w:trHeight w:val="571"/>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19</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自治区优质结构工程</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按</w:t>
            </w:r>
            <w:r>
              <w:rPr>
                <w:rFonts w:ascii="Times New Roman" w:eastAsia="仿宋_GB2312" w:hAnsi="Times New Roman" w:hint="eastAsia"/>
                <w:kern w:val="0"/>
                <w:sz w:val="15"/>
                <w:szCs w:val="15"/>
              </w:rPr>
              <w:t>工程项目</w:t>
            </w:r>
            <w:r>
              <w:rPr>
                <w:rFonts w:ascii="Times New Roman" w:eastAsia="仿宋_GB2312" w:hAnsi="Times New Roman"/>
                <w:kern w:val="0"/>
                <w:sz w:val="15"/>
                <w:szCs w:val="15"/>
              </w:rPr>
              <w:t>加分</w:t>
            </w:r>
            <w:r>
              <w:rPr>
                <w:rFonts w:ascii="Times New Roman" w:eastAsia="仿宋_GB2312" w:hAnsi="Times New Roman" w:hint="eastAsia"/>
                <w:kern w:val="0"/>
                <w:sz w:val="15"/>
                <w:szCs w:val="15"/>
              </w:rPr>
              <w:t>，同时</w:t>
            </w:r>
            <w:r>
              <w:rPr>
                <w:rFonts w:ascii="Times New Roman" w:eastAsia="仿宋_GB2312" w:hAnsi="Times New Roman"/>
                <w:kern w:val="0"/>
                <w:sz w:val="15"/>
                <w:szCs w:val="15"/>
              </w:rPr>
              <w:t>撤销其市优质结构工程加分。</w:t>
            </w:r>
          </w:p>
        </w:tc>
      </w:tr>
      <w:tr w:rsidR="00D87CF7">
        <w:trPr>
          <w:trHeight w:val="500"/>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自治区安全文明工地</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按工程项目加分，</w:t>
            </w:r>
            <w:r>
              <w:rPr>
                <w:rFonts w:ascii="Times New Roman" w:eastAsia="仿宋_GB2312" w:hAnsi="Times New Roman"/>
                <w:bCs/>
                <w:kern w:val="0"/>
                <w:sz w:val="15"/>
                <w:szCs w:val="15"/>
              </w:rPr>
              <w:t>同时</w:t>
            </w:r>
            <w:r>
              <w:rPr>
                <w:rFonts w:ascii="Times New Roman" w:eastAsia="仿宋_GB2312" w:hAnsi="Times New Roman"/>
                <w:kern w:val="0"/>
                <w:sz w:val="15"/>
                <w:szCs w:val="15"/>
              </w:rPr>
              <w:t>撤销市级相应奖项加分。</w:t>
            </w:r>
          </w:p>
        </w:tc>
      </w:tr>
      <w:tr w:rsidR="00D87CF7">
        <w:trPr>
          <w:trHeight w:val="41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21</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宋体" w:hAnsi="宋体" w:cs="宋体"/>
                <w:sz w:val="18"/>
              </w:rPr>
              <w:t>市安全、质量、装配式建筑等观摩示范工程</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同一工程获安全、质量观摩工程奖，则撤销其市安全文明</w:t>
            </w:r>
            <w:proofErr w:type="gramStart"/>
            <w:r>
              <w:rPr>
                <w:rFonts w:ascii="Times New Roman" w:eastAsia="仿宋_GB2312" w:hAnsi="Times New Roman"/>
                <w:kern w:val="0"/>
                <w:sz w:val="15"/>
                <w:szCs w:val="15"/>
              </w:rPr>
              <w:t>工地奖</w:t>
            </w:r>
            <w:proofErr w:type="gramEnd"/>
            <w:r>
              <w:rPr>
                <w:rFonts w:ascii="Times New Roman" w:eastAsia="仿宋_GB2312" w:hAnsi="Times New Roman"/>
                <w:kern w:val="0"/>
                <w:sz w:val="15"/>
                <w:szCs w:val="15"/>
              </w:rPr>
              <w:t>加分。</w:t>
            </w:r>
          </w:p>
        </w:tc>
      </w:tr>
      <w:tr w:rsidR="00D87CF7">
        <w:trPr>
          <w:trHeight w:val="555"/>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22</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市级科技示范工程、市绿色施工科技示范工程</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D87CF7" w:rsidRDefault="00D87CF7">
            <w:pPr>
              <w:widowControl/>
              <w:snapToGrid w:val="0"/>
              <w:spacing w:line="240" w:lineRule="exact"/>
              <w:jc w:val="left"/>
              <w:rPr>
                <w:rFonts w:ascii="Times New Roman" w:eastAsia="仿宋_GB2312" w:hAnsi="Times New Roman"/>
                <w:kern w:val="0"/>
                <w:sz w:val="15"/>
                <w:szCs w:val="15"/>
              </w:rPr>
            </w:pPr>
          </w:p>
        </w:tc>
      </w:tr>
      <w:tr w:rsidR="00D87CF7">
        <w:trPr>
          <w:trHeight w:val="567"/>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23</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市优质工程、装配式建筑示范项目</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同一工程项目获市优质工程奖，则撤销其市优质结构工程奖加分。装配式建筑示范项目为市住建</w:t>
            </w:r>
            <w:r w:rsidR="000952D1">
              <w:rPr>
                <w:rFonts w:ascii="Times New Roman" w:eastAsia="仿宋_GB2312" w:hAnsi="Times New Roman"/>
                <w:kern w:val="0"/>
                <w:sz w:val="15"/>
                <w:szCs w:val="15"/>
              </w:rPr>
              <w:t>局</w:t>
            </w:r>
            <w:r>
              <w:rPr>
                <w:rFonts w:ascii="Times New Roman" w:eastAsia="仿宋_GB2312" w:hAnsi="Times New Roman"/>
                <w:kern w:val="0"/>
                <w:sz w:val="15"/>
                <w:szCs w:val="15"/>
              </w:rPr>
              <w:t>认定公布。</w:t>
            </w:r>
          </w:p>
        </w:tc>
      </w:tr>
      <w:tr w:rsidR="00D87CF7">
        <w:trPr>
          <w:trHeight w:val="425"/>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lastRenderedPageBreak/>
              <w:t>25</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市安全文明工地</w:t>
            </w:r>
          </w:p>
        </w:tc>
        <w:tc>
          <w:tcPr>
            <w:tcW w:w="141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Align w:val="center"/>
          </w:tcPr>
          <w:p w:rsidR="00D87CF7" w:rsidRDefault="00D87CF7">
            <w:pPr>
              <w:widowControl/>
              <w:snapToGrid w:val="0"/>
              <w:spacing w:line="240" w:lineRule="exact"/>
              <w:jc w:val="left"/>
              <w:rPr>
                <w:rFonts w:ascii="Times New Roman" w:eastAsia="仿宋_GB2312" w:hAnsi="Times New Roman"/>
                <w:kern w:val="0"/>
                <w:sz w:val="15"/>
                <w:szCs w:val="15"/>
              </w:rPr>
            </w:pP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26</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智慧工地（</w:t>
            </w:r>
            <w:r>
              <w:rPr>
                <w:rFonts w:ascii="Times New Roman" w:eastAsia="仿宋_GB2312" w:hAnsi="Times New Roman"/>
                <w:bCs/>
                <w:kern w:val="0"/>
                <w:sz w:val="18"/>
                <w:szCs w:val="18"/>
              </w:rPr>
              <w:t>3</w:t>
            </w:r>
            <w:r>
              <w:rPr>
                <w:rFonts w:ascii="Times New Roman" w:eastAsia="仿宋_GB2312" w:hAnsi="Times New Roman"/>
                <w:bCs/>
                <w:kern w:val="0"/>
                <w:sz w:val="18"/>
                <w:szCs w:val="18"/>
              </w:rPr>
              <w:t>星）</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restart"/>
            <w:vAlign w:val="center"/>
          </w:tcPr>
          <w:p w:rsidR="00D87CF7" w:rsidRDefault="00916BBB">
            <w:pPr>
              <w:widowControl/>
              <w:spacing w:line="240" w:lineRule="exact"/>
              <w:jc w:val="left"/>
              <w:rPr>
                <w:rFonts w:ascii="Times New Roman" w:eastAsia="仿宋_GB2312" w:hAnsi="Times New Roman"/>
                <w:b/>
                <w:bCs/>
                <w:kern w:val="0"/>
                <w:sz w:val="15"/>
                <w:szCs w:val="15"/>
              </w:rPr>
            </w:pPr>
            <w:r>
              <w:rPr>
                <w:rFonts w:ascii="Times New Roman" w:eastAsia="仿宋_GB2312" w:hAnsi="Times New Roman"/>
                <w:kern w:val="0"/>
                <w:sz w:val="15"/>
                <w:szCs w:val="15"/>
              </w:rPr>
              <w:t>按工程项目加分。</w:t>
            </w: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27</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智慧工地（</w:t>
            </w:r>
            <w:r>
              <w:rPr>
                <w:rFonts w:ascii="Times New Roman" w:eastAsia="仿宋_GB2312" w:hAnsi="Times New Roman"/>
                <w:bCs/>
                <w:kern w:val="0"/>
                <w:sz w:val="18"/>
                <w:szCs w:val="18"/>
              </w:rPr>
              <w:t>2</w:t>
            </w:r>
            <w:r>
              <w:rPr>
                <w:rFonts w:ascii="Times New Roman" w:eastAsia="仿宋_GB2312" w:hAnsi="Times New Roman"/>
                <w:bCs/>
                <w:kern w:val="0"/>
                <w:sz w:val="18"/>
                <w:szCs w:val="18"/>
              </w:rPr>
              <w:t>星）</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w:t>
            </w:r>
          </w:p>
        </w:tc>
        <w:tc>
          <w:tcPr>
            <w:tcW w:w="850"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ign w:val="center"/>
          </w:tcPr>
          <w:p w:rsidR="00D87CF7" w:rsidRDefault="00D87CF7">
            <w:pPr>
              <w:widowControl/>
              <w:spacing w:line="240" w:lineRule="exact"/>
              <w:jc w:val="left"/>
              <w:rPr>
                <w:rFonts w:ascii="Times New Roman" w:eastAsia="仿宋_GB2312" w:hAnsi="Times New Roman"/>
                <w:b/>
                <w:bCs/>
                <w:kern w:val="0"/>
                <w:sz w:val="15"/>
                <w:szCs w:val="15"/>
              </w:rPr>
            </w:pP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28</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b/>
                <w:bCs/>
                <w:kern w:val="0"/>
                <w:sz w:val="18"/>
                <w:szCs w:val="18"/>
              </w:rPr>
            </w:pPr>
            <w:r>
              <w:rPr>
                <w:rFonts w:ascii="Times New Roman" w:eastAsia="仿宋_GB2312" w:hAnsi="Times New Roman"/>
                <w:bCs/>
                <w:kern w:val="0"/>
                <w:sz w:val="18"/>
                <w:szCs w:val="18"/>
              </w:rPr>
              <w:t>智慧工地（</w:t>
            </w:r>
            <w:r>
              <w:rPr>
                <w:rFonts w:ascii="Times New Roman" w:eastAsia="仿宋_GB2312" w:hAnsi="Times New Roman"/>
                <w:bCs/>
                <w:kern w:val="0"/>
                <w:sz w:val="18"/>
                <w:szCs w:val="18"/>
              </w:rPr>
              <w:t>1</w:t>
            </w:r>
            <w:r>
              <w:rPr>
                <w:rFonts w:ascii="Times New Roman" w:eastAsia="仿宋_GB2312" w:hAnsi="Times New Roman"/>
                <w:bCs/>
                <w:kern w:val="0"/>
                <w:sz w:val="18"/>
                <w:szCs w:val="18"/>
              </w:rPr>
              <w:t>星）</w:t>
            </w:r>
          </w:p>
        </w:tc>
        <w:tc>
          <w:tcPr>
            <w:tcW w:w="1418"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w:t>
            </w:r>
          </w:p>
        </w:tc>
        <w:tc>
          <w:tcPr>
            <w:tcW w:w="850" w:type="dxa"/>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2509" w:type="dxa"/>
            <w:vMerge/>
            <w:vAlign w:val="center"/>
          </w:tcPr>
          <w:p w:rsidR="00D87CF7" w:rsidRDefault="00D87CF7">
            <w:pPr>
              <w:widowControl/>
              <w:spacing w:line="240" w:lineRule="exact"/>
              <w:jc w:val="left"/>
              <w:rPr>
                <w:rFonts w:ascii="Times New Roman" w:eastAsia="仿宋_GB2312" w:hAnsi="Times New Roman"/>
                <w:b/>
                <w:bCs/>
                <w:kern w:val="0"/>
                <w:sz w:val="15"/>
                <w:szCs w:val="15"/>
              </w:rPr>
            </w:pP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29</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三</w:t>
            </w:r>
            <w:r>
              <w:rPr>
                <w:rFonts w:ascii="Times New Roman" w:eastAsia="仿宋_GB2312" w:hAnsi="Times New Roman"/>
                <w:kern w:val="0"/>
                <w:sz w:val="18"/>
                <w:szCs w:val="18"/>
              </w:rPr>
              <w:t>星（运营标识）</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r>
              <w:rPr>
                <w:rFonts w:ascii="Times New Roman" w:eastAsia="仿宋_GB2312" w:hAnsi="Times New Roman" w:hint="eastAsia"/>
                <w:kern w:val="0"/>
                <w:sz w:val="18"/>
                <w:szCs w:val="18"/>
              </w:rPr>
              <w:t>5</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r>
              <w:rPr>
                <w:rFonts w:ascii="Times New Roman" w:eastAsia="仿宋_GB2312" w:hAnsi="Times New Roman" w:hint="eastAsia"/>
                <w:kern w:val="0"/>
                <w:sz w:val="18"/>
                <w:szCs w:val="18"/>
              </w:rPr>
              <w:t>8</w:t>
            </w:r>
          </w:p>
        </w:tc>
        <w:tc>
          <w:tcPr>
            <w:tcW w:w="2509" w:type="dxa"/>
            <w:vMerge w:val="restart"/>
            <w:vAlign w:val="center"/>
          </w:tcPr>
          <w:p w:rsidR="00D87CF7" w:rsidRDefault="00916BBB">
            <w:pPr>
              <w:widowControl/>
              <w:spacing w:line="240" w:lineRule="exact"/>
              <w:jc w:val="left"/>
              <w:rPr>
                <w:rFonts w:ascii="Times New Roman" w:eastAsia="仿宋_GB2312" w:hAnsi="Times New Roman"/>
                <w:kern w:val="0"/>
                <w:sz w:val="15"/>
                <w:szCs w:val="15"/>
              </w:rPr>
            </w:pPr>
            <w:r>
              <w:rPr>
                <w:rFonts w:ascii="Times New Roman" w:eastAsia="仿宋_GB2312" w:hAnsi="Times New Roman" w:hint="eastAsia"/>
                <w:kern w:val="0"/>
                <w:sz w:val="15"/>
                <w:szCs w:val="15"/>
              </w:rPr>
              <w:t>按项目加分，</w:t>
            </w:r>
            <w:r>
              <w:rPr>
                <w:rFonts w:ascii="Times New Roman" w:eastAsia="仿宋_GB2312" w:hAnsi="Times New Roman"/>
                <w:kern w:val="0"/>
                <w:sz w:val="15"/>
                <w:szCs w:val="15"/>
              </w:rPr>
              <w:t>有效期内累计不超过</w:t>
            </w:r>
            <w:r>
              <w:rPr>
                <w:rFonts w:ascii="Times New Roman" w:eastAsia="仿宋_GB2312" w:hAnsi="Times New Roman"/>
                <w:kern w:val="0"/>
                <w:sz w:val="15"/>
                <w:szCs w:val="15"/>
              </w:rPr>
              <w:t>30</w:t>
            </w:r>
            <w:r>
              <w:rPr>
                <w:rFonts w:ascii="Times New Roman" w:eastAsia="仿宋_GB2312" w:hAnsi="Times New Roman"/>
                <w:kern w:val="0"/>
                <w:sz w:val="15"/>
                <w:szCs w:val="15"/>
              </w:rPr>
              <w:t>分。</w:t>
            </w: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30</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三</w:t>
            </w:r>
            <w:r>
              <w:rPr>
                <w:rFonts w:ascii="Times New Roman" w:eastAsia="仿宋_GB2312" w:hAnsi="Times New Roman"/>
                <w:kern w:val="0"/>
                <w:sz w:val="18"/>
                <w:szCs w:val="18"/>
              </w:rPr>
              <w:t>星（设计标识）</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10</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r>
              <w:rPr>
                <w:rFonts w:ascii="Times New Roman" w:eastAsia="仿宋_GB2312" w:hAnsi="Times New Roman" w:hint="eastAsia"/>
                <w:kern w:val="0"/>
                <w:sz w:val="18"/>
                <w:szCs w:val="18"/>
              </w:rPr>
              <w:t>8</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90"/>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31</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二</w:t>
            </w:r>
            <w:r>
              <w:rPr>
                <w:rFonts w:ascii="Times New Roman" w:eastAsia="仿宋_GB2312" w:hAnsi="Times New Roman"/>
                <w:kern w:val="0"/>
                <w:sz w:val="18"/>
                <w:szCs w:val="18"/>
              </w:rPr>
              <w:t>星（运营标识）</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10</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32</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获得绿色建筑</w:t>
            </w:r>
            <w:r>
              <w:rPr>
                <w:rFonts w:ascii="Times New Roman" w:eastAsia="仿宋_GB2312" w:hAnsi="Times New Roman" w:hint="eastAsia"/>
                <w:kern w:val="0"/>
                <w:sz w:val="18"/>
                <w:szCs w:val="18"/>
              </w:rPr>
              <w:t>二</w:t>
            </w:r>
            <w:r>
              <w:rPr>
                <w:rFonts w:ascii="Times New Roman" w:eastAsia="仿宋_GB2312" w:hAnsi="Times New Roman"/>
                <w:kern w:val="0"/>
                <w:sz w:val="18"/>
                <w:szCs w:val="18"/>
              </w:rPr>
              <w:t>星（设计标识）</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Merge/>
            <w:vAlign w:val="center"/>
          </w:tcPr>
          <w:p w:rsidR="00D87CF7" w:rsidRDefault="00D87CF7">
            <w:pPr>
              <w:widowControl/>
              <w:spacing w:line="240" w:lineRule="exact"/>
              <w:jc w:val="left"/>
              <w:rPr>
                <w:rFonts w:ascii="Times New Roman" w:eastAsia="仿宋_GB2312" w:hAnsi="Times New Roman"/>
                <w:kern w:val="0"/>
                <w:sz w:val="15"/>
                <w:szCs w:val="15"/>
              </w:rPr>
            </w:pP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33</w:t>
            </w:r>
          </w:p>
        </w:tc>
        <w:tc>
          <w:tcPr>
            <w:tcW w:w="707" w:type="dxa"/>
            <w:vMerge w:val="restart"/>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业绩考核</w:t>
            </w: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在柳州市行政区域内所发包的</w:t>
            </w:r>
            <w:r>
              <w:rPr>
                <w:rFonts w:ascii="Times New Roman" w:eastAsia="仿宋_GB2312" w:hAnsi="Times New Roman" w:hint="eastAsia"/>
                <w:kern w:val="0"/>
                <w:sz w:val="18"/>
                <w:szCs w:val="18"/>
              </w:rPr>
              <w:t>装配率达</w:t>
            </w:r>
            <w:r>
              <w:rPr>
                <w:rFonts w:ascii="Times New Roman" w:eastAsia="仿宋_GB2312" w:hAnsi="Times New Roman" w:hint="eastAsia"/>
                <w:kern w:val="0"/>
                <w:sz w:val="18"/>
                <w:szCs w:val="18"/>
              </w:rPr>
              <w:t>30%</w:t>
            </w:r>
            <w:r>
              <w:rPr>
                <w:rFonts w:ascii="Times New Roman" w:eastAsia="仿宋_GB2312" w:hAnsi="Times New Roman" w:hint="eastAsia"/>
                <w:kern w:val="0"/>
                <w:sz w:val="18"/>
                <w:szCs w:val="18"/>
              </w:rPr>
              <w:t>及以上的</w:t>
            </w:r>
            <w:r>
              <w:rPr>
                <w:rFonts w:ascii="Times New Roman" w:eastAsia="仿宋_GB2312" w:hAnsi="Times New Roman"/>
                <w:kern w:val="0"/>
                <w:sz w:val="18"/>
                <w:szCs w:val="18"/>
              </w:rPr>
              <w:t>装配式建筑工程竣工验收合格的，每</w:t>
            </w:r>
            <w:r>
              <w:rPr>
                <w:rFonts w:ascii="Times New Roman" w:eastAsia="仿宋_GB2312" w:hAnsi="Times New Roman"/>
                <w:kern w:val="0"/>
                <w:sz w:val="18"/>
                <w:szCs w:val="18"/>
              </w:rPr>
              <w:t>2000</w:t>
            </w:r>
            <w:r>
              <w:rPr>
                <w:rFonts w:ascii="Times New Roman" w:eastAsia="仿宋_GB2312" w:hAnsi="Times New Roman"/>
                <w:kern w:val="0"/>
                <w:sz w:val="18"/>
                <w:szCs w:val="18"/>
              </w:rPr>
              <w:t>平方米</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kern w:val="0"/>
                <w:sz w:val="15"/>
                <w:szCs w:val="15"/>
              </w:rPr>
              <w:t>装配式建筑工程同时进行全装修的，按照系数乘以</w:t>
            </w:r>
            <w:r>
              <w:rPr>
                <w:rFonts w:ascii="Times New Roman" w:eastAsia="仿宋_GB2312" w:hAnsi="Times New Roman"/>
                <w:kern w:val="0"/>
                <w:sz w:val="15"/>
                <w:szCs w:val="15"/>
              </w:rPr>
              <w:t>1.5</w:t>
            </w:r>
            <w:r>
              <w:rPr>
                <w:rFonts w:ascii="Times New Roman" w:eastAsia="仿宋_GB2312" w:hAnsi="Times New Roman"/>
                <w:kern w:val="0"/>
                <w:sz w:val="15"/>
                <w:szCs w:val="15"/>
              </w:rPr>
              <w:t>倍计算。柳州市行政区域内，该项累计不超过</w:t>
            </w:r>
            <w:r>
              <w:rPr>
                <w:rFonts w:ascii="Times New Roman" w:eastAsia="仿宋_GB2312" w:hAnsi="Times New Roman"/>
                <w:kern w:val="0"/>
                <w:sz w:val="15"/>
                <w:szCs w:val="15"/>
              </w:rPr>
              <w:t>20</w:t>
            </w:r>
            <w:r>
              <w:rPr>
                <w:rFonts w:ascii="Times New Roman" w:eastAsia="仿宋_GB2312" w:hAnsi="Times New Roman"/>
                <w:kern w:val="0"/>
                <w:sz w:val="15"/>
                <w:szCs w:val="15"/>
              </w:rPr>
              <w:t>分。</w:t>
            </w:r>
          </w:p>
        </w:tc>
      </w:tr>
      <w:tr w:rsidR="00D87CF7">
        <w:trPr>
          <w:trHeight w:val="4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34</w:t>
            </w:r>
          </w:p>
        </w:tc>
        <w:tc>
          <w:tcPr>
            <w:tcW w:w="707" w:type="dxa"/>
            <w:vMerge/>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本年度房地产投资、商品房销售面积相比上一年度增长</w:t>
            </w:r>
            <w:r>
              <w:rPr>
                <w:rFonts w:ascii="Times New Roman" w:eastAsia="仿宋_GB2312" w:hAnsi="Times New Roman"/>
                <w:kern w:val="0"/>
                <w:sz w:val="18"/>
                <w:szCs w:val="18"/>
              </w:rPr>
              <w:t>10%</w:t>
            </w:r>
            <w:r>
              <w:rPr>
                <w:rFonts w:ascii="Times New Roman" w:eastAsia="仿宋_GB2312" w:hAnsi="Times New Roman"/>
                <w:kern w:val="0"/>
                <w:sz w:val="18"/>
                <w:szCs w:val="18"/>
              </w:rPr>
              <w:t>及以上的</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2509" w:type="dxa"/>
            <w:vAlign w:val="center"/>
          </w:tcPr>
          <w:p w:rsidR="00D87CF7" w:rsidRDefault="00916BBB">
            <w:pPr>
              <w:widowControl/>
              <w:snapToGrid w:val="0"/>
              <w:spacing w:line="240" w:lineRule="exact"/>
              <w:jc w:val="left"/>
              <w:rPr>
                <w:rFonts w:ascii="Times New Roman" w:eastAsia="仿宋_GB2312" w:hAnsi="Times New Roman"/>
                <w:kern w:val="0"/>
                <w:sz w:val="15"/>
                <w:szCs w:val="15"/>
              </w:rPr>
            </w:pPr>
            <w:r>
              <w:rPr>
                <w:rFonts w:ascii="Times New Roman" w:eastAsia="仿宋_GB2312" w:hAnsi="Times New Roman" w:hint="eastAsia"/>
                <w:kern w:val="0"/>
                <w:sz w:val="15"/>
                <w:szCs w:val="15"/>
              </w:rPr>
              <w:t>由市住建</w:t>
            </w:r>
            <w:r w:rsidR="000952D1">
              <w:rPr>
                <w:rFonts w:ascii="Times New Roman" w:eastAsia="仿宋_GB2312" w:hAnsi="Times New Roman" w:hint="eastAsia"/>
                <w:kern w:val="0"/>
                <w:sz w:val="15"/>
                <w:szCs w:val="15"/>
              </w:rPr>
              <w:t>局</w:t>
            </w:r>
            <w:r>
              <w:rPr>
                <w:rFonts w:ascii="Times New Roman" w:eastAsia="仿宋_GB2312" w:hAnsi="Times New Roman" w:hint="eastAsia"/>
                <w:kern w:val="0"/>
                <w:sz w:val="15"/>
                <w:szCs w:val="15"/>
              </w:rPr>
              <w:t>根据市统计局发布的准确数据认定。</w:t>
            </w:r>
          </w:p>
        </w:tc>
      </w:tr>
      <w:tr w:rsidR="00D87CF7">
        <w:trPr>
          <w:trHeight w:val="458"/>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35</w:t>
            </w:r>
          </w:p>
        </w:tc>
        <w:tc>
          <w:tcPr>
            <w:tcW w:w="707" w:type="dxa"/>
            <w:vMerge w:val="restart"/>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其它</w:t>
            </w:r>
          </w:p>
        </w:tc>
        <w:tc>
          <w:tcPr>
            <w:tcW w:w="3543" w:type="dxa"/>
            <w:gridSpan w:val="2"/>
            <w:vAlign w:val="center"/>
          </w:tcPr>
          <w:p w:rsidR="00D87CF7" w:rsidRDefault="00916BBB">
            <w:pPr>
              <w:widowControl/>
              <w:spacing w:line="260" w:lineRule="exact"/>
              <w:rPr>
                <w:rFonts w:ascii="Times New Roman" w:eastAsia="仿宋_GB2312" w:hAnsi="Times New Roman"/>
                <w:kern w:val="0"/>
                <w:sz w:val="18"/>
                <w:szCs w:val="18"/>
              </w:rPr>
            </w:pPr>
            <w:r>
              <w:rPr>
                <w:rFonts w:ascii="Times New Roman" w:eastAsia="仿宋_GB2312" w:hAnsi="Times New Roman"/>
                <w:kern w:val="0"/>
                <w:sz w:val="18"/>
                <w:szCs w:val="18"/>
              </w:rPr>
              <w:t>与建筑市场行为相关的其他市级表彰（扬）</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restart"/>
            <w:vAlign w:val="center"/>
          </w:tcPr>
          <w:p w:rsidR="00D87CF7" w:rsidRDefault="00916BBB">
            <w:pPr>
              <w:widowControl/>
              <w:snapToGrid w:val="0"/>
              <w:spacing w:line="260" w:lineRule="exact"/>
              <w:jc w:val="left"/>
              <w:rPr>
                <w:rFonts w:ascii="Times New Roman" w:eastAsia="仿宋_GB2312" w:hAnsi="Times New Roman"/>
                <w:b/>
                <w:bCs/>
                <w:kern w:val="0"/>
                <w:sz w:val="15"/>
                <w:szCs w:val="15"/>
              </w:rPr>
            </w:pPr>
            <w:r>
              <w:rPr>
                <w:rFonts w:ascii="Times New Roman" w:eastAsia="仿宋_GB2312" w:hAnsi="Times New Roman"/>
                <w:kern w:val="0"/>
                <w:sz w:val="15"/>
                <w:szCs w:val="15"/>
              </w:rPr>
              <w:t>柳州市行政区域内，且有效期内同一行业主管部门仅能加一次，两项累计不超过</w:t>
            </w:r>
            <w:r>
              <w:rPr>
                <w:rFonts w:ascii="Times New Roman" w:eastAsia="仿宋_GB2312" w:hAnsi="Times New Roman"/>
                <w:kern w:val="0"/>
                <w:sz w:val="15"/>
                <w:szCs w:val="15"/>
              </w:rPr>
              <w:t>5</w:t>
            </w:r>
            <w:r>
              <w:rPr>
                <w:rFonts w:ascii="Times New Roman" w:eastAsia="仿宋_GB2312" w:hAnsi="Times New Roman"/>
                <w:kern w:val="0"/>
                <w:sz w:val="15"/>
                <w:szCs w:val="15"/>
              </w:rPr>
              <w:t>分。</w:t>
            </w:r>
          </w:p>
        </w:tc>
      </w:tr>
      <w:tr w:rsidR="00D87CF7">
        <w:trPr>
          <w:trHeight w:val="602"/>
          <w:jc w:val="center"/>
        </w:trPr>
        <w:tc>
          <w:tcPr>
            <w:tcW w:w="528" w:type="dxa"/>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707" w:type="dxa"/>
            <w:vMerge/>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543" w:type="dxa"/>
            <w:gridSpan w:val="2"/>
            <w:vAlign w:val="center"/>
          </w:tcPr>
          <w:p w:rsidR="00D87CF7" w:rsidRDefault="00916BBB">
            <w:pPr>
              <w:widowControl/>
              <w:spacing w:line="260" w:lineRule="exact"/>
              <w:jc w:val="left"/>
              <w:rPr>
                <w:rFonts w:ascii="Times New Roman" w:eastAsia="仿宋_GB2312" w:hAnsi="Times New Roman"/>
                <w:b/>
                <w:bCs/>
                <w:kern w:val="0"/>
                <w:sz w:val="18"/>
                <w:szCs w:val="18"/>
              </w:rPr>
            </w:pPr>
            <w:r>
              <w:rPr>
                <w:rFonts w:ascii="Times New Roman" w:eastAsia="仿宋_GB2312" w:hAnsi="Times New Roman"/>
                <w:kern w:val="0"/>
                <w:sz w:val="18"/>
                <w:szCs w:val="18"/>
              </w:rPr>
              <w:t>及时响应政府号召，在抢险、救灾等方面有突出贡献</w:t>
            </w:r>
          </w:p>
        </w:tc>
        <w:tc>
          <w:tcPr>
            <w:tcW w:w="1418"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850" w:type="dxa"/>
            <w:vAlign w:val="center"/>
          </w:tcPr>
          <w:p w:rsidR="00D87CF7" w:rsidRDefault="00916BBB">
            <w:pPr>
              <w:widowControl/>
              <w:snapToGrid w:val="0"/>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2509" w:type="dxa"/>
            <w:vMerge/>
            <w:vAlign w:val="center"/>
          </w:tcPr>
          <w:p w:rsidR="00D87CF7" w:rsidRDefault="00D87CF7">
            <w:pPr>
              <w:widowControl/>
              <w:snapToGrid w:val="0"/>
              <w:spacing w:line="260" w:lineRule="exact"/>
              <w:jc w:val="left"/>
              <w:rPr>
                <w:rFonts w:ascii="Times New Roman" w:eastAsia="仿宋_GB2312" w:hAnsi="Times New Roman"/>
                <w:b/>
                <w:bCs/>
                <w:kern w:val="0"/>
                <w:sz w:val="18"/>
                <w:szCs w:val="18"/>
              </w:rPr>
            </w:pPr>
          </w:p>
        </w:tc>
      </w:tr>
    </w:tbl>
    <w:p w:rsidR="00D87CF7" w:rsidRDefault="00916BBB">
      <w:pPr>
        <w:spacing w:line="360" w:lineRule="exact"/>
        <w:rPr>
          <w:rFonts w:ascii="Times New Roman" w:eastAsia="仿宋_GB2312" w:hAnsi="Times New Roman"/>
          <w:kern w:val="0"/>
          <w:sz w:val="18"/>
          <w:szCs w:val="18"/>
        </w:rPr>
      </w:pPr>
      <w:r>
        <w:rPr>
          <w:rFonts w:ascii="Times New Roman" w:eastAsia="仿宋_GB2312" w:hAnsi="Times New Roman"/>
          <w:kern w:val="0"/>
          <w:sz w:val="18"/>
          <w:szCs w:val="18"/>
        </w:rPr>
        <w:t>注：企业同一行为或同一项目受到不同行业、不同层级表彰的，其记分分值和有效期按照最高层级执行，不重复记取</w:t>
      </w:r>
      <w:r>
        <w:rPr>
          <w:rFonts w:ascii="Times New Roman" w:eastAsia="仿宋_GB2312" w:hAnsi="Times New Roman" w:hint="eastAsia"/>
          <w:kern w:val="0"/>
          <w:sz w:val="18"/>
          <w:szCs w:val="18"/>
          <w:lang w:val="en-GB"/>
        </w:rPr>
        <w:t>；</w:t>
      </w:r>
      <w:r>
        <w:rPr>
          <w:rFonts w:ascii="Times New Roman" w:eastAsia="仿宋_GB2312" w:hAnsi="Times New Roman"/>
          <w:kern w:val="0"/>
          <w:sz w:val="18"/>
          <w:szCs w:val="18"/>
          <w:lang w:val="en-GB"/>
        </w:rPr>
        <w:t>若奖项升级后加分时，同时撤销低一级奖项加分</w:t>
      </w:r>
      <w:r>
        <w:rPr>
          <w:rFonts w:ascii="Times New Roman" w:eastAsia="仿宋_GB2312" w:hAnsi="Times New Roman"/>
          <w:kern w:val="0"/>
          <w:sz w:val="18"/>
          <w:szCs w:val="18"/>
        </w:rPr>
        <w:t>。</w:t>
      </w:r>
    </w:p>
    <w:p w:rsidR="00D87CF7" w:rsidRDefault="00D87CF7">
      <w:pPr>
        <w:spacing w:line="360" w:lineRule="exact"/>
        <w:rPr>
          <w:rFonts w:ascii="Times New Roman" w:eastAsia="仿宋_GB2312" w:hAnsi="Times New Roman"/>
          <w:kern w:val="0"/>
          <w:sz w:val="18"/>
          <w:szCs w:val="18"/>
        </w:rPr>
      </w:pPr>
    </w:p>
    <w:p w:rsidR="00D87CF7" w:rsidRDefault="00D87CF7">
      <w:pPr>
        <w:spacing w:line="360" w:lineRule="exact"/>
        <w:rPr>
          <w:rFonts w:ascii="Times New Roman" w:eastAsia="仿宋_GB2312" w:hAnsi="Times New Roman"/>
          <w:kern w:val="0"/>
          <w:sz w:val="18"/>
          <w:szCs w:val="18"/>
        </w:rPr>
      </w:pPr>
    </w:p>
    <w:tbl>
      <w:tblPr>
        <w:tblW w:w="10569" w:type="dxa"/>
        <w:jc w:val="center"/>
        <w:tblLayout w:type="fixed"/>
        <w:tblCellMar>
          <w:left w:w="57" w:type="dxa"/>
          <w:right w:w="57" w:type="dxa"/>
        </w:tblCellMar>
        <w:tblLook w:val="04A0"/>
      </w:tblPr>
      <w:tblGrid>
        <w:gridCol w:w="435"/>
        <w:gridCol w:w="563"/>
        <w:gridCol w:w="3645"/>
        <w:gridCol w:w="3045"/>
        <w:gridCol w:w="515"/>
        <w:gridCol w:w="716"/>
        <w:gridCol w:w="1650"/>
      </w:tblGrid>
      <w:tr w:rsidR="00D87CF7">
        <w:trPr>
          <w:trHeight w:val="525"/>
          <w:jc w:val="center"/>
        </w:trPr>
        <w:tc>
          <w:tcPr>
            <w:tcW w:w="10569" w:type="dxa"/>
            <w:gridSpan w:val="7"/>
            <w:tcBorders>
              <w:top w:val="nil"/>
              <w:left w:val="nil"/>
              <w:bottom w:val="nil"/>
              <w:right w:val="nil"/>
            </w:tcBorders>
            <w:vAlign w:val="center"/>
          </w:tcPr>
          <w:p w:rsidR="00D87CF7" w:rsidRDefault="00916BBB">
            <w:pPr>
              <w:spacing w:line="500" w:lineRule="exact"/>
              <w:jc w:val="center"/>
              <w:rPr>
                <w:rFonts w:ascii="Times New Roman" w:eastAsia="创艺简标宋" w:hAnsi="Times New Roman"/>
                <w:kern w:val="0"/>
                <w:sz w:val="40"/>
                <w:szCs w:val="40"/>
              </w:rPr>
            </w:pPr>
            <w:r>
              <w:rPr>
                <w:rFonts w:ascii="Times New Roman" w:eastAsia="创艺简标宋" w:hAnsi="Times New Roman"/>
                <w:kern w:val="0"/>
                <w:sz w:val="40"/>
                <w:szCs w:val="40"/>
              </w:rPr>
              <w:t>柳州市建设单位不良行为记分标准</w:t>
            </w:r>
          </w:p>
          <w:p w:rsidR="00D87CF7" w:rsidRDefault="00D87CF7">
            <w:pPr>
              <w:spacing w:line="200" w:lineRule="exact"/>
              <w:jc w:val="center"/>
              <w:rPr>
                <w:rFonts w:ascii="Times New Roman" w:eastAsia="创艺简标宋" w:hAnsi="Times New Roman"/>
                <w:kern w:val="0"/>
                <w:sz w:val="40"/>
                <w:szCs w:val="40"/>
              </w:rPr>
            </w:pPr>
          </w:p>
        </w:tc>
      </w:tr>
      <w:tr w:rsidR="00D87CF7">
        <w:trPr>
          <w:trHeight w:val="409"/>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序号</w:t>
            </w:r>
          </w:p>
        </w:tc>
        <w:tc>
          <w:tcPr>
            <w:tcW w:w="563" w:type="dxa"/>
            <w:tcBorders>
              <w:top w:val="single" w:sz="4" w:space="0" w:color="auto"/>
              <w:left w:val="nil"/>
              <w:bottom w:val="single" w:sz="4" w:space="0" w:color="auto"/>
              <w:right w:val="single" w:sz="4" w:space="0" w:color="auto"/>
            </w:tcBorders>
            <w:vAlign w:val="center"/>
          </w:tcPr>
          <w:p w:rsidR="00D87CF7" w:rsidRDefault="00916BBB">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行为类别</w:t>
            </w: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不良行为描述</w:t>
            </w:r>
          </w:p>
        </w:tc>
        <w:tc>
          <w:tcPr>
            <w:tcW w:w="304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依据</w:t>
            </w:r>
          </w:p>
        </w:tc>
        <w:tc>
          <w:tcPr>
            <w:tcW w:w="515" w:type="dxa"/>
            <w:tcBorders>
              <w:top w:val="single" w:sz="4" w:space="0" w:color="auto"/>
              <w:left w:val="nil"/>
              <w:bottom w:val="single" w:sz="4" w:space="0" w:color="auto"/>
              <w:right w:val="single" w:sz="4" w:space="0" w:color="auto"/>
            </w:tcBorders>
            <w:vAlign w:val="center"/>
          </w:tcPr>
          <w:p w:rsidR="00D87CF7" w:rsidRDefault="00916BBB">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分值</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有效期（月）</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240" w:lineRule="exact"/>
              <w:jc w:val="center"/>
              <w:rPr>
                <w:rFonts w:ascii="黑体" w:eastAsia="黑体" w:hAnsi="黑体" w:cs="黑体"/>
                <w:kern w:val="0"/>
                <w:sz w:val="18"/>
                <w:szCs w:val="18"/>
              </w:rPr>
            </w:pPr>
            <w:r>
              <w:rPr>
                <w:rFonts w:ascii="黑体" w:eastAsia="黑体" w:hAnsi="黑体" w:cs="黑体" w:hint="eastAsia"/>
                <w:kern w:val="0"/>
                <w:sz w:val="18"/>
                <w:szCs w:val="18"/>
              </w:rPr>
              <w:t>备注</w:t>
            </w:r>
          </w:p>
        </w:tc>
      </w:tr>
      <w:tr w:rsidR="00D87CF7">
        <w:trPr>
          <w:trHeight w:val="608"/>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资质管理</w:t>
            </w: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超越资质等级从事生产经营活动；未办理备案手续开展相关业务活动</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《房地产开发企业资质管理规定》第</w:t>
            </w:r>
            <w:r>
              <w:rPr>
                <w:rFonts w:ascii="Times New Roman" w:eastAsia="仿宋_GB2312" w:hAnsi="Times New Roman"/>
                <w:kern w:val="0"/>
                <w:sz w:val="18"/>
                <w:szCs w:val="18"/>
              </w:rPr>
              <w:t>3</w:t>
            </w:r>
            <w:r>
              <w:rPr>
                <w:rFonts w:ascii="Times New Roman" w:eastAsia="仿宋_GB2312" w:hAnsi="Times New Roman"/>
                <w:kern w:val="0"/>
                <w:sz w:val="18"/>
                <w:szCs w:val="18"/>
              </w:rPr>
              <w:t>、</w:t>
            </w:r>
            <w:r>
              <w:rPr>
                <w:rFonts w:ascii="Times New Roman" w:eastAsia="仿宋_GB2312" w:hAnsi="Times New Roman"/>
                <w:kern w:val="0"/>
                <w:sz w:val="18"/>
                <w:szCs w:val="18"/>
              </w:rPr>
              <w:t>18</w:t>
            </w:r>
            <w:r>
              <w:rPr>
                <w:rFonts w:ascii="Times New Roman" w:eastAsia="仿宋_GB2312" w:hAnsi="Times New Roman"/>
                <w:kern w:val="0"/>
                <w:sz w:val="18"/>
                <w:szCs w:val="18"/>
              </w:rPr>
              <w:t>、</w:t>
            </w:r>
            <w:r>
              <w:rPr>
                <w:rFonts w:ascii="Times New Roman" w:eastAsia="仿宋_GB2312" w:hAnsi="Times New Roman"/>
                <w:kern w:val="0"/>
                <w:sz w:val="18"/>
                <w:szCs w:val="18"/>
              </w:rPr>
              <w:t>19</w:t>
            </w:r>
            <w:r>
              <w:rPr>
                <w:rFonts w:ascii="Times New Roman" w:eastAsia="仿宋_GB2312" w:hAnsi="Times New Roman"/>
                <w:kern w:val="0"/>
                <w:sz w:val="18"/>
                <w:szCs w:val="18"/>
              </w:rPr>
              <w:t>、</w:t>
            </w:r>
            <w:r>
              <w:rPr>
                <w:rFonts w:ascii="Times New Roman" w:eastAsia="仿宋_GB2312" w:hAnsi="Times New Roman"/>
                <w:kern w:val="0"/>
                <w:sz w:val="18"/>
                <w:szCs w:val="18"/>
              </w:rPr>
              <w:t>20</w:t>
            </w:r>
            <w:r>
              <w:rPr>
                <w:rFonts w:ascii="Times New Roman" w:eastAsia="仿宋_GB2312" w:hAnsi="Times New Roman"/>
                <w:kern w:val="0"/>
                <w:sz w:val="18"/>
                <w:szCs w:val="18"/>
              </w:rPr>
              <w:t>条；《自治区房地产开发企业资质管理实施细则》第</w:t>
            </w:r>
            <w:r>
              <w:rPr>
                <w:rFonts w:ascii="Times New Roman" w:eastAsia="仿宋_GB2312" w:hAnsi="Times New Roman"/>
                <w:kern w:val="0"/>
                <w:sz w:val="18"/>
                <w:szCs w:val="18"/>
              </w:rPr>
              <w:t>23</w:t>
            </w:r>
            <w:r>
              <w:rPr>
                <w:rFonts w:ascii="Times New Roman" w:eastAsia="仿宋_GB2312" w:hAnsi="Times New Roman"/>
                <w:kern w:val="0"/>
                <w:sz w:val="18"/>
                <w:szCs w:val="18"/>
              </w:rPr>
              <w:t>条</w:t>
            </w:r>
          </w:p>
        </w:tc>
        <w:tc>
          <w:tcPr>
            <w:tcW w:w="515" w:type="dxa"/>
            <w:vMerge w:val="restart"/>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716" w:type="dxa"/>
            <w:vMerge w:val="restart"/>
            <w:tcBorders>
              <w:top w:val="nil"/>
              <w:left w:val="single" w:sz="4" w:space="0" w:color="auto"/>
              <w:bottom w:val="single" w:sz="4" w:space="0" w:color="000000"/>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421"/>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用虚假证明文件或者其他方式骗取资质证书；涂改、倒卖、伪造、出借、转让资质证书的</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《房地产开发企业资质管理规定》第</w:t>
            </w:r>
            <w:r>
              <w:rPr>
                <w:rFonts w:ascii="Times New Roman" w:eastAsia="仿宋_GB2312" w:hAnsi="Times New Roman"/>
                <w:kern w:val="0"/>
                <w:sz w:val="18"/>
                <w:szCs w:val="18"/>
              </w:rPr>
              <w:t>13</w:t>
            </w:r>
            <w:r>
              <w:rPr>
                <w:rFonts w:ascii="Times New Roman" w:eastAsia="仿宋_GB2312" w:hAnsi="Times New Roman"/>
                <w:kern w:val="0"/>
                <w:sz w:val="18"/>
                <w:szCs w:val="18"/>
              </w:rPr>
              <w:t>、</w:t>
            </w:r>
            <w:r>
              <w:rPr>
                <w:rFonts w:ascii="Times New Roman" w:eastAsia="仿宋_GB2312" w:hAnsi="Times New Roman"/>
                <w:kern w:val="0"/>
                <w:sz w:val="18"/>
                <w:szCs w:val="18"/>
              </w:rPr>
              <w:t>21</w:t>
            </w:r>
            <w:r>
              <w:rPr>
                <w:rFonts w:ascii="Times New Roman" w:eastAsia="仿宋_GB2312" w:hAnsi="Times New Roman"/>
                <w:kern w:val="0"/>
                <w:sz w:val="18"/>
                <w:szCs w:val="18"/>
              </w:rPr>
              <w:t>条</w:t>
            </w:r>
          </w:p>
        </w:tc>
        <w:tc>
          <w:tcPr>
            <w:tcW w:w="515" w:type="dxa"/>
            <w:vMerge/>
            <w:tcBorders>
              <w:top w:val="nil"/>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716" w:type="dxa"/>
            <w:vMerge/>
            <w:tcBorders>
              <w:top w:val="nil"/>
              <w:left w:val="single" w:sz="4" w:space="0" w:color="auto"/>
              <w:bottom w:val="single" w:sz="4" w:space="0" w:color="000000"/>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403"/>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未在规定期限内办理资质变更手续的；无正当理由不按期参加资质年检或资质到期未</w:t>
            </w:r>
            <w:proofErr w:type="gramStart"/>
            <w:r>
              <w:rPr>
                <w:rFonts w:ascii="Times New Roman" w:eastAsia="仿宋_GB2312" w:hAnsi="Times New Roman"/>
                <w:kern w:val="0"/>
                <w:sz w:val="18"/>
                <w:szCs w:val="18"/>
              </w:rPr>
              <w:t>申请核级而</w:t>
            </w:r>
            <w:proofErr w:type="gramEnd"/>
            <w:r>
              <w:rPr>
                <w:rFonts w:ascii="Times New Roman" w:eastAsia="仿宋_GB2312" w:hAnsi="Times New Roman"/>
                <w:kern w:val="0"/>
                <w:sz w:val="18"/>
                <w:szCs w:val="18"/>
              </w:rPr>
              <w:t>进行房地产开发</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《房地产开发企业资质管理规定》第</w:t>
            </w:r>
            <w:r>
              <w:rPr>
                <w:rFonts w:ascii="Times New Roman" w:eastAsia="仿宋_GB2312" w:hAnsi="Times New Roman"/>
                <w:kern w:val="0"/>
                <w:sz w:val="18"/>
                <w:szCs w:val="18"/>
              </w:rPr>
              <w:t>15</w:t>
            </w:r>
            <w:r>
              <w:rPr>
                <w:rFonts w:ascii="Times New Roman" w:eastAsia="仿宋_GB2312" w:hAnsi="Times New Roman"/>
                <w:kern w:val="0"/>
                <w:sz w:val="18"/>
                <w:szCs w:val="18"/>
              </w:rPr>
              <w:t>、</w:t>
            </w:r>
            <w:r>
              <w:rPr>
                <w:rFonts w:ascii="Times New Roman" w:eastAsia="仿宋_GB2312" w:hAnsi="Times New Roman"/>
                <w:kern w:val="0"/>
                <w:sz w:val="18"/>
                <w:szCs w:val="18"/>
              </w:rPr>
              <w:t>17</w:t>
            </w:r>
            <w:r>
              <w:rPr>
                <w:rFonts w:ascii="Times New Roman" w:eastAsia="仿宋_GB2312" w:hAnsi="Times New Roman"/>
                <w:kern w:val="0"/>
                <w:sz w:val="18"/>
                <w:szCs w:val="18"/>
              </w:rPr>
              <w:t>、</w:t>
            </w:r>
            <w:r>
              <w:rPr>
                <w:rFonts w:ascii="Times New Roman" w:eastAsia="仿宋_GB2312" w:hAnsi="Times New Roman"/>
                <w:kern w:val="0"/>
                <w:sz w:val="18"/>
                <w:szCs w:val="18"/>
              </w:rPr>
              <w:t>24</w:t>
            </w:r>
            <w:r>
              <w:rPr>
                <w:rFonts w:ascii="Times New Roman" w:eastAsia="仿宋_GB2312" w:hAnsi="Times New Roman"/>
                <w:kern w:val="0"/>
                <w:sz w:val="18"/>
                <w:szCs w:val="18"/>
              </w:rPr>
              <w:t>条</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313"/>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kern w:val="0"/>
                <w:sz w:val="18"/>
                <w:szCs w:val="18"/>
              </w:rPr>
            </w:pPr>
            <w:r>
              <w:rPr>
                <w:rFonts w:ascii="Times New Roman" w:eastAsia="仿宋_GB2312" w:hAnsi="Times New Roman"/>
                <w:kern w:val="0"/>
                <w:sz w:val="18"/>
                <w:szCs w:val="18"/>
              </w:rPr>
              <w:t>4</w:t>
            </w:r>
          </w:p>
        </w:tc>
        <w:tc>
          <w:tcPr>
            <w:tcW w:w="563" w:type="dxa"/>
            <w:vMerge w:val="restart"/>
            <w:tcBorders>
              <w:top w:val="single" w:sz="4" w:space="0" w:color="auto"/>
              <w:left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质量安全管理</w:t>
            </w:r>
          </w:p>
        </w:tc>
        <w:tc>
          <w:tcPr>
            <w:tcW w:w="3645" w:type="dxa"/>
            <w:tcBorders>
              <w:top w:val="nil"/>
              <w:left w:val="nil"/>
              <w:bottom w:val="single" w:sz="4" w:space="0" w:color="auto"/>
              <w:right w:val="nil"/>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明示或暗示设计单位或施工单位违反工程强制性标准，降低建设工程质量的</w:t>
            </w:r>
          </w:p>
        </w:tc>
        <w:tc>
          <w:tcPr>
            <w:tcW w:w="3045" w:type="dxa"/>
            <w:tcBorders>
              <w:top w:val="nil"/>
              <w:left w:val="single" w:sz="4" w:space="0" w:color="auto"/>
              <w:bottom w:val="single" w:sz="4" w:space="0" w:color="auto"/>
              <w:right w:val="single" w:sz="4" w:space="0" w:color="auto"/>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《建设工程质量管理条例》第十条</w:t>
            </w:r>
            <w:r>
              <w:rPr>
                <w:rFonts w:ascii="仿宋_GB2312" w:eastAsia="仿宋_GB2312" w:hAnsi="宋体" w:hint="eastAsia"/>
                <w:color w:val="000000"/>
                <w:sz w:val="18"/>
                <w:szCs w:val="18"/>
              </w:rPr>
              <w:t xml:space="preserve"> </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10</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519"/>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5</w:t>
            </w:r>
          </w:p>
        </w:tc>
        <w:tc>
          <w:tcPr>
            <w:tcW w:w="563" w:type="dxa"/>
            <w:vMerge/>
            <w:tcBorders>
              <w:left w:val="single" w:sz="4" w:space="0" w:color="auto"/>
              <w:right w:val="single" w:sz="4" w:space="0" w:color="auto"/>
            </w:tcBorders>
            <w:vAlign w:val="center"/>
          </w:tcPr>
          <w:p w:rsidR="00D87CF7" w:rsidRDefault="00D87CF7">
            <w:pPr>
              <w:widowControl/>
              <w:spacing w:line="240" w:lineRule="exact"/>
              <w:jc w:val="center"/>
              <w:rPr>
                <w:rFonts w:ascii="仿宋_GB2312" w:eastAsia="仿宋_GB2312" w:hAnsi="Times New Roman"/>
                <w:kern w:val="0"/>
                <w:sz w:val="18"/>
                <w:szCs w:val="18"/>
              </w:rPr>
            </w:pPr>
          </w:p>
        </w:tc>
        <w:tc>
          <w:tcPr>
            <w:tcW w:w="3645" w:type="dxa"/>
            <w:tcBorders>
              <w:top w:val="nil"/>
              <w:left w:val="nil"/>
              <w:bottom w:val="single" w:sz="4" w:space="0" w:color="auto"/>
              <w:right w:val="nil"/>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明示或暗示施工单位使用不合格的建筑材料、建筑构配件和设备的</w:t>
            </w:r>
          </w:p>
        </w:tc>
        <w:tc>
          <w:tcPr>
            <w:tcW w:w="3045" w:type="dxa"/>
            <w:tcBorders>
              <w:top w:val="nil"/>
              <w:left w:val="single" w:sz="4" w:space="0" w:color="auto"/>
              <w:bottom w:val="single" w:sz="4" w:space="0" w:color="auto"/>
              <w:right w:val="single" w:sz="4" w:space="0" w:color="auto"/>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《建设工程质量管理条例》第十四条</w:t>
            </w:r>
            <w:r>
              <w:rPr>
                <w:rFonts w:ascii="仿宋_GB2312" w:eastAsia="仿宋_GB2312" w:hAnsi="宋体" w:hint="eastAsia"/>
                <w:color w:val="000000"/>
                <w:sz w:val="18"/>
                <w:szCs w:val="18"/>
              </w:rPr>
              <w:t xml:space="preserve"> </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5</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243"/>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6</w:t>
            </w:r>
          </w:p>
        </w:tc>
        <w:tc>
          <w:tcPr>
            <w:tcW w:w="563" w:type="dxa"/>
            <w:vMerge/>
            <w:tcBorders>
              <w:left w:val="single" w:sz="4" w:space="0" w:color="auto"/>
              <w:right w:val="single" w:sz="4" w:space="0" w:color="auto"/>
            </w:tcBorders>
            <w:vAlign w:val="center"/>
          </w:tcPr>
          <w:p w:rsidR="00D87CF7" w:rsidRDefault="00D87CF7">
            <w:pPr>
              <w:widowControl/>
              <w:spacing w:line="240" w:lineRule="exact"/>
              <w:jc w:val="center"/>
              <w:rPr>
                <w:rFonts w:ascii="仿宋_GB2312" w:eastAsia="仿宋_GB2312" w:hAnsi="Times New Roman"/>
                <w:kern w:val="0"/>
                <w:sz w:val="18"/>
                <w:szCs w:val="18"/>
              </w:rPr>
            </w:pPr>
          </w:p>
        </w:tc>
        <w:tc>
          <w:tcPr>
            <w:tcW w:w="3645" w:type="dxa"/>
            <w:tcBorders>
              <w:top w:val="nil"/>
              <w:left w:val="nil"/>
              <w:bottom w:val="single" w:sz="4" w:space="0" w:color="auto"/>
              <w:right w:val="nil"/>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涉及建筑主体或者承重结构变动的装修工程，没有设计方案，擅自同意施工的</w:t>
            </w:r>
          </w:p>
        </w:tc>
        <w:tc>
          <w:tcPr>
            <w:tcW w:w="3045" w:type="dxa"/>
            <w:tcBorders>
              <w:top w:val="nil"/>
              <w:left w:val="single" w:sz="4" w:space="0" w:color="auto"/>
              <w:bottom w:val="single" w:sz="4" w:space="0" w:color="auto"/>
              <w:right w:val="single" w:sz="4" w:space="0" w:color="auto"/>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《建筑法》第四十九条</w:t>
            </w:r>
          </w:p>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《建设工程质量管理条例》第十五条</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5</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452"/>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kern w:val="0"/>
                <w:sz w:val="18"/>
                <w:szCs w:val="18"/>
              </w:rPr>
            </w:pPr>
            <w:r>
              <w:rPr>
                <w:rFonts w:ascii="仿宋_GB2312" w:eastAsia="仿宋_GB2312" w:hAnsi="Times New Roman" w:hint="eastAsia"/>
                <w:kern w:val="0"/>
                <w:sz w:val="18"/>
                <w:szCs w:val="18"/>
              </w:rPr>
              <w:t>7</w:t>
            </w:r>
          </w:p>
        </w:tc>
        <w:tc>
          <w:tcPr>
            <w:tcW w:w="563" w:type="dxa"/>
            <w:vMerge/>
            <w:tcBorders>
              <w:left w:val="single" w:sz="4" w:space="0" w:color="auto"/>
              <w:right w:val="single" w:sz="4" w:space="0" w:color="auto"/>
            </w:tcBorders>
            <w:vAlign w:val="center"/>
          </w:tcPr>
          <w:p w:rsidR="00D87CF7" w:rsidRDefault="00D87CF7">
            <w:pPr>
              <w:widowControl/>
              <w:spacing w:line="240" w:lineRule="exact"/>
              <w:jc w:val="center"/>
              <w:rPr>
                <w:rFonts w:ascii="仿宋_GB2312" w:eastAsia="仿宋_GB2312" w:hAnsi="Times New Roman"/>
                <w:kern w:val="0"/>
                <w:sz w:val="18"/>
                <w:szCs w:val="18"/>
              </w:rPr>
            </w:pPr>
          </w:p>
        </w:tc>
        <w:tc>
          <w:tcPr>
            <w:tcW w:w="3645" w:type="dxa"/>
            <w:tcBorders>
              <w:top w:val="nil"/>
              <w:left w:val="nil"/>
              <w:bottom w:val="single" w:sz="4" w:space="0" w:color="auto"/>
              <w:right w:val="nil"/>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对勘察设计、施工、监理等单位提出不符合安全生产法律、法规和强制性标准规定的要求的；要求施工单位压缩合同约定的工期的</w:t>
            </w:r>
          </w:p>
        </w:tc>
        <w:tc>
          <w:tcPr>
            <w:tcW w:w="3045" w:type="dxa"/>
            <w:tcBorders>
              <w:top w:val="nil"/>
              <w:left w:val="single" w:sz="4" w:space="0" w:color="auto"/>
              <w:bottom w:val="single" w:sz="4" w:space="0" w:color="auto"/>
              <w:right w:val="single" w:sz="4" w:space="0" w:color="auto"/>
            </w:tcBorders>
            <w:vAlign w:val="center"/>
          </w:tcPr>
          <w:p w:rsidR="00D87CF7" w:rsidRDefault="00916BBB">
            <w:pPr>
              <w:spacing w:line="240" w:lineRule="atLeast"/>
              <w:rPr>
                <w:rFonts w:ascii="仿宋_GB2312" w:eastAsia="仿宋_GB2312" w:hAnsi="宋体"/>
                <w:color w:val="000000"/>
                <w:sz w:val="18"/>
                <w:szCs w:val="18"/>
              </w:rPr>
            </w:pPr>
            <w:r>
              <w:rPr>
                <w:rFonts w:ascii="仿宋_GB2312" w:eastAsia="仿宋_GB2312" w:hAnsi="宋体" w:hint="eastAsia"/>
                <w:color w:val="000000"/>
                <w:sz w:val="18"/>
                <w:szCs w:val="18"/>
              </w:rPr>
              <w:t>《建设工程安全生产管理条例》第七条</w:t>
            </w:r>
            <w:r>
              <w:rPr>
                <w:rFonts w:ascii="仿宋_GB2312" w:eastAsia="仿宋_GB2312" w:hAnsi="宋体" w:hint="eastAsia"/>
                <w:color w:val="000000"/>
                <w:sz w:val="18"/>
                <w:szCs w:val="18"/>
              </w:rPr>
              <w:t xml:space="preserve"> </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仿宋_GB2312" w:eastAsia="仿宋_GB2312" w:hAnsi="Times New Roman"/>
                <w:bCs/>
                <w:kern w:val="0"/>
                <w:sz w:val="18"/>
                <w:szCs w:val="18"/>
              </w:rPr>
            </w:pPr>
            <w:r>
              <w:rPr>
                <w:rFonts w:ascii="仿宋_GB2312" w:eastAsia="仿宋_GB2312" w:hAnsi="Times New Roman" w:hint="eastAsia"/>
                <w:bCs/>
                <w:kern w:val="0"/>
                <w:sz w:val="18"/>
                <w:szCs w:val="18"/>
              </w:rPr>
              <w:t>5</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686"/>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8</w:t>
            </w:r>
          </w:p>
        </w:tc>
        <w:tc>
          <w:tcPr>
            <w:tcW w:w="563" w:type="dxa"/>
            <w:vMerge/>
            <w:tcBorders>
              <w:left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未对暂时不能开工的建设用地的裸露地面进行覆盖，或者未对超过三个月不能开工的建设用地的裸露地面进行绿化、铺装或者遮盖的，</w:t>
            </w:r>
            <w:r>
              <w:rPr>
                <w:rFonts w:ascii="Times New Roman" w:eastAsia="仿宋_GB2312" w:hAnsi="Times New Roman"/>
                <w:bCs/>
                <w:kern w:val="0"/>
                <w:sz w:val="18"/>
                <w:szCs w:val="18"/>
              </w:rPr>
              <w:lastRenderedPageBreak/>
              <w:t>施工围挡公益广告占比不达标</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lastRenderedPageBreak/>
              <w:t>《中华人民共和国大气污染防治法》第</w:t>
            </w:r>
            <w:r>
              <w:rPr>
                <w:rFonts w:ascii="Times New Roman" w:eastAsia="仿宋_GB2312" w:hAnsi="Times New Roman"/>
                <w:bCs/>
                <w:kern w:val="0"/>
                <w:sz w:val="18"/>
                <w:szCs w:val="18"/>
              </w:rPr>
              <w:t>115</w:t>
            </w:r>
            <w:r>
              <w:rPr>
                <w:rFonts w:ascii="Times New Roman" w:eastAsia="仿宋_GB2312" w:hAnsi="Times New Roman"/>
                <w:bCs/>
                <w:kern w:val="0"/>
                <w:sz w:val="18"/>
                <w:szCs w:val="18"/>
              </w:rPr>
              <w:t>条</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r>
      <w:tr w:rsidR="00D87CF7">
        <w:trPr>
          <w:trHeight w:val="742"/>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lastRenderedPageBreak/>
              <w:t>9</w:t>
            </w:r>
          </w:p>
        </w:tc>
        <w:tc>
          <w:tcPr>
            <w:tcW w:w="563" w:type="dxa"/>
            <w:vMerge/>
            <w:tcBorders>
              <w:left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发生较大及以上质量安全责任事故的</w:t>
            </w:r>
          </w:p>
        </w:tc>
        <w:tc>
          <w:tcPr>
            <w:tcW w:w="3045" w:type="dxa"/>
            <w:tcBorders>
              <w:top w:val="nil"/>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50</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36</w:t>
            </w:r>
          </w:p>
        </w:tc>
        <w:tc>
          <w:tcPr>
            <w:tcW w:w="1650" w:type="dxa"/>
            <w:tcBorders>
              <w:top w:val="nil"/>
              <w:left w:val="nil"/>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扣</w:t>
            </w:r>
            <w:r>
              <w:rPr>
                <w:rFonts w:ascii="Times New Roman" w:eastAsia="仿宋_GB2312" w:hAnsi="Times New Roman" w:hint="eastAsia"/>
                <w:bCs/>
                <w:kern w:val="0"/>
                <w:sz w:val="18"/>
                <w:szCs w:val="18"/>
              </w:rPr>
              <w:t>分以</w:t>
            </w:r>
            <w:r>
              <w:rPr>
                <w:rFonts w:ascii="Times New Roman" w:eastAsia="仿宋_GB2312" w:hAnsi="Times New Roman"/>
                <w:bCs/>
                <w:kern w:val="0"/>
                <w:sz w:val="18"/>
                <w:szCs w:val="18"/>
              </w:rPr>
              <w:t>后企业积分在</w:t>
            </w:r>
            <w:r>
              <w:rPr>
                <w:rFonts w:ascii="Times New Roman" w:eastAsia="仿宋_GB2312" w:hAnsi="Times New Roman"/>
                <w:bCs/>
                <w:kern w:val="0"/>
                <w:sz w:val="18"/>
                <w:szCs w:val="18"/>
              </w:rPr>
              <w:t>50</w:t>
            </w:r>
            <w:r>
              <w:rPr>
                <w:rFonts w:ascii="Times New Roman" w:eastAsia="仿宋_GB2312" w:hAnsi="Times New Roman"/>
                <w:bCs/>
                <w:kern w:val="0"/>
                <w:sz w:val="18"/>
                <w:szCs w:val="18"/>
              </w:rPr>
              <w:t>分以上的</w:t>
            </w:r>
            <w:r>
              <w:rPr>
                <w:rFonts w:ascii="Times New Roman" w:eastAsia="仿宋_GB2312" w:hAnsi="Times New Roman" w:hint="eastAsia"/>
                <w:bCs/>
                <w:kern w:val="0"/>
                <w:sz w:val="18"/>
                <w:szCs w:val="18"/>
              </w:rPr>
              <w:t>，</w:t>
            </w:r>
            <w:r>
              <w:rPr>
                <w:rFonts w:ascii="Times New Roman" w:eastAsia="仿宋_GB2312" w:hAnsi="Times New Roman"/>
                <w:bCs/>
                <w:kern w:val="0"/>
                <w:sz w:val="18"/>
                <w:szCs w:val="18"/>
              </w:rPr>
              <w:t>降到</w:t>
            </w:r>
            <w:r>
              <w:rPr>
                <w:rFonts w:ascii="Times New Roman" w:eastAsia="仿宋_GB2312" w:hAnsi="Times New Roman"/>
                <w:bCs/>
                <w:kern w:val="0"/>
                <w:sz w:val="18"/>
                <w:szCs w:val="18"/>
              </w:rPr>
              <w:t>50</w:t>
            </w:r>
            <w:r>
              <w:rPr>
                <w:rFonts w:ascii="Times New Roman" w:eastAsia="仿宋_GB2312" w:hAnsi="Times New Roman"/>
                <w:bCs/>
                <w:kern w:val="0"/>
                <w:sz w:val="18"/>
                <w:szCs w:val="18"/>
              </w:rPr>
              <w:t>分</w:t>
            </w:r>
            <w:r>
              <w:rPr>
                <w:rFonts w:ascii="Times New Roman" w:eastAsia="仿宋_GB2312" w:hAnsi="Times New Roman" w:hint="eastAsia"/>
                <w:bCs/>
                <w:kern w:val="0"/>
                <w:sz w:val="18"/>
                <w:szCs w:val="18"/>
              </w:rPr>
              <w:t>；</w:t>
            </w:r>
            <w:r>
              <w:rPr>
                <w:rFonts w:ascii="Times New Roman" w:eastAsia="仿宋_GB2312" w:hAnsi="Times New Roman"/>
                <w:bCs/>
                <w:kern w:val="0"/>
                <w:sz w:val="18"/>
                <w:szCs w:val="18"/>
              </w:rPr>
              <w:t>扣减后企业积分低于</w:t>
            </w:r>
            <w:r>
              <w:rPr>
                <w:rFonts w:ascii="Times New Roman" w:eastAsia="仿宋_GB2312" w:hAnsi="Times New Roman"/>
                <w:bCs/>
                <w:kern w:val="0"/>
                <w:sz w:val="18"/>
                <w:szCs w:val="18"/>
              </w:rPr>
              <w:t>50</w:t>
            </w:r>
            <w:r>
              <w:rPr>
                <w:rFonts w:ascii="Times New Roman" w:eastAsia="仿宋_GB2312" w:hAnsi="Times New Roman"/>
                <w:bCs/>
                <w:kern w:val="0"/>
                <w:sz w:val="18"/>
                <w:szCs w:val="18"/>
              </w:rPr>
              <w:t>分的</w:t>
            </w:r>
            <w:r>
              <w:rPr>
                <w:rFonts w:ascii="Times New Roman" w:eastAsia="仿宋_GB2312" w:hAnsi="Times New Roman" w:hint="eastAsia"/>
                <w:bCs/>
                <w:kern w:val="0"/>
                <w:sz w:val="18"/>
                <w:szCs w:val="18"/>
              </w:rPr>
              <w:t>，</w:t>
            </w:r>
            <w:r>
              <w:rPr>
                <w:rFonts w:ascii="Times New Roman" w:eastAsia="仿宋_GB2312" w:hAnsi="Times New Roman"/>
                <w:bCs/>
                <w:kern w:val="0"/>
                <w:sz w:val="18"/>
                <w:szCs w:val="18"/>
              </w:rPr>
              <w:t>据实记分。</w:t>
            </w:r>
          </w:p>
        </w:tc>
      </w:tr>
      <w:tr w:rsidR="00D87CF7">
        <w:trPr>
          <w:trHeight w:val="169"/>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10</w:t>
            </w:r>
          </w:p>
        </w:tc>
        <w:tc>
          <w:tcPr>
            <w:tcW w:w="563" w:type="dxa"/>
            <w:vMerge/>
            <w:tcBorders>
              <w:left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发生一般质量安全责任事故的</w:t>
            </w:r>
          </w:p>
        </w:tc>
        <w:tc>
          <w:tcPr>
            <w:tcW w:w="3045" w:type="dxa"/>
            <w:tcBorders>
              <w:top w:val="nil"/>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20</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24</w:t>
            </w:r>
          </w:p>
        </w:tc>
        <w:tc>
          <w:tcPr>
            <w:tcW w:w="1650" w:type="dxa"/>
            <w:tcBorders>
              <w:top w:val="nil"/>
              <w:left w:val="nil"/>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kern w:val="0"/>
                <w:sz w:val="18"/>
                <w:szCs w:val="18"/>
              </w:rPr>
              <w:t>扣分以后积分超过</w:t>
            </w:r>
            <w:r>
              <w:rPr>
                <w:rFonts w:ascii="Times New Roman" w:eastAsia="仿宋_GB2312" w:hAnsi="Times New Roman"/>
                <w:kern w:val="0"/>
                <w:sz w:val="18"/>
                <w:szCs w:val="18"/>
              </w:rPr>
              <w:t>65</w:t>
            </w:r>
            <w:r>
              <w:rPr>
                <w:rFonts w:ascii="Times New Roman" w:eastAsia="仿宋_GB2312" w:hAnsi="Times New Roman"/>
                <w:kern w:val="0"/>
                <w:sz w:val="18"/>
                <w:szCs w:val="18"/>
              </w:rPr>
              <w:t>分的，降为</w:t>
            </w:r>
            <w:r>
              <w:rPr>
                <w:rFonts w:ascii="Times New Roman" w:eastAsia="仿宋_GB2312" w:hAnsi="Times New Roman"/>
                <w:kern w:val="0"/>
                <w:sz w:val="18"/>
                <w:szCs w:val="18"/>
              </w:rPr>
              <w:t>65</w:t>
            </w:r>
            <w:r>
              <w:rPr>
                <w:rFonts w:ascii="Times New Roman" w:eastAsia="仿宋_GB2312" w:hAnsi="Times New Roman"/>
                <w:kern w:val="0"/>
                <w:sz w:val="18"/>
                <w:szCs w:val="18"/>
              </w:rPr>
              <w:t>分，但当年在本市有项目获得国家级安全观摩示范工程、全国</w:t>
            </w:r>
            <w:r>
              <w:rPr>
                <w:rFonts w:ascii="Times New Roman" w:eastAsia="仿宋_GB2312" w:hAnsi="Times New Roman"/>
                <w:kern w:val="0"/>
                <w:sz w:val="18"/>
                <w:szCs w:val="18"/>
              </w:rPr>
              <w:t>“AAA”</w:t>
            </w:r>
            <w:r>
              <w:rPr>
                <w:rFonts w:ascii="Times New Roman" w:eastAsia="仿宋_GB2312" w:hAnsi="Times New Roman"/>
                <w:kern w:val="0"/>
                <w:sz w:val="18"/>
                <w:szCs w:val="18"/>
              </w:rPr>
              <w:t>安全文明施工现场、自治区安全文明工地的以及事故调查报告显示事故发生原因非因主体责任履行不到位的，据实记分；扣分以后积分低于</w:t>
            </w:r>
            <w:r>
              <w:rPr>
                <w:rFonts w:ascii="Times New Roman" w:eastAsia="仿宋_GB2312" w:hAnsi="Times New Roman"/>
                <w:kern w:val="0"/>
                <w:sz w:val="18"/>
                <w:szCs w:val="18"/>
              </w:rPr>
              <w:t>65</w:t>
            </w:r>
            <w:r>
              <w:rPr>
                <w:rFonts w:ascii="Times New Roman" w:eastAsia="仿宋_GB2312" w:hAnsi="Times New Roman"/>
                <w:kern w:val="0"/>
                <w:sz w:val="18"/>
                <w:szCs w:val="18"/>
              </w:rPr>
              <w:t>分的，据实记分。</w:t>
            </w:r>
          </w:p>
        </w:tc>
      </w:tr>
      <w:tr w:rsidR="00D87CF7">
        <w:trPr>
          <w:trHeight w:val="600"/>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11</w:t>
            </w:r>
          </w:p>
        </w:tc>
        <w:tc>
          <w:tcPr>
            <w:tcW w:w="563" w:type="dxa"/>
            <w:vMerge/>
            <w:tcBorders>
              <w:left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施工工地未设置硬质密闭围挡，或者未采取覆盖、分段作业、择时施工、洒水抑尘、冲洗地面和车辆等有效防尘降尘措施的</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《中华人民共和国大气污染防治法》第</w:t>
            </w:r>
            <w:r>
              <w:rPr>
                <w:rFonts w:ascii="Times New Roman" w:eastAsia="仿宋_GB2312" w:hAnsi="Times New Roman"/>
                <w:bCs/>
                <w:kern w:val="0"/>
                <w:sz w:val="18"/>
                <w:szCs w:val="18"/>
              </w:rPr>
              <w:t>115</w:t>
            </w:r>
            <w:r>
              <w:rPr>
                <w:rFonts w:ascii="Times New Roman" w:eastAsia="仿宋_GB2312" w:hAnsi="Times New Roman"/>
                <w:bCs/>
                <w:kern w:val="0"/>
                <w:sz w:val="18"/>
                <w:szCs w:val="18"/>
              </w:rPr>
              <w:t>条</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r>
      <w:tr w:rsidR="00D87CF7">
        <w:trPr>
          <w:trHeight w:val="297"/>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563" w:type="dxa"/>
            <w:vMerge/>
            <w:tcBorders>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建筑土方、工程渣土、建筑垃圾未及时清运，或者未采用密闭式防尘网遮盖</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《中华人民共和国大气污染防治法》第</w:t>
            </w:r>
            <w:r>
              <w:rPr>
                <w:rFonts w:ascii="Times New Roman" w:eastAsia="仿宋_GB2312" w:hAnsi="Times New Roman"/>
                <w:bCs/>
                <w:kern w:val="0"/>
                <w:sz w:val="18"/>
                <w:szCs w:val="18"/>
              </w:rPr>
              <w:t>115</w:t>
            </w:r>
            <w:r>
              <w:rPr>
                <w:rFonts w:ascii="Times New Roman" w:eastAsia="仿宋_GB2312" w:hAnsi="Times New Roman"/>
                <w:bCs/>
                <w:kern w:val="0"/>
                <w:sz w:val="18"/>
                <w:szCs w:val="18"/>
              </w:rPr>
              <w:t>条</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r>
      <w:tr w:rsidR="00D87CF7">
        <w:trPr>
          <w:trHeight w:val="297"/>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13</w:t>
            </w:r>
          </w:p>
        </w:tc>
        <w:tc>
          <w:tcPr>
            <w:tcW w:w="563" w:type="dxa"/>
            <w:tcBorders>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未办理相关手续情况下临时挖掘城市道路、损坏排水设施及城市照明等损坏市政设施行为</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hint="eastAsia"/>
                <w:bCs/>
                <w:kern w:val="0"/>
                <w:sz w:val="18"/>
                <w:szCs w:val="18"/>
              </w:rPr>
              <w:t>《城市道路管理条例》第</w:t>
            </w:r>
            <w:r>
              <w:rPr>
                <w:rFonts w:ascii="Times New Roman" w:eastAsia="仿宋_GB2312" w:hAnsi="Times New Roman" w:hint="eastAsia"/>
                <w:bCs/>
                <w:kern w:val="0"/>
                <w:sz w:val="18"/>
                <w:szCs w:val="18"/>
              </w:rPr>
              <w:t>42</w:t>
            </w:r>
            <w:r>
              <w:rPr>
                <w:rFonts w:ascii="Times New Roman" w:eastAsia="仿宋_GB2312" w:hAnsi="Times New Roman" w:hint="eastAsia"/>
                <w:bCs/>
                <w:kern w:val="0"/>
                <w:sz w:val="18"/>
                <w:szCs w:val="18"/>
              </w:rPr>
              <w:t>条</w:t>
            </w:r>
          </w:p>
        </w:tc>
        <w:tc>
          <w:tcPr>
            <w:tcW w:w="515"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8</w:t>
            </w:r>
          </w:p>
        </w:tc>
        <w:tc>
          <w:tcPr>
            <w:tcW w:w="716" w:type="dxa"/>
            <w:tcBorders>
              <w:top w:val="nil"/>
              <w:left w:val="nil"/>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bCs/>
                <w:kern w:val="0"/>
                <w:sz w:val="18"/>
                <w:szCs w:val="18"/>
              </w:rPr>
            </w:pPr>
          </w:p>
        </w:tc>
      </w:tr>
      <w:tr w:rsidR="00D87CF7">
        <w:trPr>
          <w:trHeight w:val="480"/>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14</w:t>
            </w:r>
          </w:p>
        </w:tc>
        <w:tc>
          <w:tcPr>
            <w:tcW w:w="563" w:type="dxa"/>
            <w:vMerge w:val="restart"/>
            <w:tcBorders>
              <w:left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未按照合同约定支付工程款或者未按规定将人工费支付至专用账户，造成群体性事件或者</w:t>
            </w:r>
            <w:r>
              <w:rPr>
                <w:rFonts w:ascii="Times New Roman" w:eastAsia="仿宋_GB2312" w:hAnsi="Times New Roman"/>
                <w:bCs/>
                <w:kern w:val="0"/>
                <w:sz w:val="18"/>
                <w:szCs w:val="18"/>
              </w:rPr>
              <w:t>10</w:t>
            </w:r>
            <w:r>
              <w:rPr>
                <w:rFonts w:ascii="Times New Roman" w:eastAsia="仿宋_GB2312" w:hAnsi="Times New Roman"/>
                <w:bCs/>
                <w:kern w:val="0"/>
                <w:sz w:val="18"/>
                <w:szCs w:val="18"/>
              </w:rPr>
              <w:t>人及以上集体上访投诉的</w:t>
            </w:r>
          </w:p>
        </w:tc>
        <w:tc>
          <w:tcPr>
            <w:tcW w:w="304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《国务院办公厅关于全面治理拖欠农民工工资问题的意见》（国办发〔</w:t>
            </w:r>
            <w:r>
              <w:rPr>
                <w:rFonts w:ascii="Times New Roman" w:eastAsia="仿宋_GB2312" w:hAnsi="Times New Roman"/>
                <w:bCs/>
                <w:kern w:val="0"/>
                <w:sz w:val="18"/>
                <w:szCs w:val="18"/>
              </w:rPr>
              <w:t>2016</w:t>
            </w:r>
            <w:r>
              <w:rPr>
                <w:rFonts w:ascii="Times New Roman" w:eastAsia="仿宋_GB2312" w:hAnsi="Times New Roman"/>
                <w:bCs/>
                <w:kern w:val="0"/>
                <w:sz w:val="18"/>
                <w:szCs w:val="18"/>
              </w:rPr>
              <w:t>〕</w:t>
            </w:r>
            <w:r>
              <w:rPr>
                <w:rFonts w:ascii="Times New Roman" w:eastAsia="仿宋_GB2312" w:hAnsi="Times New Roman"/>
                <w:bCs/>
                <w:kern w:val="0"/>
                <w:sz w:val="18"/>
                <w:szCs w:val="18"/>
              </w:rPr>
              <w:t>1</w:t>
            </w:r>
            <w:r>
              <w:rPr>
                <w:rFonts w:ascii="Times New Roman" w:eastAsia="仿宋_GB2312" w:hAnsi="Times New Roman"/>
                <w:bCs/>
                <w:kern w:val="0"/>
                <w:sz w:val="18"/>
                <w:szCs w:val="18"/>
              </w:rPr>
              <w:t>号）</w:t>
            </w:r>
          </w:p>
        </w:tc>
        <w:tc>
          <w:tcPr>
            <w:tcW w:w="515" w:type="dxa"/>
            <w:tcBorders>
              <w:top w:val="nil"/>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nil"/>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nil"/>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570"/>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15</w:t>
            </w:r>
          </w:p>
        </w:tc>
        <w:tc>
          <w:tcPr>
            <w:tcW w:w="563" w:type="dxa"/>
            <w:vMerge/>
            <w:tcBorders>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nil"/>
              <w:left w:val="nil"/>
              <w:bottom w:val="single" w:sz="4" w:space="0" w:color="auto"/>
              <w:right w:val="nil"/>
            </w:tcBorders>
          </w:tcPr>
          <w:p w:rsidR="00D87CF7" w:rsidRDefault="00916BBB">
            <w:pPr>
              <w:spacing w:line="240" w:lineRule="atLeast"/>
              <w:rPr>
                <w:rFonts w:ascii="宋体" w:hAnsi="宋体"/>
                <w:color w:val="000000"/>
                <w:sz w:val="18"/>
                <w:szCs w:val="18"/>
              </w:rPr>
            </w:pPr>
            <w:r>
              <w:rPr>
                <w:rFonts w:ascii="宋体" w:hAnsi="宋体" w:hint="eastAsia"/>
                <w:color w:val="000000"/>
                <w:sz w:val="18"/>
                <w:szCs w:val="18"/>
              </w:rPr>
              <w:t>不按合同约定支付施工工程款及工程勘察、设计、监理、造价咨询、招标代理、检测试验等费用，或违规收取费用</w:t>
            </w:r>
          </w:p>
        </w:tc>
        <w:tc>
          <w:tcPr>
            <w:tcW w:w="3045" w:type="dxa"/>
            <w:tcBorders>
              <w:top w:val="nil"/>
              <w:left w:val="single" w:sz="4" w:space="0" w:color="auto"/>
              <w:bottom w:val="single" w:sz="4" w:space="0" w:color="auto"/>
              <w:right w:val="single" w:sz="4" w:space="0" w:color="auto"/>
            </w:tcBorders>
            <w:vAlign w:val="center"/>
          </w:tcPr>
          <w:p w:rsidR="00D87CF7" w:rsidRDefault="00916BBB">
            <w:pPr>
              <w:spacing w:line="240" w:lineRule="atLeast"/>
              <w:jc w:val="center"/>
              <w:rPr>
                <w:rFonts w:ascii="宋体" w:hAnsi="宋体"/>
                <w:color w:val="000000"/>
                <w:sz w:val="18"/>
                <w:szCs w:val="18"/>
              </w:rPr>
            </w:pPr>
            <w:r>
              <w:rPr>
                <w:rFonts w:ascii="宋体" w:hAnsi="宋体" w:hint="eastAsia"/>
                <w:color w:val="000000"/>
                <w:sz w:val="18"/>
                <w:szCs w:val="18"/>
              </w:rPr>
              <w:t>《合同法》第十六章第二百八十六条</w:t>
            </w:r>
          </w:p>
        </w:tc>
        <w:tc>
          <w:tcPr>
            <w:tcW w:w="515" w:type="dxa"/>
            <w:tcBorders>
              <w:top w:val="nil"/>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5</w:t>
            </w:r>
          </w:p>
        </w:tc>
        <w:tc>
          <w:tcPr>
            <w:tcW w:w="716" w:type="dxa"/>
            <w:tcBorders>
              <w:top w:val="nil"/>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6</w:t>
            </w:r>
          </w:p>
        </w:tc>
        <w:tc>
          <w:tcPr>
            <w:tcW w:w="1650" w:type="dxa"/>
            <w:tcBorders>
              <w:top w:val="nil"/>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61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16</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建设单位未在规定期限向建设行政主管部门或者其他有关部门移交建设项目档案</w:t>
            </w:r>
          </w:p>
        </w:tc>
        <w:tc>
          <w:tcPr>
            <w:tcW w:w="304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《城市建设档案管理规定》第六条、第七条；《建设工程质量管理条例》第五十九条</w:t>
            </w:r>
          </w:p>
        </w:tc>
        <w:tc>
          <w:tcPr>
            <w:tcW w:w="515"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bCs/>
                <w:kern w:val="0"/>
                <w:sz w:val="18"/>
                <w:szCs w:val="18"/>
              </w:rPr>
            </w:pPr>
            <w:r>
              <w:rPr>
                <w:rFonts w:ascii="Times New Roman" w:eastAsia="仿宋_GB2312" w:hAnsi="Times New Roman"/>
                <w:bCs/>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房屋建筑按照验收单体每栋；市政工程按合同项目。</w:t>
            </w:r>
          </w:p>
        </w:tc>
      </w:tr>
      <w:tr w:rsidR="00D87CF7">
        <w:trPr>
          <w:trHeight w:val="478"/>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17</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建筑节能管理</w:t>
            </w: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明示或者暗示设计单位、施工单位违反民用建筑节能强制性标准进行设计、施工</w:t>
            </w:r>
          </w:p>
        </w:tc>
        <w:tc>
          <w:tcPr>
            <w:tcW w:w="3045" w:type="dxa"/>
            <w:vMerge w:val="restart"/>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14</w:t>
            </w:r>
            <w:r>
              <w:rPr>
                <w:rFonts w:ascii="Times New Roman" w:eastAsia="仿宋_GB2312" w:hAnsi="Times New Roman"/>
                <w:kern w:val="0"/>
                <w:sz w:val="18"/>
                <w:szCs w:val="18"/>
              </w:rPr>
              <w:t>、</w:t>
            </w:r>
            <w:r>
              <w:rPr>
                <w:rFonts w:ascii="Times New Roman" w:eastAsia="仿宋_GB2312" w:hAnsi="Times New Roman"/>
                <w:kern w:val="0"/>
                <w:sz w:val="18"/>
                <w:szCs w:val="18"/>
              </w:rPr>
              <w:t>37</w:t>
            </w:r>
            <w:r>
              <w:rPr>
                <w:rFonts w:ascii="Times New Roman" w:eastAsia="仿宋_GB2312" w:hAnsi="Times New Roman"/>
                <w:kern w:val="0"/>
                <w:sz w:val="18"/>
                <w:szCs w:val="18"/>
              </w:rPr>
              <w:t>条</w:t>
            </w:r>
          </w:p>
        </w:tc>
        <w:tc>
          <w:tcPr>
            <w:tcW w:w="515"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547"/>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18</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明示或者暗示施工单位使用不符合施工图设计文件要求的墙</w:t>
            </w:r>
            <w:proofErr w:type="gramStart"/>
            <w:r>
              <w:rPr>
                <w:rFonts w:ascii="Times New Roman" w:eastAsia="仿宋_GB2312" w:hAnsi="Times New Roman"/>
                <w:kern w:val="0"/>
                <w:sz w:val="18"/>
                <w:szCs w:val="18"/>
              </w:rPr>
              <w:t>体材</w:t>
            </w:r>
            <w:proofErr w:type="gramEnd"/>
            <w:r>
              <w:rPr>
                <w:rFonts w:ascii="Times New Roman" w:eastAsia="仿宋_GB2312" w:hAnsi="Times New Roman"/>
                <w:kern w:val="0"/>
                <w:sz w:val="18"/>
                <w:szCs w:val="18"/>
              </w:rPr>
              <w:t>料、保温材料、门窗、采暖制冷系统和照明设备</w:t>
            </w:r>
          </w:p>
        </w:tc>
        <w:tc>
          <w:tcPr>
            <w:tcW w:w="3045"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645"/>
          <w:jc w:val="center"/>
        </w:trPr>
        <w:tc>
          <w:tcPr>
            <w:tcW w:w="435" w:type="dxa"/>
            <w:tcBorders>
              <w:top w:val="nil"/>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19</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采购不符合施工图设计文件要求的墙</w:t>
            </w:r>
            <w:proofErr w:type="gramStart"/>
            <w:r>
              <w:rPr>
                <w:rFonts w:ascii="Times New Roman" w:eastAsia="仿宋_GB2312" w:hAnsi="Times New Roman"/>
                <w:kern w:val="0"/>
                <w:sz w:val="18"/>
                <w:szCs w:val="18"/>
              </w:rPr>
              <w:t>体材</w:t>
            </w:r>
            <w:proofErr w:type="gramEnd"/>
            <w:r>
              <w:rPr>
                <w:rFonts w:ascii="Times New Roman" w:eastAsia="仿宋_GB2312" w:hAnsi="Times New Roman"/>
                <w:kern w:val="0"/>
                <w:sz w:val="18"/>
                <w:szCs w:val="18"/>
              </w:rPr>
              <w:t>料、保温材料、门窗、采暖制冷系统和照明设备，按照符合施工图设计文件要求签字</w:t>
            </w:r>
          </w:p>
        </w:tc>
        <w:tc>
          <w:tcPr>
            <w:tcW w:w="3045"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429"/>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20</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使用列入禁止使用目录的技术、工艺、材料和设备</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11</w:t>
            </w:r>
            <w:r>
              <w:rPr>
                <w:rFonts w:ascii="Times New Roman" w:eastAsia="仿宋_GB2312" w:hAnsi="Times New Roman"/>
                <w:kern w:val="0"/>
                <w:sz w:val="18"/>
                <w:szCs w:val="18"/>
              </w:rPr>
              <w:t>、</w:t>
            </w:r>
            <w:r>
              <w:rPr>
                <w:rFonts w:ascii="Times New Roman" w:eastAsia="仿宋_GB2312" w:hAnsi="Times New Roman"/>
                <w:kern w:val="0"/>
                <w:sz w:val="18"/>
                <w:szCs w:val="18"/>
              </w:rPr>
              <w:t>37</w:t>
            </w:r>
            <w:r>
              <w:rPr>
                <w:rFonts w:ascii="Times New Roman" w:eastAsia="仿宋_GB2312" w:hAnsi="Times New Roman"/>
                <w:kern w:val="0"/>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9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r>
              <w:rPr>
                <w:rFonts w:ascii="Times New Roman" w:eastAsia="仿宋_GB2312" w:hAnsi="Times New Roman" w:hint="eastAsia"/>
                <w:kern w:val="0"/>
                <w:sz w:val="18"/>
                <w:szCs w:val="18"/>
              </w:rPr>
              <w:t>1</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对不符合民用建筑节能强制性标准的民用建筑项目出具竣工验收合格报告</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17</w:t>
            </w:r>
            <w:r>
              <w:rPr>
                <w:rFonts w:ascii="Times New Roman" w:eastAsia="仿宋_GB2312" w:hAnsi="Times New Roman"/>
                <w:kern w:val="0"/>
                <w:sz w:val="18"/>
                <w:szCs w:val="18"/>
              </w:rPr>
              <w:t>、</w:t>
            </w:r>
            <w:r>
              <w:rPr>
                <w:rFonts w:ascii="Times New Roman" w:eastAsia="仿宋_GB2312" w:hAnsi="Times New Roman"/>
                <w:kern w:val="0"/>
                <w:sz w:val="18"/>
                <w:szCs w:val="18"/>
              </w:rPr>
              <w:t>38</w:t>
            </w:r>
            <w:r>
              <w:rPr>
                <w:rFonts w:ascii="Times New Roman" w:eastAsia="仿宋_GB2312" w:hAnsi="Times New Roman"/>
                <w:kern w:val="0"/>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r>
              <w:rPr>
                <w:rFonts w:ascii="Times New Roman" w:eastAsia="仿宋_GB2312" w:hAnsi="Times New Roman" w:hint="eastAsia"/>
                <w:kern w:val="0"/>
                <w:sz w:val="18"/>
                <w:szCs w:val="18"/>
              </w:rPr>
              <w:t>2</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未向购买人明示所售商品房的节能措施</w:t>
            </w:r>
            <w:r>
              <w:rPr>
                <w:rFonts w:ascii="Times New Roman" w:eastAsia="仿宋_GB2312" w:hAnsi="Times New Roman" w:hint="eastAsia"/>
                <w:kern w:val="0"/>
                <w:sz w:val="18"/>
                <w:szCs w:val="18"/>
              </w:rPr>
              <w:t>，或明示的所售商品房信息指标与实际不符的</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《民用建筑节能条例》第</w:t>
            </w:r>
            <w:r>
              <w:rPr>
                <w:rFonts w:ascii="Times New Roman" w:eastAsia="仿宋_GB2312" w:hAnsi="Times New Roman"/>
                <w:kern w:val="0"/>
                <w:sz w:val="18"/>
                <w:szCs w:val="18"/>
              </w:rPr>
              <w:t>43</w:t>
            </w:r>
            <w:r>
              <w:rPr>
                <w:rFonts w:ascii="Times New Roman" w:eastAsia="仿宋_GB2312" w:hAnsi="Times New Roman"/>
                <w:kern w:val="0"/>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23</w:t>
            </w:r>
          </w:p>
        </w:tc>
        <w:tc>
          <w:tcPr>
            <w:tcW w:w="563" w:type="dxa"/>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未按建筑节能强制性标准委托设计的</w:t>
            </w:r>
            <w:r>
              <w:rPr>
                <w:rFonts w:ascii="Times New Roman" w:eastAsia="仿宋_GB2312" w:hAnsi="Times New Roman" w:hint="eastAsia"/>
                <w:bCs/>
                <w:kern w:val="0"/>
                <w:sz w:val="18"/>
                <w:szCs w:val="18"/>
              </w:rPr>
              <w:t>,</w:t>
            </w:r>
            <w:r>
              <w:rPr>
                <w:rFonts w:ascii="Times New Roman" w:eastAsia="仿宋_GB2312" w:hAnsi="Times New Roman" w:hint="eastAsia"/>
                <w:bCs/>
                <w:kern w:val="0"/>
                <w:sz w:val="18"/>
                <w:szCs w:val="18"/>
              </w:rPr>
              <w:t>降低工程质量</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w:t>
            </w:r>
            <w:proofErr w:type="gramStart"/>
            <w:r>
              <w:rPr>
                <w:rFonts w:ascii="Times New Roman" w:eastAsia="仿宋_GB2312" w:hAnsi="Times New Roman" w:hint="eastAsia"/>
                <w:kern w:val="0"/>
                <w:sz w:val="18"/>
                <w:szCs w:val="18"/>
              </w:rPr>
              <w:t>科增加</w:t>
            </w:r>
            <w:proofErr w:type="gramEnd"/>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24</w:t>
            </w:r>
          </w:p>
        </w:tc>
        <w:tc>
          <w:tcPr>
            <w:tcW w:w="563" w:type="dxa"/>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擅自修改节能设计文件的，降低工程质量</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w:t>
            </w:r>
            <w:proofErr w:type="gramStart"/>
            <w:r>
              <w:rPr>
                <w:rFonts w:ascii="Times New Roman" w:eastAsia="仿宋_GB2312" w:hAnsi="Times New Roman" w:hint="eastAsia"/>
                <w:kern w:val="0"/>
                <w:sz w:val="18"/>
                <w:szCs w:val="18"/>
              </w:rPr>
              <w:t>科增加</w:t>
            </w:r>
            <w:proofErr w:type="gramEnd"/>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lastRenderedPageBreak/>
              <w:t>25</w:t>
            </w:r>
          </w:p>
        </w:tc>
        <w:tc>
          <w:tcPr>
            <w:tcW w:w="563" w:type="dxa"/>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bCs/>
                <w:kern w:val="0"/>
                <w:sz w:val="18"/>
                <w:szCs w:val="18"/>
              </w:rPr>
              <w:t>建设单位组织竣工验收，</w:t>
            </w:r>
            <w:r>
              <w:rPr>
                <w:rFonts w:ascii="Times New Roman" w:eastAsia="仿宋_GB2312" w:hAnsi="Times New Roman" w:hint="eastAsia"/>
                <w:bCs/>
                <w:kern w:val="0"/>
                <w:sz w:val="18"/>
                <w:szCs w:val="18"/>
              </w:rPr>
              <w:t>未</w:t>
            </w:r>
            <w:r>
              <w:rPr>
                <w:rFonts w:ascii="Times New Roman" w:eastAsia="仿宋_GB2312" w:hAnsi="Times New Roman"/>
                <w:bCs/>
                <w:kern w:val="0"/>
                <w:sz w:val="18"/>
                <w:szCs w:val="18"/>
              </w:rPr>
              <w:t>对民用建筑是否符合民用建筑节能强制性标准进行查验</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9</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w:t>
            </w:r>
            <w:proofErr w:type="gramStart"/>
            <w:r>
              <w:rPr>
                <w:rFonts w:ascii="Times New Roman" w:eastAsia="仿宋_GB2312" w:hAnsi="Times New Roman" w:hint="eastAsia"/>
                <w:kern w:val="0"/>
                <w:sz w:val="18"/>
                <w:szCs w:val="18"/>
              </w:rPr>
              <w:t>科增加</w:t>
            </w:r>
            <w:proofErr w:type="gramEnd"/>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26</w:t>
            </w:r>
          </w:p>
        </w:tc>
        <w:tc>
          <w:tcPr>
            <w:tcW w:w="563" w:type="dxa"/>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对具备可再生能源利用建设条件的建筑，未选择合适的可再生能源；在建设过程中，未做到与建筑主体工程同步设计、同步施工、同步验收的</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hint="eastAsia"/>
                <w:bCs/>
                <w:kern w:val="0"/>
                <w:sz w:val="18"/>
                <w:szCs w:val="18"/>
              </w:rPr>
              <w:t>《民用建筑节能管理规定》</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bCs/>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9</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w:t>
            </w:r>
            <w:proofErr w:type="gramStart"/>
            <w:r>
              <w:rPr>
                <w:rFonts w:ascii="Times New Roman" w:eastAsia="仿宋_GB2312" w:hAnsi="Times New Roman" w:hint="eastAsia"/>
                <w:kern w:val="0"/>
                <w:sz w:val="18"/>
                <w:szCs w:val="18"/>
              </w:rPr>
              <w:t>科增加</w:t>
            </w:r>
            <w:proofErr w:type="gramEnd"/>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27</w:t>
            </w:r>
          </w:p>
        </w:tc>
        <w:tc>
          <w:tcPr>
            <w:tcW w:w="563" w:type="dxa"/>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300" w:lineRule="auto"/>
              <w:jc w:val="left"/>
              <w:rPr>
                <w:rFonts w:ascii="宋体" w:hAnsi="宋体" w:cs="宋体"/>
                <w:sz w:val="18"/>
                <w:szCs w:val="18"/>
              </w:rPr>
            </w:pPr>
            <w:r>
              <w:rPr>
                <w:rFonts w:ascii="宋体" w:hAnsi="宋体" w:cs="宋体" w:hint="eastAsia"/>
                <w:sz w:val="18"/>
                <w:szCs w:val="18"/>
              </w:rPr>
              <w:t> </w:t>
            </w:r>
            <w:r>
              <w:rPr>
                <w:rFonts w:ascii="宋体" w:hAnsi="宋体" w:cs="宋体" w:hint="eastAsia"/>
                <w:sz w:val="18"/>
                <w:szCs w:val="18"/>
              </w:rPr>
              <w:t>建设单位应当在施工现场显著位置公布在建建筑物的能源消耗指标，太阳能、浅层地能利用以及保温隔热节能工程措施等民用建筑节能信息。</w:t>
            </w:r>
          </w:p>
          <w:p w:rsidR="00D87CF7" w:rsidRDefault="00D87CF7">
            <w:pPr>
              <w:widowControl/>
              <w:spacing w:line="240" w:lineRule="exact"/>
              <w:jc w:val="left"/>
              <w:rPr>
                <w:rFonts w:ascii="Times New Roman" w:eastAsia="仿宋_GB2312" w:hAnsi="Times New Roman"/>
                <w:bCs/>
                <w:kern w:val="0"/>
                <w:sz w:val="18"/>
                <w:szCs w:val="18"/>
              </w:rPr>
            </w:pP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宋体" w:hAnsi="宋体" w:cs="宋体" w:hint="eastAsia"/>
                <w:sz w:val="18"/>
                <w:szCs w:val="18"/>
              </w:rPr>
              <w:t>广西民用节能条例</w:t>
            </w:r>
            <w:r>
              <w:rPr>
                <w:rFonts w:ascii="宋体" w:hAnsi="宋体" w:cs="宋体" w:hint="eastAsia"/>
                <w:sz w:val="18"/>
                <w:szCs w:val="18"/>
              </w:rPr>
              <w:t xml:space="preserve"> </w:t>
            </w:r>
            <w:r>
              <w:rPr>
                <w:rFonts w:ascii="宋体" w:hAnsi="宋体" w:cs="宋体" w:hint="eastAsia"/>
                <w:sz w:val="18"/>
                <w:szCs w:val="18"/>
              </w:rPr>
              <w:t>第</w:t>
            </w:r>
            <w:r>
              <w:rPr>
                <w:rFonts w:ascii="宋体" w:hAnsi="宋体" w:cs="宋体" w:hint="eastAsia"/>
                <w:sz w:val="18"/>
                <w:szCs w:val="18"/>
              </w:rPr>
              <w:t>1</w:t>
            </w:r>
            <w:r>
              <w:rPr>
                <w:rFonts w:ascii="宋体" w:hAnsi="宋体" w:cs="宋体"/>
                <w:sz w:val="18"/>
                <w:szCs w:val="18"/>
              </w:rPr>
              <w:t>1</w:t>
            </w:r>
            <w:r>
              <w:rPr>
                <w:rFonts w:ascii="宋体" w:hAnsi="宋体" w:cs="宋体" w:hint="eastAsia"/>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3</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科技</w:t>
            </w:r>
            <w:proofErr w:type="gramStart"/>
            <w:r>
              <w:rPr>
                <w:rFonts w:ascii="Times New Roman" w:eastAsia="仿宋_GB2312" w:hAnsi="Times New Roman" w:hint="eastAsia"/>
                <w:kern w:val="0"/>
                <w:sz w:val="18"/>
                <w:szCs w:val="18"/>
              </w:rPr>
              <w:t>科增加</w:t>
            </w:r>
            <w:proofErr w:type="gramEnd"/>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28</w:t>
            </w:r>
          </w:p>
        </w:tc>
        <w:tc>
          <w:tcPr>
            <w:tcW w:w="563" w:type="dxa"/>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宋体" w:hAnsi="宋体" w:cs="宋体" w:hint="eastAsia"/>
                <w:sz w:val="18"/>
                <w:szCs w:val="18"/>
              </w:rPr>
              <w:t>房地产开发企业应当在销售场所显著位置公布并向购买人明示所销售房屋的能源消耗指标，太阳能、浅层地能利用以及保温隔热节能措施和保护要求、保修期等信息，并按照国家规定在商品房买卖合同和住宅质量保证书、住宅使用说明书中载明。</w:t>
            </w:r>
          </w:p>
        </w:tc>
        <w:tc>
          <w:tcPr>
            <w:tcW w:w="3045" w:type="dxa"/>
            <w:tcBorders>
              <w:top w:val="single" w:sz="4" w:space="0" w:color="auto"/>
              <w:left w:val="single" w:sz="4" w:space="0" w:color="auto"/>
              <w:bottom w:val="single" w:sz="4" w:space="0" w:color="auto"/>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宋体" w:hAnsi="宋体" w:cs="宋体" w:hint="eastAsia"/>
                <w:sz w:val="18"/>
                <w:szCs w:val="18"/>
              </w:rPr>
              <w:t>广西民用节能条例</w:t>
            </w:r>
            <w:r>
              <w:rPr>
                <w:rFonts w:ascii="宋体" w:hAnsi="宋体" w:cs="宋体" w:hint="eastAsia"/>
                <w:sz w:val="18"/>
                <w:szCs w:val="18"/>
              </w:rPr>
              <w:t xml:space="preserve"> </w:t>
            </w:r>
            <w:r>
              <w:rPr>
                <w:rFonts w:ascii="宋体" w:hAnsi="宋体" w:cs="宋体" w:hint="eastAsia"/>
                <w:sz w:val="18"/>
                <w:szCs w:val="18"/>
              </w:rPr>
              <w:t>第</w:t>
            </w:r>
            <w:r>
              <w:rPr>
                <w:rFonts w:ascii="宋体" w:hAnsi="宋体" w:cs="宋体" w:hint="eastAsia"/>
                <w:sz w:val="18"/>
                <w:szCs w:val="18"/>
              </w:rPr>
              <w:t>1</w:t>
            </w:r>
            <w:r>
              <w:rPr>
                <w:rFonts w:ascii="宋体" w:hAnsi="宋体" w:cs="宋体"/>
                <w:sz w:val="18"/>
                <w:szCs w:val="18"/>
              </w:rPr>
              <w:t>1</w:t>
            </w:r>
            <w:r>
              <w:rPr>
                <w:rFonts w:ascii="宋体" w:hAnsi="宋体" w:cs="宋体" w:hint="eastAsia"/>
                <w:sz w:val="18"/>
                <w:szCs w:val="18"/>
              </w:rPr>
              <w:t>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bCs/>
                <w:kern w:val="0"/>
                <w:sz w:val="18"/>
                <w:szCs w:val="18"/>
              </w:rPr>
            </w:pPr>
            <w:r>
              <w:rPr>
                <w:rFonts w:ascii="Times New Roman" w:eastAsia="仿宋_GB2312" w:hAnsi="Times New Roman" w:hint="eastAsia"/>
                <w:bCs/>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18</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宋体" w:hAnsi="宋体" w:cs="宋体" w:hint="eastAsia"/>
                <w:sz w:val="18"/>
                <w:szCs w:val="18"/>
              </w:rPr>
              <w:t>增</w:t>
            </w:r>
            <w:r>
              <w:rPr>
                <w:rFonts w:ascii="Times New Roman" w:eastAsia="仿宋_GB2312" w:hAnsi="Times New Roman" w:hint="eastAsia"/>
                <w:kern w:val="0"/>
                <w:sz w:val="18"/>
                <w:szCs w:val="18"/>
              </w:rPr>
              <w:t>科技</w:t>
            </w:r>
            <w:proofErr w:type="gramStart"/>
            <w:r>
              <w:rPr>
                <w:rFonts w:ascii="Times New Roman" w:eastAsia="仿宋_GB2312" w:hAnsi="Times New Roman" w:hint="eastAsia"/>
                <w:kern w:val="0"/>
                <w:sz w:val="18"/>
                <w:szCs w:val="18"/>
              </w:rPr>
              <w:t>科增加</w:t>
            </w:r>
            <w:proofErr w:type="gramEnd"/>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w:t>
            </w:r>
            <w:r>
              <w:rPr>
                <w:rFonts w:ascii="Times New Roman" w:eastAsia="仿宋_GB2312" w:hAnsi="Times New Roman" w:hint="eastAsia"/>
                <w:kern w:val="0"/>
                <w:sz w:val="18"/>
                <w:szCs w:val="18"/>
              </w:rPr>
              <w:t>9</w:t>
            </w:r>
          </w:p>
        </w:tc>
        <w:tc>
          <w:tcPr>
            <w:tcW w:w="563" w:type="dxa"/>
            <w:vMerge w:val="restart"/>
            <w:tcBorders>
              <w:left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住宅物业建设单位未通过招投标的方式选聘前期物业服务企业，或者未经批准擅自采用协议方式选聘前期物业服务企业</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《物业管理条例》第二十四条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30</w:t>
            </w:r>
          </w:p>
        </w:tc>
        <w:tc>
          <w:tcPr>
            <w:tcW w:w="563" w:type="dxa"/>
            <w:vMerge/>
            <w:tcBorders>
              <w:left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建设单位未将前期物业服务合同报房产行政主管部门备案</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《广西壮族自治区物业管理条例》第三十六条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31</w:t>
            </w:r>
          </w:p>
        </w:tc>
        <w:tc>
          <w:tcPr>
            <w:tcW w:w="563" w:type="dxa"/>
            <w:vMerge/>
            <w:tcBorders>
              <w:left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未按规定先交存首期住宅专项维修资金，开发建设单位就将房屋交付买受人</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《住宅专项维修资金管理办法》第三十六条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32</w:t>
            </w:r>
          </w:p>
        </w:tc>
        <w:tc>
          <w:tcPr>
            <w:tcW w:w="563" w:type="dxa"/>
            <w:vMerge/>
            <w:tcBorders>
              <w:left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建设单位未按规定分摊维修资金</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《住宅专项维修资金管理办法》第三十六条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33</w:t>
            </w:r>
          </w:p>
        </w:tc>
        <w:tc>
          <w:tcPr>
            <w:tcW w:w="563" w:type="dxa"/>
            <w:vMerge/>
            <w:tcBorders>
              <w:left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建设单位擅自处分属于业主的物业共用部位、共用设施设备的所有权或者使用权</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《物业管理条例》第五十七条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695"/>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34</w:t>
            </w:r>
          </w:p>
        </w:tc>
        <w:tc>
          <w:tcPr>
            <w:tcW w:w="563" w:type="dxa"/>
            <w:vMerge/>
            <w:tcBorders>
              <w:left w:val="single" w:sz="4" w:space="0" w:color="auto"/>
              <w:bottom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建设单位违规向业主以外的单位和个人销售或者变相销售停车位、车库</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《广西壮族自治区物业管理条例》第四十三条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35</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销售管理</w:t>
            </w: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隐瞒有关情况、提供虚假材料，或者采用欺骗、贿赂等不正当手段取得商品房预售许可</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《商品房预售管理办法》第十五条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15</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签订商品房预售合同未按规定向房产管理部门备案</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《商品房预售管理办法》第十条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6</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37</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商品房现售前未按规定将相关资料报送房地产开发主管部门备案</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sz w:val="18"/>
                <w:szCs w:val="18"/>
              </w:rPr>
            </w:pPr>
            <w:r>
              <w:rPr>
                <w:rFonts w:ascii="Times New Roman" w:eastAsia="仿宋_GB2312" w:hAnsi="Times New Roman"/>
                <w:sz w:val="18"/>
                <w:szCs w:val="18"/>
              </w:rPr>
              <w:t>《商品房销售管理办法》第八条</w:t>
            </w:r>
          </w:p>
          <w:p w:rsidR="00D87CF7" w:rsidRDefault="00D87CF7">
            <w:pPr>
              <w:spacing w:line="240" w:lineRule="exac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38</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采取返本销售或者变相返本销售的方式销售商品房</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sz w:val="18"/>
                <w:szCs w:val="18"/>
              </w:rPr>
            </w:pPr>
            <w:r>
              <w:rPr>
                <w:rFonts w:ascii="Times New Roman" w:eastAsia="仿宋_GB2312" w:hAnsi="Times New Roman"/>
                <w:sz w:val="18"/>
                <w:szCs w:val="18"/>
              </w:rPr>
              <w:t>《商品房销售管理办法》第十一条</w:t>
            </w:r>
          </w:p>
          <w:p w:rsidR="00D87CF7" w:rsidRDefault="00D87CF7">
            <w:pPr>
              <w:spacing w:line="240" w:lineRule="exac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39</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采取售后包租或者变相售后包租的方式销售未竣工商品</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sz w:val="18"/>
                <w:szCs w:val="18"/>
              </w:rPr>
            </w:pPr>
            <w:r>
              <w:rPr>
                <w:rFonts w:ascii="Times New Roman" w:eastAsia="仿宋_GB2312" w:hAnsi="Times New Roman"/>
                <w:sz w:val="18"/>
                <w:szCs w:val="18"/>
              </w:rPr>
              <w:t>《商品房销售管理办法》第十一条</w:t>
            </w:r>
          </w:p>
          <w:p w:rsidR="00D87CF7" w:rsidRDefault="00D87CF7">
            <w:pPr>
              <w:spacing w:line="240" w:lineRule="exac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40</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商品房销售后，房地产开发企业擅自变更规划、设计</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《商品房销售管理办法》第二十四条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41</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房地产开发企业将不符合交付使用条件的商品房交付给买受人</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《商品房销售管理办法》第三十条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42</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sz w:val="18"/>
                <w:szCs w:val="18"/>
              </w:rPr>
            </w:pPr>
            <w:r>
              <w:rPr>
                <w:rFonts w:ascii="Times New Roman" w:eastAsia="仿宋_GB2312" w:hAnsi="Times New Roman"/>
                <w:sz w:val="18"/>
                <w:szCs w:val="18"/>
              </w:rPr>
              <w:t>预售资金管理</w:t>
            </w:r>
          </w:p>
          <w:p w:rsidR="00D87CF7" w:rsidRDefault="00D87CF7">
            <w:pPr>
              <w:spacing w:line="240" w:lineRule="exact"/>
              <w:jc w:val="center"/>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商品房预售款项未按规定用于有关的工程建设等挪用行为</w:t>
            </w:r>
          </w:p>
        </w:tc>
        <w:tc>
          <w:tcPr>
            <w:tcW w:w="3045" w:type="dxa"/>
            <w:tcBorders>
              <w:top w:val="single" w:sz="4" w:space="0" w:color="auto"/>
              <w:left w:val="single" w:sz="4" w:space="0" w:color="auto"/>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《商品房预售管理办法》第十三条</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43</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房地产开发企业未在商品房预售合同中约定购房人将购房款直接存入该商品房项目预售资金专用账户</w:t>
            </w:r>
          </w:p>
        </w:tc>
        <w:tc>
          <w:tcPr>
            <w:tcW w:w="3045" w:type="dxa"/>
            <w:vMerge w:val="restart"/>
            <w:tcBorders>
              <w:top w:val="single" w:sz="4" w:space="0" w:color="auto"/>
              <w:left w:val="single" w:sz="4" w:space="0" w:color="auto"/>
              <w:right w:val="nil"/>
            </w:tcBorders>
            <w:vAlign w:val="center"/>
          </w:tcPr>
          <w:p w:rsidR="00D87CF7" w:rsidRDefault="00916BBB">
            <w:pPr>
              <w:widowControl/>
              <w:spacing w:line="300" w:lineRule="exact"/>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《广西壮族自治区城市房地产开发经营管理条例》第三十条</w:t>
            </w:r>
          </w:p>
          <w:p w:rsidR="00D87CF7" w:rsidRDefault="00916BBB">
            <w:pPr>
              <w:widowControl/>
              <w:spacing w:line="300" w:lineRule="exact"/>
              <w:jc w:val="left"/>
              <w:rPr>
                <w:rFonts w:ascii="Times New Roman" w:eastAsia="仿宋_GB2312" w:hAnsi="Times New Roman"/>
                <w:kern w:val="0"/>
                <w:sz w:val="18"/>
                <w:szCs w:val="18"/>
              </w:rPr>
            </w:pPr>
            <w:r>
              <w:rPr>
                <w:rFonts w:ascii="仿宋_GB2312" w:eastAsia="仿宋_GB2312" w:hAnsi="仿宋_GB2312" w:cs="仿宋_GB2312" w:hint="eastAsia"/>
                <w:b/>
                <w:kern w:val="0"/>
                <w:sz w:val="18"/>
                <w:szCs w:val="18"/>
              </w:rPr>
              <w:t>《</w:t>
            </w:r>
            <w:r>
              <w:rPr>
                <w:rStyle w:val="a6"/>
                <w:rFonts w:ascii="仿宋_GB2312" w:eastAsia="仿宋_GB2312" w:hAnsi="仿宋_GB2312" w:cs="仿宋_GB2312" w:hint="eastAsia"/>
                <w:b w:val="0"/>
                <w:sz w:val="18"/>
                <w:szCs w:val="18"/>
                <w:shd w:val="clear" w:color="auto" w:fill="FFFFFF"/>
              </w:rPr>
              <w:t>转发住房城乡建设部关于进一步加强房地产市场监管完善商品住房预售制度有关问题的通知</w:t>
            </w:r>
            <w:r>
              <w:rPr>
                <w:rFonts w:ascii="仿宋_GB2312" w:eastAsia="仿宋_GB2312" w:hAnsi="仿宋_GB2312" w:cs="仿宋_GB2312" w:hint="eastAsia"/>
                <w:b/>
                <w:kern w:val="0"/>
                <w:sz w:val="18"/>
                <w:szCs w:val="18"/>
              </w:rPr>
              <w:t>》</w:t>
            </w:r>
            <w:r>
              <w:rPr>
                <w:rFonts w:ascii="仿宋_GB2312" w:eastAsia="仿宋_GB2312" w:hAnsi="仿宋_GB2312" w:cs="仿宋_GB2312" w:hint="eastAsia"/>
                <w:kern w:val="0"/>
                <w:sz w:val="18"/>
                <w:szCs w:val="18"/>
              </w:rPr>
              <w:t>（桂建房〔</w:t>
            </w:r>
            <w:r>
              <w:rPr>
                <w:rFonts w:ascii="仿宋_GB2312" w:eastAsia="仿宋_GB2312" w:hAnsi="仿宋_GB2312" w:cs="仿宋_GB2312" w:hint="eastAsia"/>
                <w:kern w:val="0"/>
                <w:sz w:val="18"/>
                <w:szCs w:val="18"/>
              </w:rPr>
              <w:t>2010</w:t>
            </w:r>
            <w:r>
              <w:rPr>
                <w:rFonts w:ascii="仿宋_GB2312" w:eastAsia="仿宋_GB2312" w:hAnsi="仿宋_GB2312" w:cs="仿宋_GB2312" w:hint="eastAsia"/>
                <w:kern w:val="0"/>
                <w:sz w:val="18"/>
                <w:szCs w:val="18"/>
              </w:rPr>
              <w:t>〕</w:t>
            </w:r>
            <w:r>
              <w:rPr>
                <w:rFonts w:ascii="仿宋_GB2312" w:eastAsia="仿宋_GB2312" w:hAnsi="仿宋_GB2312" w:cs="仿宋_GB2312" w:hint="eastAsia"/>
                <w:kern w:val="0"/>
                <w:sz w:val="18"/>
                <w:szCs w:val="18"/>
              </w:rPr>
              <w:lastRenderedPageBreak/>
              <w:t>8</w:t>
            </w:r>
            <w:r>
              <w:rPr>
                <w:rFonts w:ascii="仿宋_GB2312" w:eastAsia="仿宋_GB2312" w:hAnsi="仿宋_GB2312" w:cs="仿宋_GB2312" w:hint="eastAsia"/>
                <w:kern w:val="0"/>
                <w:sz w:val="18"/>
                <w:szCs w:val="18"/>
              </w:rPr>
              <w:t>号）</w:t>
            </w: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lastRenderedPageBreak/>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44</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售房款未存入该商品房项目预售资金专用账户</w:t>
            </w:r>
          </w:p>
        </w:tc>
        <w:tc>
          <w:tcPr>
            <w:tcW w:w="3045" w:type="dxa"/>
            <w:vMerge/>
            <w:tcBorders>
              <w:left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45</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使用非重点监管范围内的商品房预售资金，未于每月初编制用款计划，未报房产管理部门和</w:t>
            </w:r>
            <w:r>
              <w:rPr>
                <w:rFonts w:ascii="Times New Roman" w:eastAsia="仿宋_GB2312" w:hAnsi="Times New Roman"/>
                <w:sz w:val="18"/>
                <w:szCs w:val="18"/>
              </w:rPr>
              <w:lastRenderedPageBreak/>
              <w:t>商业银行备案</w:t>
            </w:r>
          </w:p>
        </w:tc>
        <w:tc>
          <w:tcPr>
            <w:tcW w:w="3045" w:type="dxa"/>
            <w:vMerge/>
            <w:tcBorders>
              <w:left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lastRenderedPageBreak/>
              <w:t>46</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spacing w:line="240" w:lineRule="exact"/>
              <w:rPr>
                <w:rFonts w:ascii="Times New Roman" w:eastAsia="仿宋_GB2312" w:hAnsi="Times New Roman"/>
                <w:kern w:val="0"/>
                <w:sz w:val="18"/>
                <w:szCs w:val="18"/>
              </w:rPr>
            </w:pPr>
            <w:r>
              <w:rPr>
                <w:rFonts w:ascii="Times New Roman" w:eastAsia="仿宋_GB2312" w:hAnsi="Times New Roman"/>
                <w:sz w:val="18"/>
                <w:szCs w:val="18"/>
              </w:rPr>
              <w:t>未按规定向资金监管部门申报，擅自使用重点监管范围内的商品房预售资金</w:t>
            </w:r>
            <w:r>
              <w:rPr>
                <w:rFonts w:ascii="Times New Roman" w:eastAsia="仿宋_GB2312" w:hAnsi="Times New Roman"/>
                <w:sz w:val="18"/>
                <w:szCs w:val="18"/>
              </w:rPr>
              <w:t xml:space="preserve"> </w:t>
            </w:r>
          </w:p>
        </w:tc>
        <w:tc>
          <w:tcPr>
            <w:tcW w:w="3045" w:type="dxa"/>
            <w:vMerge/>
            <w:tcBorders>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spacing w:line="240" w:lineRule="exact"/>
              <w:rPr>
                <w:rFonts w:ascii="Times New Roman" w:eastAsia="仿宋_GB2312" w:hAnsi="Times New Roman"/>
                <w:kern w:val="0"/>
                <w:sz w:val="18"/>
                <w:szCs w:val="18"/>
              </w:rPr>
            </w:pPr>
          </w:p>
        </w:tc>
      </w:tr>
      <w:tr w:rsidR="00D87CF7">
        <w:trPr>
          <w:trHeight w:val="893"/>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47</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D87CF7" w:rsidRDefault="00916BBB">
            <w:pPr>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其它</w:t>
            </w:r>
          </w:p>
        </w:tc>
        <w:tc>
          <w:tcPr>
            <w:tcW w:w="3645" w:type="dxa"/>
            <w:tcBorders>
              <w:top w:val="single" w:sz="4" w:space="0" w:color="auto"/>
              <w:left w:val="nil"/>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建设项目因企业原因发生社会公共事件，造成严重不良影响的</w:t>
            </w:r>
          </w:p>
        </w:tc>
        <w:tc>
          <w:tcPr>
            <w:tcW w:w="3045" w:type="dxa"/>
            <w:tcBorders>
              <w:top w:val="single" w:sz="4" w:space="0" w:color="auto"/>
              <w:left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30</w:t>
            </w:r>
          </w:p>
        </w:tc>
        <w:tc>
          <w:tcPr>
            <w:tcW w:w="716" w:type="dxa"/>
            <w:tcBorders>
              <w:top w:val="single" w:sz="4" w:space="0" w:color="auto"/>
              <w:left w:val="nil"/>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36</w:t>
            </w:r>
          </w:p>
        </w:tc>
        <w:tc>
          <w:tcPr>
            <w:tcW w:w="1650" w:type="dxa"/>
            <w:tcBorders>
              <w:top w:val="single" w:sz="4" w:space="0" w:color="auto"/>
              <w:left w:val="nil"/>
              <w:right w:val="single" w:sz="4" w:space="0" w:color="auto"/>
            </w:tcBorders>
            <w:vAlign w:val="center"/>
          </w:tcPr>
          <w:p w:rsidR="00D87CF7" w:rsidRDefault="00916BBB">
            <w:pPr>
              <w:widowControl/>
              <w:spacing w:line="24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扣减后企业积分在</w:t>
            </w:r>
            <w:r>
              <w:rPr>
                <w:rFonts w:ascii="Times New Roman" w:eastAsia="仿宋_GB2312" w:hAnsi="Times New Roman"/>
                <w:kern w:val="0"/>
                <w:sz w:val="18"/>
                <w:szCs w:val="18"/>
              </w:rPr>
              <w:t>65</w:t>
            </w:r>
            <w:r>
              <w:rPr>
                <w:rFonts w:ascii="Times New Roman" w:eastAsia="仿宋_GB2312" w:hAnsi="Times New Roman"/>
                <w:kern w:val="0"/>
                <w:sz w:val="18"/>
                <w:szCs w:val="18"/>
              </w:rPr>
              <w:t>分以上的</w:t>
            </w:r>
            <w:r>
              <w:rPr>
                <w:rFonts w:ascii="Times New Roman" w:eastAsia="仿宋_GB2312" w:hAnsi="Times New Roman"/>
                <w:kern w:val="0"/>
                <w:sz w:val="18"/>
                <w:szCs w:val="18"/>
              </w:rPr>
              <w:t>,</w:t>
            </w:r>
            <w:r>
              <w:rPr>
                <w:rFonts w:ascii="Times New Roman" w:eastAsia="仿宋_GB2312" w:hAnsi="Times New Roman"/>
                <w:kern w:val="0"/>
                <w:sz w:val="18"/>
                <w:szCs w:val="18"/>
              </w:rPr>
              <w:t>降</w:t>
            </w:r>
            <w:r>
              <w:rPr>
                <w:rFonts w:ascii="Times New Roman" w:eastAsia="仿宋_GB2312" w:hAnsi="Times New Roman" w:hint="eastAsia"/>
                <w:kern w:val="0"/>
                <w:sz w:val="18"/>
                <w:szCs w:val="18"/>
              </w:rPr>
              <w:t>为</w:t>
            </w:r>
            <w:r>
              <w:rPr>
                <w:rFonts w:ascii="Times New Roman" w:eastAsia="仿宋_GB2312" w:hAnsi="Times New Roman"/>
                <w:kern w:val="0"/>
                <w:sz w:val="18"/>
                <w:szCs w:val="18"/>
              </w:rPr>
              <w:t>6</w:t>
            </w:r>
            <w:r>
              <w:rPr>
                <w:rFonts w:ascii="Times New Roman" w:eastAsia="仿宋_GB2312" w:hAnsi="Times New Roman" w:hint="eastAsia"/>
                <w:kern w:val="0"/>
                <w:sz w:val="18"/>
                <w:szCs w:val="18"/>
              </w:rPr>
              <w:t>5</w:t>
            </w:r>
            <w:r>
              <w:rPr>
                <w:rFonts w:ascii="Times New Roman" w:eastAsia="仿宋_GB2312" w:hAnsi="Times New Roman"/>
                <w:kern w:val="0"/>
                <w:sz w:val="18"/>
                <w:szCs w:val="18"/>
              </w:rPr>
              <w:t>分</w:t>
            </w:r>
            <w:r>
              <w:rPr>
                <w:rFonts w:ascii="Times New Roman" w:eastAsia="仿宋_GB2312" w:hAnsi="Times New Roman"/>
                <w:kern w:val="0"/>
                <w:sz w:val="18"/>
                <w:szCs w:val="18"/>
              </w:rPr>
              <w:t>;</w:t>
            </w:r>
            <w:r>
              <w:rPr>
                <w:rFonts w:ascii="Times New Roman" w:eastAsia="仿宋_GB2312" w:hAnsi="Times New Roman"/>
                <w:kern w:val="0"/>
                <w:sz w:val="18"/>
                <w:szCs w:val="18"/>
              </w:rPr>
              <w:t>扣减后企业积分低于</w:t>
            </w:r>
            <w:r>
              <w:rPr>
                <w:rFonts w:ascii="Times New Roman" w:eastAsia="仿宋_GB2312" w:hAnsi="Times New Roman"/>
                <w:kern w:val="0"/>
                <w:sz w:val="18"/>
                <w:szCs w:val="18"/>
              </w:rPr>
              <w:t>65</w:t>
            </w:r>
            <w:r>
              <w:rPr>
                <w:rFonts w:ascii="Times New Roman" w:eastAsia="仿宋_GB2312" w:hAnsi="Times New Roman"/>
                <w:kern w:val="0"/>
                <w:sz w:val="18"/>
                <w:szCs w:val="18"/>
              </w:rPr>
              <w:t>分的</w:t>
            </w:r>
            <w:r>
              <w:rPr>
                <w:rFonts w:ascii="Times New Roman" w:eastAsia="仿宋_GB2312" w:hAnsi="Times New Roman"/>
                <w:kern w:val="0"/>
                <w:sz w:val="18"/>
                <w:szCs w:val="18"/>
              </w:rPr>
              <w:t>,</w:t>
            </w:r>
            <w:r>
              <w:rPr>
                <w:rFonts w:ascii="Times New Roman" w:eastAsia="仿宋_GB2312" w:hAnsi="Times New Roman"/>
                <w:kern w:val="0"/>
                <w:sz w:val="18"/>
                <w:szCs w:val="18"/>
              </w:rPr>
              <w:t>积分不变。</w:t>
            </w: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w:t>
            </w:r>
            <w:r>
              <w:rPr>
                <w:rFonts w:ascii="Times New Roman" w:eastAsia="仿宋_GB2312" w:hAnsi="Times New Roman" w:hint="eastAsia"/>
                <w:kern w:val="0"/>
                <w:sz w:val="18"/>
                <w:szCs w:val="18"/>
              </w:rPr>
              <w:t>8</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proofErr w:type="gramStart"/>
            <w:r>
              <w:rPr>
                <w:rFonts w:ascii="Times New Roman" w:eastAsia="仿宋_GB2312" w:hAnsi="Times New Roman"/>
                <w:kern w:val="0"/>
                <w:sz w:val="18"/>
                <w:szCs w:val="18"/>
              </w:rPr>
              <w:t>受到住</w:t>
            </w:r>
            <w:proofErr w:type="gramEnd"/>
            <w:r>
              <w:rPr>
                <w:rFonts w:ascii="Times New Roman" w:eastAsia="仿宋_GB2312" w:hAnsi="Times New Roman"/>
                <w:kern w:val="0"/>
                <w:sz w:val="18"/>
                <w:szCs w:val="18"/>
              </w:rPr>
              <w:t>建部行政处罚或通报批评</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49</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受到自治区住建厅行政处罚或通报批评</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24</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0</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受到市城管部门行政处罚或市住</w:t>
            </w:r>
            <w:proofErr w:type="gramStart"/>
            <w:r>
              <w:rPr>
                <w:rFonts w:ascii="Times New Roman" w:eastAsia="仿宋_GB2312" w:hAnsi="Times New Roman"/>
                <w:kern w:val="0"/>
                <w:sz w:val="18"/>
                <w:szCs w:val="18"/>
              </w:rPr>
              <w:t>建主管</w:t>
            </w:r>
            <w:proofErr w:type="gramEnd"/>
            <w:r>
              <w:rPr>
                <w:rFonts w:ascii="Times New Roman" w:eastAsia="仿宋_GB2312" w:hAnsi="Times New Roman"/>
                <w:kern w:val="0"/>
                <w:sz w:val="18"/>
                <w:szCs w:val="18"/>
              </w:rPr>
              <w:t>部门通报批评</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1</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受到城管部门</w:t>
            </w:r>
            <w:r>
              <w:rPr>
                <w:rFonts w:ascii="Times New Roman" w:eastAsia="仿宋_GB2312" w:hAnsi="Times New Roman" w:hint="eastAsia"/>
                <w:kern w:val="0"/>
                <w:sz w:val="18"/>
                <w:szCs w:val="18"/>
              </w:rPr>
              <w:t>、生态环境部门</w:t>
            </w:r>
            <w:r>
              <w:rPr>
                <w:rFonts w:ascii="Times New Roman" w:eastAsia="仿宋_GB2312" w:hAnsi="Times New Roman"/>
                <w:kern w:val="0"/>
                <w:sz w:val="18"/>
                <w:szCs w:val="18"/>
              </w:rPr>
              <w:t>或住</w:t>
            </w:r>
            <w:proofErr w:type="gramStart"/>
            <w:r>
              <w:rPr>
                <w:rFonts w:ascii="Times New Roman" w:eastAsia="仿宋_GB2312" w:hAnsi="Times New Roman"/>
                <w:kern w:val="0"/>
                <w:sz w:val="18"/>
                <w:szCs w:val="18"/>
              </w:rPr>
              <w:t>建部门</w:t>
            </w:r>
            <w:proofErr w:type="gramEnd"/>
            <w:r>
              <w:rPr>
                <w:rFonts w:ascii="Times New Roman" w:eastAsia="仿宋_GB2312" w:hAnsi="Times New Roman"/>
                <w:kern w:val="0"/>
                <w:sz w:val="18"/>
                <w:szCs w:val="18"/>
              </w:rPr>
              <w:t>行政处罚</w:t>
            </w:r>
            <w:r>
              <w:rPr>
                <w:rFonts w:ascii="Times New Roman" w:eastAsia="仿宋_GB2312" w:hAnsi="Times New Roman" w:hint="eastAsia"/>
                <w:kern w:val="0"/>
                <w:sz w:val="18"/>
                <w:szCs w:val="18"/>
              </w:rPr>
              <w:t>或</w:t>
            </w:r>
            <w:r>
              <w:rPr>
                <w:rFonts w:ascii="Times New Roman" w:eastAsia="仿宋_GB2312" w:hAnsi="Times New Roman"/>
                <w:kern w:val="0"/>
                <w:sz w:val="18"/>
                <w:szCs w:val="18"/>
              </w:rPr>
              <w:t>通报批评</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2</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因金融领域失信问题、生态环境保护失信行为、拖欠农民工工资和工程款问题、法院判决不执行问题和违法建设问题被联合惩戒的，或其他问题被有关行政管理部门列入不良行为记录的</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12</w:t>
            </w:r>
          </w:p>
        </w:tc>
        <w:tc>
          <w:tcPr>
            <w:tcW w:w="1650"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被本附件中其他条款重复扣分的，扣分取高值。</w:t>
            </w: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53</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采用告知承诺形式取得建设行业各类许可事项，未按承诺形式、限时兑现承诺且拒不整改的</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54</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hint="eastAsia"/>
                <w:kern w:val="0"/>
                <w:sz w:val="18"/>
                <w:szCs w:val="18"/>
              </w:rPr>
              <w:t>不配合纪检监察机关调查取证的</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left"/>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5</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left"/>
              <w:rPr>
                <w:rFonts w:ascii="Times New Roman" w:eastAsia="仿宋_GB2312" w:hAnsi="Times New Roman"/>
                <w:kern w:val="0"/>
                <w:sz w:val="18"/>
                <w:szCs w:val="18"/>
              </w:rPr>
            </w:pPr>
          </w:p>
        </w:tc>
      </w:tr>
      <w:tr w:rsidR="00D87CF7">
        <w:trPr>
          <w:trHeight w:val="254"/>
          <w:jc w:val="center"/>
        </w:trPr>
        <w:tc>
          <w:tcPr>
            <w:tcW w:w="43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5</w:t>
            </w:r>
            <w:r>
              <w:rPr>
                <w:rFonts w:ascii="Times New Roman" w:eastAsia="仿宋_GB2312" w:hAnsi="Times New Roman" w:hint="eastAsia"/>
                <w:kern w:val="0"/>
                <w:sz w:val="18"/>
                <w:szCs w:val="18"/>
              </w:rPr>
              <w:t>5</w:t>
            </w:r>
          </w:p>
        </w:tc>
        <w:tc>
          <w:tcPr>
            <w:tcW w:w="563" w:type="dxa"/>
            <w:vMerge/>
            <w:tcBorders>
              <w:top w:val="single" w:sz="4" w:space="0" w:color="auto"/>
              <w:left w:val="single" w:sz="4" w:space="0" w:color="auto"/>
              <w:bottom w:val="single" w:sz="4" w:space="0" w:color="auto"/>
              <w:right w:val="single" w:sz="4" w:space="0" w:color="auto"/>
            </w:tcBorders>
            <w:vAlign w:val="center"/>
          </w:tcPr>
          <w:p w:rsidR="00D87CF7" w:rsidRDefault="00D87CF7">
            <w:pPr>
              <w:widowControl/>
              <w:spacing w:line="240" w:lineRule="exact"/>
              <w:jc w:val="left"/>
              <w:rPr>
                <w:rFonts w:ascii="Times New Roman" w:eastAsia="仿宋_GB2312" w:hAnsi="Times New Roman"/>
                <w:kern w:val="0"/>
                <w:sz w:val="18"/>
                <w:szCs w:val="18"/>
              </w:rPr>
            </w:pPr>
          </w:p>
        </w:tc>
        <w:tc>
          <w:tcPr>
            <w:tcW w:w="3645" w:type="dxa"/>
            <w:tcBorders>
              <w:top w:val="single" w:sz="4" w:space="0" w:color="auto"/>
              <w:left w:val="nil"/>
              <w:bottom w:val="single" w:sz="4" w:space="0" w:color="auto"/>
              <w:right w:val="nil"/>
            </w:tcBorders>
            <w:vAlign w:val="center"/>
          </w:tcPr>
          <w:p w:rsidR="00D87CF7" w:rsidRDefault="00916BBB">
            <w:pPr>
              <w:widowControl/>
              <w:spacing w:line="300" w:lineRule="exact"/>
              <w:jc w:val="left"/>
              <w:rPr>
                <w:rFonts w:ascii="Times New Roman" w:eastAsia="仿宋_GB2312" w:hAnsi="Times New Roman"/>
                <w:kern w:val="0"/>
                <w:sz w:val="18"/>
                <w:szCs w:val="18"/>
              </w:rPr>
            </w:pPr>
            <w:r>
              <w:rPr>
                <w:rFonts w:ascii="Times New Roman" w:eastAsia="仿宋_GB2312" w:hAnsi="Times New Roman"/>
                <w:kern w:val="0"/>
                <w:sz w:val="18"/>
                <w:szCs w:val="18"/>
              </w:rPr>
              <w:t>不按要求落实政府及住建行政主管部门布置的紧急任务</w:t>
            </w:r>
          </w:p>
        </w:tc>
        <w:tc>
          <w:tcPr>
            <w:tcW w:w="3045" w:type="dxa"/>
            <w:tcBorders>
              <w:top w:val="single" w:sz="4" w:space="0" w:color="auto"/>
              <w:left w:val="single" w:sz="4" w:space="0" w:color="auto"/>
              <w:bottom w:val="single" w:sz="4" w:space="0" w:color="auto"/>
              <w:right w:val="nil"/>
            </w:tcBorders>
            <w:vAlign w:val="center"/>
          </w:tcPr>
          <w:p w:rsidR="00D87CF7" w:rsidRDefault="00D87CF7">
            <w:pPr>
              <w:widowControl/>
              <w:spacing w:line="300" w:lineRule="exact"/>
              <w:jc w:val="center"/>
              <w:rPr>
                <w:rFonts w:ascii="Times New Roman" w:eastAsia="仿宋_GB2312" w:hAnsi="Times New Roman"/>
                <w:kern w:val="0"/>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hint="eastAsia"/>
                <w:kern w:val="0"/>
                <w:sz w:val="18"/>
                <w:szCs w:val="18"/>
              </w:rPr>
              <w:t>3</w:t>
            </w:r>
          </w:p>
        </w:tc>
        <w:tc>
          <w:tcPr>
            <w:tcW w:w="716" w:type="dxa"/>
            <w:tcBorders>
              <w:top w:val="single" w:sz="4" w:space="0" w:color="auto"/>
              <w:left w:val="nil"/>
              <w:bottom w:val="single" w:sz="4" w:space="0" w:color="auto"/>
              <w:right w:val="single" w:sz="4" w:space="0" w:color="auto"/>
            </w:tcBorders>
            <w:vAlign w:val="center"/>
          </w:tcPr>
          <w:p w:rsidR="00D87CF7" w:rsidRDefault="00916BBB">
            <w:pPr>
              <w:widowControl/>
              <w:spacing w:line="30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6</w:t>
            </w:r>
          </w:p>
        </w:tc>
        <w:tc>
          <w:tcPr>
            <w:tcW w:w="1650" w:type="dxa"/>
            <w:tcBorders>
              <w:top w:val="single" w:sz="4" w:space="0" w:color="auto"/>
              <w:left w:val="nil"/>
              <w:bottom w:val="single" w:sz="4" w:space="0" w:color="auto"/>
              <w:right w:val="single" w:sz="4" w:space="0" w:color="auto"/>
            </w:tcBorders>
            <w:vAlign w:val="center"/>
          </w:tcPr>
          <w:p w:rsidR="00D87CF7" w:rsidRDefault="00D87CF7">
            <w:pPr>
              <w:widowControl/>
              <w:spacing w:line="300" w:lineRule="exact"/>
              <w:jc w:val="center"/>
              <w:rPr>
                <w:rFonts w:ascii="Times New Roman" w:eastAsia="仿宋_GB2312" w:hAnsi="Times New Roman"/>
                <w:kern w:val="0"/>
                <w:sz w:val="18"/>
                <w:szCs w:val="18"/>
              </w:rPr>
            </w:pPr>
          </w:p>
        </w:tc>
      </w:tr>
      <w:tr w:rsidR="00D87CF7">
        <w:trPr>
          <w:trHeight w:val="379"/>
          <w:jc w:val="center"/>
        </w:trPr>
        <w:tc>
          <w:tcPr>
            <w:tcW w:w="10569" w:type="dxa"/>
            <w:gridSpan w:val="7"/>
            <w:tcBorders>
              <w:top w:val="single" w:sz="4" w:space="0" w:color="auto"/>
              <w:left w:val="nil"/>
              <w:bottom w:val="nil"/>
              <w:right w:val="nil"/>
            </w:tcBorders>
            <w:vAlign w:val="center"/>
          </w:tcPr>
          <w:p w:rsidR="00D87CF7" w:rsidRDefault="00916BBB">
            <w:pPr>
              <w:widowControl/>
              <w:spacing w:line="240" w:lineRule="exact"/>
              <w:jc w:val="left"/>
              <w:rPr>
                <w:rFonts w:ascii="Times New Roman" w:eastAsia="仿宋_GB2312" w:hAnsi="Times New Roman"/>
                <w:bCs/>
                <w:kern w:val="0"/>
                <w:sz w:val="18"/>
                <w:szCs w:val="18"/>
              </w:rPr>
            </w:pPr>
            <w:r>
              <w:rPr>
                <w:rFonts w:ascii="Times New Roman" w:eastAsia="仿宋_GB2312" w:hAnsi="Times New Roman"/>
                <w:bCs/>
                <w:kern w:val="0"/>
                <w:sz w:val="18"/>
                <w:szCs w:val="18"/>
              </w:rPr>
              <w:t>注：以上行为描述中所列的行为同时受到行政处罚或通报批评的，其记分分值和记分期限按最高的记取。</w:t>
            </w:r>
          </w:p>
        </w:tc>
      </w:tr>
    </w:tbl>
    <w:p w:rsidR="00D87CF7" w:rsidRDefault="00D87CF7"/>
    <w:sectPr w:rsidR="00D87CF7" w:rsidSect="00D87C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BB" w:rsidRDefault="00916BBB" w:rsidP="000952D1">
      <w:r>
        <w:separator/>
      </w:r>
    </w:p>
  </w:endnote>
  <w:endnote w:type="continuationSeparator" w:id="0">
    <w:p w:rsidR="00916BBB" w:rsidRDefault="00916BBB" w:rsidP="00095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BB" w:rsidRDefault="00916BBB" w:rsidP="000952D1">
      <w:r>
        <w:separator/>
      </w:r>
    </w:p>
  </w:footnote>
  <w:footnote w:type="continuationSeparator" w:id="0">
    <w:p w:rsidR="00916BBB" w:rsidRDefault="00916BBB" w:rsidP="00095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147"/>
    <w:rsid w:val="00032007"/>
    <w:rsid w:val="00050E5D"/>
    <w:rsid w:val="00085CDC"/>
    <w:rsid w:val="000952D1"/>
    <w:rsid w:val="000B0470"/>
    <w:rsid w:val="001B06FA"/>
    <w:rsid w:val="001C7D3B"/>
    <w:rsid w:val="0024524A"/>
    <w:rsid w:val="00272FEA"/>
    <w:rsid w:val="00296782"/>
    <w:rsid w:val="004302B0"/>
    <w:rsid w:val="004F2971"/>
    <w:rsid w:val="005627A2"/>
    <w:rsid w:val="005C10C1"/>
    <w:rsid w:val="006238A5"/>
    <w:rsid w:val="00646C83"/>
    <w:rsid w:val="006B47C0"/>
    <w:rsid w:val="006C23A1"/>
    <w:rsid w:val="006E4AA8"/>
    <w:rsid w:val="00702C11"/>
    <w:rsid w:val="007265D0"/>
    <w:rsid w:val="007603B3"/>
    <w:rsid w:val="007A3E26"/>
    <w:rsid w:val="007E38A4"/>
    <w:rsid w:val="008174A7"/>
    <w:rsid w:val="00837FBB"/>
    <w:rsid w:val="008429B3"/>
    <w:rsid w:val="0089632F"/>
    <w:rsid w:val="008C6895"/>
    <w:rsid w:val="00916BBB"/>
    <w:rsid w:val="00A01535"/>
    <w:rsid w:val="00A04F8F"/>
    <w:rsid w:val="00A5596C"/>
    <w:rsid w:val="00B05C82"/>
    <w:rsid w:val="00B3367F"/>
    <w:rsid w:val="00B35779"/>
    <w:rsid w:val="00B65916"/>
    <w:rsid w:val="00B96761"/>
    <w:rsid w:val="00BE7845"/>
    <w:rsid w:val="00C27727"/>
    <w:rsid w:val="00C3345E"/>
    <w:rsid w:val="00C46C04"/>
    <w:rsid w:val="00CA028D"/>
    <w:rsid w:val="00CA774E"/>
    <w:rsid w:val="00D74473"/>
    <w:rsid w:val="00D75B8A"/>
    <w:rsid w:val="00D87CF7"/>
    <w:rsid w:val="00D954C3"/>
    <w:rsid w:val="00DB2709"/>
    <w:rsid w:val="00DE76E5"/>
    <w:rsid w:val="00E16F5B"/>
    <w:rsid w:val="00E44147"/>
    <w:rsid w:val="00E52D9E"/>
    <w:rsid w:val="00E838A9"/>
    <w:rsid w:val="00ED7829"/>
    <w:rsid w:val="00FB3A9D"/>
    <w:rsid w:val="0D4D604D"/>
    <w:rsid w:val="0FCD66DB"/>
    <w:rsid w:val="3DFA0BA6"/>
    <w:rsid w:val="3E3D421A"/>
    <w:rsid w:val="65C57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F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87CF7"/>
    <w:pPr>
      <w:tabs>
        <w:tab w:val="center" w:pos="4153"/>
        <w:tab w:val="right" w:pos="8306"/>
      </w:tabs>
      <w:snapToGrid w:val="0"/>
      <w:jc w:val="left"/>
    </w:pPr>
    <w:rPr>
      <w:rFonts w:ascii="Times New Roman" w:hAnsi="Times New Roman"/>
      <w:sz w:val="18"/>
      <w:szCs w:val="18"/>
    </w:rPr>
  </w:style>
  <w:style w:type="paragraph" w:styleId="a4">
    <w:name w:val="header"/>
    <w:basedOn w:val="a"/>
    <w:link w:val="Char0"/>
    <w:uiPriority w:val="99"/>
    <w:semiHidden/>
    <w:unhideWhenUsed/>
    <w:qFormat/>
    <w:rsid w:val="00D87CF7"/>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5">
    <w:name w:val="Normal (Web)"/>
    <w:basedOn w:val="a"/>
    <w:qFormat/>
    <w:rsid w:val="00D87CF7"/>
    <w:pPr>
      <w:jc w:val="left"/>
    </w:pPr>
    <w:rPr>
      <w:kern w:val="0"/>
      <w:sz w:val="24"/>
    </w:rPr>
  </w:style>
  <w:style w:type="character" w:styleId="a6">
    <w:name w:val="Strong"/>
    <w:basedOn w:val="a0"/>
    <w:qFormat/>
    <w:rsid w:val="00D87CF7"/>
    <w:rPr>
      <w:b/>
      <w:kern w:val="0"/>
      <w:sz w:val="32"/>
      <w:szCs w:val="20"/>
      <w:lang w:val="en-US" w:eastAsia="zh-CN"/>
    </w:rPr>
  </w:style>
  <w:style w:type="character" w:customStyle="1" w:styleId="Char0">
    <w:name w:val="页眉 Char"/>
    <w:basedOn w:val="a0"/>
    <w:link w:val="a4"/>
    <w:uiPriority w:val="99"/>
    <w:semiHidden/>
    <w:qFormat/>
    <w:rsid w:val="00D87CF7"/>
    <w:rPr>
      <w:kern w:val="2"/>
      <w:sz w:val="18"/>
      <w:szCs w:val="18"/>
    </w:rPr>
  </w:style>
  <w:style w:type="character" w:customStyle="1" w:styleId="Char">
    <w:name w:val="页脚 Char"/>
    <w:basedOn w:val="a0"/>
    <w:link w:val="a3"/>
    <w:uiPriority w:val="99"/>
    <w:semiHidden/>
    <w:qFormat/>
    <w:rsid w:val="00D87CF7"/>
    <w:rPr>
      <w:kern w:val="2"/>
      <w:sz w:val="18"/>
      <w:szCs w:val="18"/>
    </w:rPr>
  </w:style>
  <w:style w:type="paragraph" w:customStyle="1" w:styleId="Char1">
    <w:name w:val="Char1"/>
    <w:basedOn w:val="a"/>
    <w:qFormat/>
    <w:rsid w:val="00D87CF7"/>
    <w:rPr>
      <w:rFonts w:ascii="Times New Roman" w:hAnsi="Times New Roman"/>
      <w:kern w:val="0"/>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2019-01-04T01:00:00Z</dcterms:created>
  <dcterms:modified xsi:type="dcterms:W3CDTF">2019-07-24T03:56:00Z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