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BB" w:rsidRPr="00200798" w:rsidRDefault="00485E1C">
      <w:pPr>
        <w:widowControl/>
        <w:spacing w:line="500" w:lineRule="exact"/>
        <w:jc w:val="left"/>
        <w:rPr>
          <w:rFonts w:ascii="Times New Roman" w:eastAsia="黑体" w:hAnsi="Times New Roman"/>
          <w:sz w:val="32"/>
          <w:szCs w:val="32"/>
        </w:rPr>
      </w:pPr>
      <w:r w:rsidRPr="00200798">
        <w:rPr>
          <w:rFonts w:ascii="Times New Roman" w:eastAsia="黑体" w:hAnsi="Times New Roman"/>
          <w:sz w:val="32"/>
          <w:szCs w:val="32"/>
        </w:rPr>
        <w:t>附件</w:t>
      </w:r>
      <w:r w:rsidRPr="00200798">
        <w:rPr>
          <w:rFonts w:ascii="Times New Roman" w:eastAsia="黑体" w:hAnsi="Times New Roman" w:hint="eastAsia"/>
          <w:sz w:val="32"/>
          <w:szCs w:val="32"/>
        </w:rPr>
        <w:t>4</w:t>
      </w:r>
    </w:p>
    <w:p w:rsidR="001B01BB" w:rsidRPr="00200798" w:rsidRDefault="00485E1C">
      <w:pPr>
        <w:spacing w:line="500" w:lineRule="exact"/>
        <w:jc w:val="center"/>
        <w:rPr>
          <w:rFonts w:ascii="Times New Roman" w:eastAsia="创艺简标宋" w:hAnsi="Times New Roman"/>
          <w:kern w:val="0"/>
          <w:sz w:val="40"/>
          <w:szCs w:val="40"/>
        </w:rPr>
      </w:pPr>
      <w:r w:rsidRPr="00200798">
        <w:rPr>
          <w:rFonts w:ascii="Times New Roman" w:eastAsia="创艺简标宋" w:hAnsi="Times New Roman"/>
          <w:kern w:val="0"/>
          <w:sz w:val="40"/>
          <w:szCs w:val="40"/>
        </w:rPr>
        <w:t>柳州市房地产经纪机构优良行为计分标准</w:t>
      </w:r>
    </w:p>
    <w:tbl>
      <w:tblPr>
        <w:tblW w:w="9810" w:type="dxa"/>
        <w:tblLayout w:type="fixed"/>
        <w:tblCellMar>
          <w:left w:w="0" w:type="dxa"/>
          <w:right w:w="0" w:type="dxa"/>
        </w:tblCellMar>
        <w:tblLook w:val="04A0"/>
      </w:tblPr>
      <w:tblGrid>
        <w:gridCol w:w="555"/>
        <w:gridCol w:w="1320"/>
        <w:gridCol w:w="1080"/>
        <w:gridCol w:w="3255"/>
        <w:gridCol w:w="900"/>
        <w:gridCol w:w="900"/>
        <w:gridCol w:w="1800"/>
      </w:tblGrid>
      <w:tr w:rsidR="001B01BB" w:rsidRPr="00200798">
        <w:trPr>
          <w:trHeight w:val="4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序号</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获奖类别</w:t>
            </w:r>
          </w:p>
        </w:tc>
        <w:tc>
          <w:tcPr>
            <w:tcW w:w="4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获奖情况</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分值</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有效期（月）</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备注说明</w:t>
            </w:r>
          </w:p>
        </w:tc>
      </w:tr>
      <w:tr w:rsidR="001B01BB" w:rsidRPr="00200798">
        <w:trPr>
          <w:trHeight w:val="3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综合荣誉</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国家级</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国务院表彰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36</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有效期内累计不超过15分。</w:t>
            </w:r>
          </w:p>
        </w:tc>
      </w:tr>
      <w:tr w:rsidR="001B01BB" w:rsidRPr="00200798">
        <w:trPr>
          <w:trHeight w:val="439"/>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住建部通报表彰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24</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国家级行业协会通报表彰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18</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4</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自治区级</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自治区政府表彰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18</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有效期内累计不超过12分。</w:t>
            </w:r>
          </w:p>
        </w:tc>
      </w:tr>
      <w:tr w:rsidR="001B01BB" w:rsidRPr="00200798">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自治区住建厅通报表彰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18</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6</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自治区</w:t>
            </w:r>
            <w:proofErr w:type="gramStart"/>
            <w:r w:rsidRPr="00200798">
              <w:rPr>
                <w:rFonts w:ascii="宋体" w:hAnsi="宋体" w:cs="宋体" w:hint="eastAsia"/>
                <w:kern w:val="0"/>
                <w:sz w:val="20"/>
                <w:szCs w:val="20"/>
              </w:rPr>
              <w:t>级行业</w:t>
            </w:r>
            <w:proofErr w:type="gramEnd"/>
            <w:r w:rsidRPr="00200798">
              <w:rPr>
                <w:rFonts w:ascii="宋体" w:hAnsi="宋体" w:cs="宋体" w:hint="eastAsia"/>
                <w:kern w:val="0"/>
                <w:sz w:val="20"/>
                <w:szCs w:val="20"/>
              </w:rPr>
              <w:t>协会通报表彰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34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7</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市级</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市政府通报表彰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有效期内累计不超过8分。</w:t>
            </w:r>
          </w:p>
        </w:tc>
      </w:tr>
      <w:tr w:rsidR="001B01BB" w:rsidRPr="00200798">
        <w:trPr>
          <w:trHeight w:val="462"/>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8</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市住建</w:t>
            </w:r>
            <w:r w:rsidR="00C152ED">
              <w:rPr>
                <w:rFonts w:ascii="宋体" w:hAnsi="宋体" w:cs="宋体" w:hint="eastAsia"/>
                <w:kern w:val="0"/>
                <w:sz w:val="20"/>
                <w:szCs w:val="20"/>
              </w:rPr>
              <w:t>局</w:t>
            </w:r>
            <w:r w:rsidRPr="00200798">
              <w:rPr>
                <w:rFonts w:ascii="宋体" w:hAnsi="宋体" w:cs="宋体" w:hint="eastAsia"/>
                <w:kern w:val="0"/>
                <w:sz w:val="20"/>
                <w:szCs w:val="20"/>
              </w:rPr>
              <w:t>通报表扬</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39"/>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9</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市级行业协会通报表彰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45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10</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县(市)区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县（市）区政府通报表彰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有效期内累计不超过5分。</w:t>
            </w:r>
          </w:p>
        </w:tc>
      </w:tr>
      <w:tr w:rsidR="001B01BB" w:rsidRPr="00200798">
        <w:trPr>
          <w:trHeight w:val="43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11</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县（市）区建设主管部门通报表扬</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100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业绩考核</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Style w:val="font51"/>
                <w:rFonts w:hint="default"/>
                <w:color w:val="auto"/>
              </w:rPr>
              <w:t>消费者有效投诉</w:t>
            </w:r>
            <w:r w:rsidRPr="00200798">
              <w:rPr>
                <w:rFonts w:ascii="宋体" w:hAnsi="宋体" w:cs="宋体" w:hint="eastAsia"/>
                <w:kern w:val="0"/>
                <w:sz w:val="20"/>
                <w:szCs w:val="20"/>
              </w:rPr>
              <w:t>为零</w:t>
            </w:r>
            <w:r w:rsidRPr="00200798">
              <w:rPr>
                <w:rStyle w:val="font51"/>
                <w:rFonts w:hint="default"/>
                <w:color w:val="auto"/>
              </w:rPr>
              <w:t>，</w:t>
            </w:r>
            <w:proofErr w:type="gramStart"/>
            <w:r w:rsidRPr="00200798">
              <w:rPr>
                <w:rStyle w:val="font51"/>
                <w:rFonts w:hint="default"/>
                <w:color w:val="auto"/>
              </w:rPr>
              <w:t>且网签业务</w:t>
            </w:r>
            <w:proofErr w:type="gramEnd"/>
            <w:r w:rsidRPr="00200798">
              <w:rPr>
                <w:rStyle w:val="font51"/>
                <w:rFonts w:hint="default"/>
                <w:color w:val="auto"/>
              </w:rPr>
              <w:t>成交量排名第1-10名。</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未备注有效期按，记分周期，记分期限届满，该项记分系统自动清零。（有效投诉是指被投诉经纪机构在涉及的业务中有违法违规行为被投诉并被立案移交执法局的）</w:t>
            </w:r>
          </w:p>
        </w:tc>
      </w:tr>
      <w:tr w:rsidR="001B01BB" w:rsidRPr="00200798">
        <w:trPr>
          <w:trHeight w:val="72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13</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Style w:val="font51"/>
                <w:rFonts w:hint="default"/>
                <w:color w:val="auto"/>
              </w:rPr>
              <w:t>消费者有效投诉</w:t>
            </w:r>
            <w:r w:rsidRPr="00200798">
              <w:rPr>
                <w:rFonts w:ascii="宋体" w:hAnsi="宋体" w:cs="宋体" w:hint="eastAsia"/>
                <w:kern w:val="0"/>
                <w:sz w:val="20"/>
                <w:szCs w:val="20"/>
              </w:rPr>
              <w:t>为零</w:t>
            </w:r>
            <w:r w:rsidRPr="00200798">
              <w:rPr>
                <w:rStyle w:val="font51"/>
                <w:rFonts w:hint="default"/>
                <w:color w:val="auto"/>
              </w:rPr>
              <w:t>，</w:t>
            </w:r>
            <w:proofErr w:type="gramStart"/>
            <w:r w:rsidRPr="00200798">
              <w:rPr>
                <w:rStyle w:val="font51"/>
                <w:rFonts w:hint="default"/>
                <w:color w:val="auto"/>
              </w:rPr>
              <w:t>且网签业务</w:t>
            </w:r>
            <w:proofErr w:type="gramEnd"/>
            <w:r w:rsidRPr="00200798">
              <w:rPr>
                <w:rStyle w:val="font51"/>
                <w:rFonts w:hint="default"/>
                <w:color w:val="auto"/>
              </w:rPr>
              <w:t>成交量排名第11-20名</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78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14</w:t>
            </w: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Style w:val="font51"/>
                <w:rFonts w:hint="default"/>
                <w:color w:val="auto"/>
              </w:rPr>
              <w:t>消费者有效投诉</w:t>
            </w:r>
            <w:r w:rsidRPr="00200798">
              <w:rPr>
                <w:rFonts w:ascii="宋体" w:hAnsi="宋体" w:cs="宋体" w:hint="eastAsia"/>
                <w:kern w:val="0"/>
                <w:sz w:val="20"/>
                <w:szCs w:val="20"/>
              </w:rPr>
              <w:t>为零</w:t>
            </w:r>
            <w:r w:rsidRPr="00200798">
              <w:rPr>
                <w:rStyle w:val="font51"/>
                <w:rFonts w:hint="default"/>
                <w:color w:val="auto"/>
              </w:rPr>
              <w:t>，</w:t>
            </w:r>
            <w:proofErr w:type="gramStart"/>
            <w:r w:rsidRPr="00200798">
              <w:rPr>
                <w:rStyle w:val="font51"/>
                <w:rFonts w:hint="default"/>
                <w:color w:val="auto"/>
              </w:rPr>
              <w:t>且网签业务</w:t>
            </w:r>
            <w:proofErr w:type="gramEnd"/>
            <w:r w:rsidRPr="00200798">
              <w:rPr>
                <w:rStyle w:val="font51"/>
                <w:rFonts w:hint="default"/>
                <w:color w:val="auto"/>
              </w:rPr>
              <w:t>成交量排名第21-50名</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795"/>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15</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其他</w:t>
            </w: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与房地产经纪相关的其他市级表彰（扬）</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柳州市行政区域内，且有效期内同一行业主管部门仅能加一次，两项累计不超过5分。</w:t>
            </w:r>
          </w:p>
        </w:tc>
      </w:tr>
      <w:tr w:rsidR="001B01BB" w:rsidRPr="00200798">
        <w:trPr>
          <w:trHeight w:val="615"/>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16</w:t>
            </w: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及时响应政府号召，在抢险、救灾等方面有突出贡献</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r>
      <w:tr w:rsidR="001B01BB" w:rsidRPr="00200798">
        <w:trPr>
          <w:trHeight w:val="765"/>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17</w:t>
            </w: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每个机构持有全国经纪人资格证或省级协理证书的</w:t>
            </w:r>
            <w:proofErr w:type="gramStart"/>
            <w:r w:rsidRPr="00200798">
              <w:rPr>
                <w:rFonts w:ascii="宋体" w:hAnsi="宋体" w:cs="宋体" w:hint="eastAsia"/>
                <w:kern w:val="0"/>
                <w:sz w:val="20"/>
                <w:szCs w:val="20"/>
              </w:rPr>
              <w:t>的</w:t>
            </w:r>
            <w:proofErr w:type="gramEnd"/>
            <w:r w:rsidRPr="00200798">
              <w:rPr>
                <w:rFonts w:ascii="宋体" w:hAnsi="宋体" w:cs="宋体" w:hint="eastAsia"/>
                <w:kern w:val="0"/>
                <w:sz w:val="20"/>
                <w:szCs w:val="20"/>
              </w:rPr>
              <w:t>，每增加一位可加0.5分，最高不超过5分。</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0.5-5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left"/>
              <w:rPr>
                <w:rFonts w:ascii="宋体" w:hAnsi="宋体" w:cs="宋体"/>
                <w:sz w:val="20"/>
                <w:szCs w:val="20"/>
              </w:rPr>
            </w:pPr>
          </w:p>
        </w:tc>
      </w:tr>
      <w:tr w:rsidR="001B01BB" w:rsidRPr="00200798">
        <w:trPr>
          <w:trHeight w:val="762"/>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18</w:t>
            </w: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上个评选周期信用登记为A级的机构可加1分，根据连续评为A级的年限每年增加1分，最高不超过3分；</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left"/>
              <w:rPr>
                <w:rFonts w:ascii="宋体" w:hAnsi="宋体" w:cs="宋体"/>
                <w:sz w:val="20"/>
                <w:szCs w:val="20"/>
              </w:rPr>
            </w:pPr>
          </w:p>
        </w:tc>
      </w:tr>
      <w:tr w:rsidR="001B01BB" w:rsidRPr="00200798">
        <w:trPr>
          <w:trHeight w:val="762"/>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自愿接受行业协会制定的行业自律管理要求的加1分</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left"/>
              <w:rPr>
                <w:rFonts w:ascii="宋体" w:hAnsi="宋体" w:cs="宋体"/>
                <w:sz w:val="20"/>
                <w:szCs w:val="20"/>
              </w:rPr>
            </w:pPr>
          </w:p>
        </w:tc>
      </w:tr>
      <w:tr w:rsidR="001B01BB" w:rsidRPr="00200798">
        <w:trPr>
          <w:trHeight w:val="855"/>
        </w:trPr>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lastRenderedPageBreak/>
              <w:t>19</w:t>
            </w: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433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积极配合政府部门开展行业调研、数据及行业协会相关活动的，按次数计算，1次1分，累计不能超过3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rPr>
                <w:rFonts w:ascii="宋体" w:hAnsi="宋体" w:cs="宋体"/>
                <w:sz w:val="20"/>
                <w:szCs w:val="20"/>
              </w:rPr>
            </w:pPr>
          </w:p>
        </w:tc>
      </w:tr>
      <w:tr w:rsidR="001B01BB" w:rsidRPr="00200798">
        <w:trPr>
          <w:trHeight w:val="1422"/>
        </w:trPr>
        <w:tc>
          <w:tcPr>
            <w:tcW w:w="9810" w:type="dxa"/>
            <w:gridSpan w:val="7"/>
            <w:tcBorders>
              <w:top w:val="nil"/>
              <w:left w:val="nil"/>
              <w:bottom w:val="nil"/>
              <w:right w:val="nil"/>
            </w:tcBorders>
            <w:shd w:val="clear" w:color="auto" w:fill="auto"/>
            <w:tcMar>
              <w:top w:w="15" w:type="dxa"/>
              <w:left w:w="15" w:type="dxa"/>
              <w:right w:w="15" w:type="dxa"/>
            </w:tcMar>
          </w:tcPr>
          <w:p w:rsidR="001B01BB" w:rsidRPr="00200798" w:rsidRDefault="00485E1C">
            <w:pPr>
              <w:widowControl/>
              <w:jc w:val="left"/>
              <w:textAlignment w:val="top"/>
              <w:rPr>
                <w:rFonts w:ascii="宋体" w:hAnsi="宋体" w:cs="宋体"/>
                <w:sz w:val="20"/>
                <w:szCs w:val="20"/>
              </w:rPr>
            </w:pPr>
            <w:r w:rsidRPr="00200798">
              <w:rPr>
                <w:rFonts w:ascii="宋体" w:hAnsi="宋体" w:cs="宋体" w:hint="eastAsia"/>
                <w:kern w:val="0"/>
                <w:sz w:val="20"/>
                <w:szCs w:val="20"/>
              </w:rPr>
              <w:t>注：市场主体信用初始记分为80分，有优良行为或不良行为记录情形时，依据记分标准进行相应的加分或扣分。行业市场主体信用等级按以下规则确定：</w:t>
            </w:r>
            <w:r w:rsidRPr="00200798">
              <w:rPr>
                <w:rFonts w:ascii="宋体" w:hAnsi="宋体" w:cs="宋体" w:hint="eastAsia"/>
                <w:kern w:val="0"/>
                <w:sz w:val="20"/>
                <w:szCs w:val="20"/>
              </w:rPr>
              <w:br/>
              <w:t>（一）积分100分及以上的为A级，表示信用优秀；</w:t>
            </w:r>
            <w:r w:rsidRPr="00200798">
              <w:rPr>
                <w:rFonts w:ascii="宋体" w:hAnsi="宋体" w:cs="宋体" w:hint="eastAsia"/>
                <w:kern w:val="0"/>
                <w:sz w:val="20"/>
                <w:szCs w:val="20"/>
              </w:rPr>
              <w:br/>
              <w:t>（二）积分65分以上不足100分的为B级，表示信用一般；</w:t>
            </w:r>
            <w:r w:rsidRPr="00200798">
              <w:rPr>
                <w:rFonts w:ascii="宋体" w:hAnsi="宋体" w:cs="宋体" w:hint="eastAsia"/>
                <w:kern w:val="0"/>
                <w:sz w:val="20"/>
                <w:szCs w:val="20"/>
              </w:rPr>
              <w:br/>
              <w:t>（三）积分不足65分的为C级，表示信用较差。请参会单位先内部测算一下分值。</w:t>
            </w:r>
          </w:p>
        </w:tc>
      </w:tr>
    </w:tbl>
    <w:p w:rsidR="001B01BB" w:rsidRPr="00200798" w:rsidRDefault="001B01BB">
      <w:pPr>
        <w:spacing w:line="500" w:lineRule="exact"/>
        <w:jc w:val="center"/>
        <w:rPr>
          <w:rFonts w:ascii="Times New Roman" w:eastAsia="创艺简标宋" w:hAnsi="Times New Roman"/>
          <w:kern w:val="0"/>
          <w:sz w:val="40"/>
          <w:szCs w:val="40"/>
        </w:rPr>
      </w:pPr>
    </w:p>
    <w:p w:rsidR="001B01BB" w:rsidRPr="00200798" w:rsidRDefault="001B01BB">
      <w:pPr>
        <w:spacing w:line="500" w:lineRule="exact"/>
        <w:jc w:val="center"/>
        <w:rPr>
          <w:rFonts w:ascii="Times New Roman" w:eastAsia="创艺简标宋" w:hAnsi="Times New Roman"/>
          <w:kern w:val="0"/>
          <w:sz w:val="40"/>
          <w:szCs w:val="40"/>
        </w:rPr>
      </w:pPr>
    </w:p>
    <w:p w:rsidR="001B01BB" w:rsidRPr="00200798" w:rsidRDefault="00485E1C">
      <w:pPr>
        <w:spacing w:line="500" w:lineRule="exact"/>
        <w:jc w:val="center"/>
        <w:rPr>
          <w:rFonts w:ascii="Times New Roman" w:eastAsia="创艺简标宋" w:hAnsi="Times New Roman"/>
          <w:kern w:val="0"/>
          <w:sz w:val="40"/>
          <w:szCs w:val="40"/>
        </w:rPr>
      </w:pPr>
      <w:r w:rsidRPr="00200798">
        <w:rPr>
          <w:rFonts w:ascii="Times New Roman" w:eastAsia="创艺简标宋" w:hAnsi="Times New Roman"/>
          <w:kern w:val="0"/>
          <w:sz w:val="40"/>
          <w:szCs w:val="40"/>
        </w:rPr>
        <w:t>柳州市房地产经纪机构</w:t>
      </w:r>
      <w:r w:rsidRPr="00200798">
        <w:rPr>
          <w:rFonts w:ascii="Times New Roman" w:eastAsia="创艺简标宋" w:hAnsi="Times New Roman" w:hint="eastAsia"/>
          <w:kern w:val="0"/>
          <w:sz w:val="40"/>
          <w:szCs w:val="40"/>
        </w:rPr>
        <w:t>不</w:t>
      </w:r>
      <w:r w:rsidRPr="00200798">
        <w:rPr>
          <w:rFonts w:ascii="Times New Roman" w:eastAsia="创艺简标宋" w:hAnsi="Times New Roman"/>
          <w:kern w:val="0"/>
          <w:sz w:val="40"/>
          <w:szCs w:val="40"/>
        </w:rPr>
        <w:t>良行为计分标准</w:t>
      </w:r>
    </w:p>
    <w:p w:rsidR="001B01BB" w:rsidRPr="00200798" w:rsidRDefault="001B01BB">
      <w:pPr>
        <w:spacing w:line="500" w:lineRule="exact"/>
        <w:jc w:val="center"/>
        <w:rPr>
          <w:rFonts w:ascii="Times New Roman" w:eastAsia="创艺简标宋" w:hAnsi="Times New Roman"/>
          <w:kern w:val="0"/>
          <w:sz w:val="40"/>
          <w:szCs w:val="40"/>
        </w:rPr>
      </w:pPr>
    </w:p>
    <w:p w:rsidR="001B01BB" w:rsidRPr="00200798" w:rsidRDefault="001B01BB">
      <w:pPr>
        <w:spacing w:line="500" w:lineRule="exact"/>
        <w:jc w:val="center"/>
        <w:rPr>
          <w:rFonts w:ascii="Times New Roman" w:eastAsia="创艺简标宋" w:hAnsi="Times New Roman"/>
          <w:kern w:val="0"/>
          <w:sz w:val="40"/>
          <w:szCs w:val="40"/>
        </w:rPr>
      </w:pPr>
    </w:p>
    <w:tbl>
      <w:tblPr>
        <w:tblW w:w="9160" w:type="dxa"/>
        <w:tblLayout w:type="fixed"/>
        <w:tblCellMar>
          <w:left w:w="0" w:type="dxa"/>
          <w:right w:w="0" w:type="dxa"/>
        </w:tblCellMar>
        <w:tblLook w:val="04A0"/>
      </w:tblPr>
      <w:tblGrid>
        <w:gridCol w:w="454"/>
        <w:gridCol w:w="399"/>
        <w:gridCol w:w="3910"/>
        <w:gridCol w:w="3699"/>
        <w:gridCol w:w="698"/>
      </w:tblGrid>
      <w:tr w:rsidR="001B01BB" w:rsidRPr="00200798">
        <w:trPr>
          <w:trHeight w:val="507"/>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b/>
                <w:sz w:val="20"/>
                <w:szCs w:val="20"/>
              </w:rPr>
            </w:pPr>
            <w:r w:rsidRPr="00200798">
              <w:rPr>
                <w:rFonts w:ascii="宋体" w:hAnsi="宋体" w:cs="宋体" w:hint="eastAsia"/>
                <w:b/>
                <w:kern w:val="0"/>
                <w:sz w:val="20"/>
                <w:szCs w:val="20"/>
              </w:rPr>
              <w:t>序号</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b/>
                <w:sz w:val="20"/>
                <w:szCs w:val="20"/>
              </w:rPr>
            </w:pPr>
            <w:r w:rsidRPr="00200798">
              <w:rPr>
                <w:rFonts w:ascii="宋体" w:hAnsi="宋体" w:cs="宋体" w:hint="eastAsia"/>
                <w:b/>
                <w:kern w:val="0"/>
                <w:sz w:val="20"/>
                <w:szCs w:val="20"/>
              </w:rPr>
              <w:t>行为类别</w:t>
            </w:r>
          </w:p>
        </w:tc>
        <w:tc>
          <w:tcPr>
            <w:tcW w:w="39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b/>
                <w:sz w:val="20"/>
                <w:szCs w:val="20"/>
              </w:rPr>
            </w:pPr>
            <w:r w:rsidRPr="00200798">
              <w:rPr>
                <w:rFonts w:ascii="宋体" w:hAnsi="宋体" w:cs="宋体" w:hint="eastAsia"/>
                <w:b/>
                <w:kern w:val="0"/>
                <w:sz w:val="20"/>
                <w:szCs w:val="20"/>
              </w:rPr>
              <w:t>不良行为描述</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b/>
                <w:sz w:val="20"/>
                <w:szCs w:val="20"/>
              </w:rPr>
            </w:pPr>
            <w:r w:rsidRPr="00200798">
              <w:rPr>
                <w:rFonts w:ascii="宋体" w:hAnsi="宋体" w:cs="宋体" w:hint="eastAsia"/>
                <w:b/>
                <w:kern w:val="0"/>
                <w:sz w:val="20"/>
                <w:szCs w:val="20"/>
              </w:rPr>
              <w:t>依据</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b/>
                <w:sz w:val="20"/>
                <w:szCs w:val="20"/>
              </w:rPr>
            </w:pPr>
            <w:r w:rsidRPr="00200798">
              <w:rPr>
                <w:rFonts w:ascii="宋体" w:hAnsi="宋体" w:cs="宋体" w:hint="eastAsia"/>
                <w:b/>
                <w:kern w:val="0"/>
                <w:sz w:val="20"/>
                <w:szCs w:val="20"/>
              </w:rPr>
              <w:t>记分    分值</w:t>
            </w:r>
          </w:p>
        </w:tc>
      </w:tr>
      <w:tr w:rsidR="001B01BB" w:rsidRPr="00200798">
        <w:trPr>
          <w:trHeight w:val="356"/>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b/>
                <w:sz w:val="20"/>
                <w:szCs w:val="20"/>
              </w:rPr>
            </w:pP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b/>
                <w:sz w:val="20"/>
                <w:szCs w:val="20"/>
              </w:rPr>
            </w:pPr>
          </w:p>
        </w:tc>
        <w:tc>
          <w:tcPr>
            <w:tcW w:w="39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b/>
                <w:sz w:val="20"/>
                <w:szCs w:val="20"/>
              </w:rPr>
            </w:pPr>
          </w:p>
        </w:tc>
        <w:tc>
          <w:tcPr>
            <w:tcW w:w="36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b/>
                <w:sz w:val="20"/>
                <w:szCs w:val="20"/>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b/>
                <w:sz w:val="20"/>
                <w:szCs w:val="20"/>
              </w:rPr>
            </w:pPr>
          </w:p>
        </w:tc>
      </w:tr>
      <w:tr w:rsidR="001B01BB" w:rsidRPr="00200798">
        <w:trPr>
          <w:trHeight w:val="763"/>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w:t>
            </w:r>
          </w:p>
        </w:tc>
        <w:tc>
          <w:tcPr>
            <w:tcW w:w="399"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信息公示</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未在其经营场所醒目位置公示营业执照、服务项目、业务流程、执业人员信息、收费标准、交易资金监管方式等内容</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15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w:t>
            </w:r>
          </w:p>
        </w:tc>
        <w:tc>
          <w:tcPr>
            <w:tcW w:w="39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未经委托人书面同意，擅自对外发布房源信息</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22</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132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9"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发布未经核实的房源信息被查实的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1.《住房城乡建设部等部门关于加强房地产中介管理促进行业健康发展的意见》（建房[2016]168号）；</w:t>
            </w:r>
            <w:r w:rsidRPr="00200798">
              <w:rPr>
                <w:rFonts w:ascii="宋体" w:hAnsi="宋体" w:cs="宋体" w:hint="eastAsia"/>
                <w:kern w:val="0"/>
                <w:sz w:val="20"/>
                <w:szCs w:val="20"/>
              </w:rPr>
              <w:br/>
              <w:t>2.依据《关于升级优化存量房交易服务平台加强存量房交易市场管理的通知》（</w:t>
            </w:r>
            <w:proofErr w:type="gramStart"/>
            <w:r w:rsidRPr="00200798">
              <w:rPr>
                <w:rFonts w:ascii="宋体" w:hAnsi="宋体" w:cs="宋体" w:hint="eastAsia"/>
                <w:kern w:val="0"/>
                <w:sz w:val="20"/>
                <w:szCs w:val="20"/>
              </w:rPr>
              <w:t>柳建产权</w:t>
            </w:r>
            <w:proofErr w:type="gramEnd"/>
            <w:r w:rsidRPr="00200798">
              <w:rPr>
                <w:rFonts w:ascii="宋体" w:hAnsi="宋体" w:cs="宋体" w:hint="eastAsia"/>
                <w:kern w:val="0"/>
                <w:sz w:val="20"/>
                <w:szCs w:val="20"/>
              </w:rPr>
              <w:t>字[2018]11号）</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3</w:t>
            </w:r>
          </w:p>
        </w:tc>
      </w:tr>
      <w:tr w:rsidR="001B01BB" w:rsidRPr="00200798">
        <w:trPr>
          <w:trHeight w:val="132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服务收费管理</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收取未予标明的费用，利用虚假或者使人误解的标价内容和标价方式进行价格欺诈，一项服务可以分解为多个项目和标准的，未明确标示每一个项目和标准，混合标价、捆绑标价</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18</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92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4</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未完成房地产经纪服务合同约定事项，或者服务未达到房地产经纪服务合同约定标准，收取佣金</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19</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109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5</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合同及</w:t>
            </w:r>
            <w:r w:rsidRPr="00200798">
              <w:rPr>
                <w:rFonts w:ascii="宋体" w:hAnsi="宋体" w:cs="宋体" w:hint="eastAsia"/>
                <w:kern w:val="0"/>
                <w:sz w:val="20"/>
                <w:szCs w:val="20"/>
              </w:rPr>
              <w:lastRenderedPageBreak/>
              <w:t>档案管理</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lastRenderedPageBreak/>
              <w:t>房地产经纪机构接受委托提供房地产信息、实地看房、代拟合同等房地产经纪服务的，未与委托人签订书面房地产经纪服务合同</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16</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94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lastRenderedPageBreak/>
              <w:t>6</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房地产经纪机构未保存房地产经纪服务合同，或保存期少于</w:t>
            </w:r>
            <w:r w:rsidRPr="00200798">
              <w:rPr>
                <w:rFonts w:ascii="Times New Roman" w:hAnsi="Times New Roman"/>
                <w:kern w:val="0"/>
                <w:sz w:val="20"/>
                <w:szCs w:val="20"/>
              </w:rPr>
              <w:t>5</w:t>
            </w:r>
            <w:r w:rsidRPr="00200798">
              <w:rPr>
                <w:rFonts w:ascii="仿宋_GB2312" w:eastAsia="仿宋_GB2312" w:hAnsi="宋体" w:cs="仿宋_GB2312"/>
                <w:kern w:val="0"/>
                <w:sz w:val="20"/>
                <w:szCs w:val="20"/>
              </w:rPr>
              <w:t>年</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26</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144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lastRenderedPageBreak/>
              <w:t>7</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房地产经纪服务合同未由一名房地产经纪人或者两名房地产经纪人协理签名的</w:t>
            </w:r>
            <w:r w:rsidRPr="00200798">
              <w:rPr>
                <w:rFonts w:ascii="Times New Roman" w:hAnsi="Times New Roman"/>
                <w:kern w:val="0"/>
                <w:sz w:val="20"/>
                <w:szCs w:val="20"/>
              </w:rPr>
              <w:t>;</w:t>
            </w:r>
            <w:r w:rsidRPr="00200798">
              <w:rPr>
                <w:rFonts w:ascii="仿宋_GB2312" w:eastAsia="仿宋_GB2312" w:hAnsi="宋体" w:cs="仿宋_GB2312"/>
                <w:kern w:val="0"/>
                <w:sz w:val="20"/>
                <w:szCs w:val="20"/>
              </w:rPr>
              <w:t>房地产经纪机构签订房地产经纪服务合同前，不向交易当事人说明和书面告知规定事项</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33</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883"/>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8</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BC322E">
            <w:pPr>
              <w:widowControl/>
              <w:textAlignment w:val="center"/>
              <w:rPr>
                <w:rFonts w:ascii="宋体" w:hAnsi="宋体" w:cs="宋体"/>
                <w:sz w:val="20"/>
                <w:szCs w:val="20"/>
              </w:rPr>
            </w:pPr>
            <w:hyperlink r:id="rId7" w:tooltip="https://baike.so.com/doc/4643788-4856797.html" w:history="1">
              <w:r w:rsidR="00485E1C" w:rsidRPr="00200798">
                <w:rPr>
                  <w:rStyle w:val="a5"/>
                  <w:rFonts w:ascii="宋体" w:hAnsi="宋体" w:cs="宋体" w:hint="eastAsia"/>
                  <w:color w:val="auto"/>
                  <w:sz w:val="20"/>
                  <w:szCs w:val="20"/>
                  <w:u w:val="none"/>
                </w:rPr>
                <w:t>为交易当事人规避房屋交易税费等非法目的，就同一房屋签订不同交易价款的合同提供便利</w:t>
              </w:r>
            </w:hyperlink>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98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9</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未通过交易平台为买卖双方进行经纪成交的存量房买卖合同网上签约；</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1.依据住建部住房城乡建设部《关于规范和加强房屋网签备案工作的指导意见》（建房[2018]128号</w:t>
            </w:r>
            <w:proofErr w:type="gramStart"/>
            <w:r w:rsidRPr="00200798">
              <w:rPr>
                <w:rFonts w:ascii="宋体" w:hAnsi="宋体" w:cs="宋体" w:hint="eastAsia"/>
                <w:kern w:val="0"/>
                <w:sz w:val="20"/>
                <w:szCs w:val="20"/>
              </w:rPr>
              <w:t>》</w:t>
            </w:r>
            <w:proofErr w:type="gramEnd"/>
            <w:r w:rsidRPr="00200798">
              <w:rPr>
                <w:rFonts w:ascii="宋体" w:hAnsi="宋体" w:cs="宋体" w:hint="eastAsia"/>
                <w:kern w:val="0"/>
                <w:sz w:val="20"/>
                <w:szCs w:val="20"/>
              </w:rPr>
              <w:t>；</w:t>
            </w:r>
            <w:r w:rsidRPr="00200798">
              <w:rPr>
                <w:rFonts w:ascii="宋体" w:hAnsi="宋体" w:cs="宋体" w:hint="eastAsia"/>
                <w:kern w:val="0"/>
                <w:sz w:val="20"/>
                <w:szCs w:val="20"/>
              </w:rPr>
              <w:br/>
              <w:t>2.《关于升级优化存量房交易服务平台加强存量房交易市场管理的通知》（</w:t>
            </w:r>
            <w:proofErr w:type="gramStart"/>
            <w:r w:rsidRPr="00200798">
              <w:rPr>
                <w:rFonts w:ascii="宋体" w:hAnsi="宋体" w:cs="宋体" w:hint="eastAsia"/>
                <w:kern w:val="0"/>
                <w:sz w:val="20"/>
                <w:szCs w:val="20"/>
              </w:rPr>
              <w:t>柳建产权</w:t>
            </w:r>
            <w:proofErr w:type="gramEnd"/>
            <w:r w:rsidRPr="00200798">
              <w:rPr>
                <w:rFonts w:ascii="宋体" w:hAnsi="宋体" w:cs="宋体" w:hint="eastAsia"/>
                <w:kern w:val="0"/>
                <w:sz w:val="20"/>
                <w:szCs w:val="20"/>
              </w:rPr>
              <w:t>字[2018]11号）</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3</w:t>
            </w:r>
          </w:p>
        </w:tc>
      </w:tr>
      <w:tr w:rsidR="001B01BB" w:rsidRPr="00200798">
        <w:trPr>
          <w:trHeight w:val="145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10</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未经当事人书面同意对存量房买卖合同网上签约的，或允许其他组织或个人以本机构的名义进行存量房买卖合同网上签约的（指</w:t>
            </w:r>
            <w:proofErr w:type="gramStart"/>
            <w:r w:rsidRPr="00200798">
              <w:rPr>
                <w:rFonts w:ascii="宋体" w:hAnsi="宋体" w:cs="宋体" w:hint="eastAsia"/>
                <w:kern w:val="0"/>
                <w:sz w:val="20"/>
                <w:szCs w:val="20"/>
              </w:rPr>
              <w:t>代为网签</w:t>
            </w:r>
            <w:proofErr w:type="gramEnd"/>
            <w:r w:rsidRPr="00200798">
              <w:rPr>
                <w:rFonts w:ascii="宋体" w:hAnsi="宋体" w:cs="宋体" w:hint="eastAsia"/>
                <w:kern w:val="0"/>
                <w:sz w:val="20"/>
                <w:szCs w:val="20"/>
              </w:rPr>
              <w:t>）</w:t>
            </w:r>
          </w:p>
        </w:tc>
        <w:tc>
          <w:tcPr>
            <w:tcW w:w="36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left"/>
              <w:rPr>
                <w:rFonts w:ascii="宋体" w:hAnsi="宋体" w:cs="宋体"/>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3</w:t>
            </w:r>
          </w:p>
        </w:tc>
      </w:tr>
      <w:tr w:rsidR="001B01BB" w:rsidRPr="00200798">
        <w:trPr>
          <w:trHeight w:val="190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11</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存量房交易资金未按照规定进行资金监管的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1.《关于开展网上房产交易服务平台工作的通知》</w:t>
            </w:r>
            <w:proofErr w:type="gramStart"/>
            <w:r w:rsidRPr="00200798">
              <w:rPr>
                <w:rFonts w:ascii="宋体" w:hAnsi="宋体" w:cs="宋体" w:hint="eastAsia"/>
                <w:kern w:val="0"/>
                <w:sz w:val="20"/>
                <w:szCs w:val="20"/>
              </w:rPr>
              <w:t>柳建产权</w:t>
            </w:r>
            <w:proofErr w:type="gramEnd"/>
            <w:r w:rsidRPr="00200798">
              <w:rPr>
                <w:rFonts w:ascii="宋体" w:hAnsi="宋体" w:cs="宋体" w:hint="eastAsia"/>
                <w:kern w:val="0"/>
                <w:sz w:val="20"/>
                <w:szCs w:val="20"/>
              </w:rPr>
              <w:t>字[2012]8号、 依据《住建部等部门关于加强房地产中介管理促进行业健康发展的意见 》  （建房[2016]168号）；</w:t>
            </w:r>
            <w:r w:rsidRPr="00200798">
              <w:rPr>
                <w:rFonts w:ascii="宋体" w:hAnsi="宋体" w:cs="宋体" w:hint="eastAsia"/>
                <w:kern w:val="0"/>
                <w:sz w:val="20"/>
                <w:szCs w:val="20"/>
              </w:rPr>
              <w:br/>
              <w:t>2.《关于升级优化存量房交易服务平台加强存量房交易市场管理的通知》（</w:t>
            </w:r>
            <w:proofErr w:type="gramStart"/>
            <w:r w:rsidRPr="00200798">
              <w:rPr>
                <w:rFonts w:ascii="宋体" w:hAnsi="宋体" w:cs="宋体" w:hint="eastAsia"/>
                <w:kern w:val="0"/>
                <w:sz w:val="20"/>
                <w:szCs w:val="20"/>
              </w:rPr>
              <w:t>柳建产权</w:t>
            </w:r>
            <w:proofErr w:type="gramEnd"/>
            <w:r w:rsidRPr="00200798">
              <w:rPr>
                <w:rFonts w:ascii="宋体" w:hAnsi="宋体" w:cs="宋体" w:hint="eastAsia"/>
                <w:kern w:val="0"/>
                <w:sz w:val="20"/>
                <w:szCs w:val="20"/>
              </w:rPr>
              <w:t>字[2018]11号）</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3</w:t>
            </w:r>
          </w:p>
        </w:tc>
      </w:tr>
      <w:tr w:rsidR="001B01BB" w:rsidRPr="00200798">
        <w:trPr>
          <w:trHeight w:val="91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12</w:t>
            </w:r>
          </w:p>
        </w:tc>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经纪业务管理</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捏造散布涨价信息，或者与房地产开发经营单位串通</w:t>
            </w:r>
            <w:proofErr w:type="gramStart"/>
            <w:r w:rsidRPr="00200798">
              <w:rPr>
                <w:rFonts w:ascii="宋体" w:hAnsi="宋体" w:cs="宋体" w:hint="eastAsia"/>
                <w:kern w:val="0"/>
                <w:sz w:val="20"/>
                <w:szCs w:val="20"/>
              </w:rPr>
              <w:t>捂盘惜售</w:t>
            </w:r>
            <w:proofErr w:type="gramEnd"/>
            <w:r w:rsidRPr="00200798">
              <w:rPr>
                <w:rFonts w:ascii="宋体" w:hAnsi="宋体" w:cs="宋体" w:hint="eastAsia"/>
                <w:kern w:val="0"/>
                <w:sz w:val="20"/>
                <w:szCs w:val="20"/>
              </w:rPr>
              <w:t>、炒卖房号，操纵市场价格</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83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13</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对交易当事人隐瞒真实的房屋交易信息，低价收进高价卖</w:t>
            </w:r>
            <w:r w:rsidRPr="00200798">
              <w:rPr>
                <w:rFonts w:ascii="Times New Roman" w:hAnsi="Times New Roman"/>
                <w:kern w:val="0"/>
                <w:sz w:val="20"/>
                <w:szCs w:val="20"/>
              </w:rPr>
              <w:t>(</w:t>
            </w:r>
            <w:r w:rsidRPr="00200798">
              <w:rPr>
                <w:rFonts w:ascii="仿宋_GB2312" w:eastAsia="仿宋_GB2312" w:hAnsi="宋体" w:cs="仿宋_GB2312"/>
                <w:kern w:val="0"/>
                <w:sz w:val="20"/>
                <w:szCs w:val="20"/>
              </w:rPr>
              <w:t>租</w:t>
            </w:r>
            <w:r w:rsidRPr="00200798">
              <w:rPr>
                <w:rFonts w:ascii="Times New Roman" w:hAnsi="Times New Roman"/>
                <w:kern w:val="0"/>
                <w:sz w:val="20"/>
                <w:szCs w:val="20"/>
              </w:rPr>
              <w:t>)</w:t>
            </w:r>
            <w:r w:rsidRPr="00200798">
              <w:rPr>
                <w:rFonts w:ascii="仿宋_GB2312" w:eastAsia="仿宋_GB2312" w:hAnsi="宋体" w:cs="仿宋_GB2312"/>
                <w:kern w:val="0"/>
                <w:sz w:val="20"/>
                <w:szCs w:val="20"/>
              </w:rPr>
              <w:t>出房屋赚取差价</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793"/>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14</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以隐瞒、欺诈、胁迫、贿赂等不正当手段招揽业务，诱骗消费者交易或者强制交易</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657"/>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15</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泄露或者不当使用委托人的个人信息或者商业秘密，谋取不正当利益</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49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16</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改变房屋内部结构分割出租</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507"/>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17</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侵占、挪用房地产交易资金</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10</w:t>
            </w:r>
          </w:p>
        </w:tc>
      </w:tr>
      <w:tr w:rsidR="001B01BB" w:rsidRPr="00200798">
        <w:trPr>
          <w:trHeight w:val="65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18</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为不符合交易条件的保障性住房和禁止交易的房屋提供经纪服务</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25</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61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lastRenderedPageBreak/>
              <w:t>19</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房地产经纪机构未建立业务记录制度，未如实记录业务情况</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仿宋_GB2312" w:eastAsia="仿宋_GB2312" w:hAnsi="宋体" w:cs="仿宋_GB2312"/>
                <w:kern w:val="0"/>
                <w:sz w:val="20"/>
                <w:szCs w:val="20"/>
              </w:rPr>
              <w:t>26</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52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20</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分支机构以自己名义承揽业务、收取服务报酬。</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Times New Roman" w:hAnsi="Times New Roman"/>
                <w:kern w:val="0"/>
                <w:sz w:val="20"/>
                <w:szCs w:val="20"/>
              </w:rPr>
              <w:t>14</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2</w:t>
            </w:r>
          </w:p>
        </w:tc>
      </w:tr>
      <w:tr w:rsidR="001B01BB" w:rsidRPr="00200798">
        <w:trPr>
          <w:trHeight w:val="85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21</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服务于该机构的房地产经纪人员以个人名义承接房地产经纪业务和收取费用的。</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Times New Roman" w:hAnsi="Times New Roman"/>
                <w:kern w:val="0"/>
                <w:sz w:val="20"/>
                <w:szCs w:val="20"/>
              </w:rPr>
              <w:t>33</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2</w:t>
            </w:r>
          </w:p>
        </w:tc>
      </w:tr>
      <w:tr w:rsidR="001B01BB" w:rsidRPr="00200798">
        <w:trPr>
          <w:trHeight w:val="74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22</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不配合主管部门现场巡查、合同抽查、投诉处理工作，不按要求提供检查所需资料的。</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《房地产经纪管理办法》第</w:t>
            </w:r>
            <w:r w:rsidRPr="00200798">
              <w:rPr>
                <w:rFonts w:ascii="Times New Roman" w:hAnsi="Times New Roman"/>
                <w:kern w:val="0"/>
                <w:sz w:val="20"/>
                <w:szCs w:val="20"/>
              </w:rPr>
              <w:t>28</w:t>
            </w:r>
            <w:r w:rsidRPr="00200798">
              <w:rPr>
                <w:rFonts w:ascii="宋体" w:hAnsi="宋体" w:cs="宋体" w:hint="eastAsia"/>
                <w:kern w:val="0"/>
                <w:sz w:val="20"/>
                <w:szCs w:val="20"/>
              </w:rPr>
              <w:t>条</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55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23</w:t>
            </w:r>
          </w:p>
        </w:tc>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jc w:val="cente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不得代理销售不符合销售条件的商品房</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《商品房销售管理办法》第</w:t>
            </w:r>
            <w:r w:rsidRPr="00200798">
              <w:rPr>
                <w:rFonts w:ascii="Times New Roman" w:hAnsi="Times New Roman"/>
                <w:kern w:val="0"/>
                <w:sz w:val="20"/>
                <w:szCs w:val="20"/>
              </w:rPr>
              <w:t>27</w:t>
            </w:r>
            <w:r w:rsidRPr="00200798">
              <w:rPr>
                <w:rFonts w:ascii="宋体" w:hAnsi="宋体" w:cs="宋体" w:hint="eastAsia"/>
                <w:kern w:val="0"/>
                <w:sz w:val="20"/>
                <w:szCs w:val="20"/>
              </w:rPr>
              <w:t>条、第43条</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10</w:t>
            </w:r>
          </w:p>
        </w:tc>
      </w:tr>
      <w:tr w:rsidR="001B01BB" w:rsidRPr="00200798">
        <w:trPr>
          <w:trHeight w:val="68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24</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其他</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proofErr w:type="gramStart"/>
            <w:r w:rsidRPr="00200798">
              <w:rPr>
                <w:rFonts w:ascii="宋体" w:hAnsi="宋体" w:cs="宋体" w:hint="eastAsia"/>
                <w:kern w:val="0"/>
                <w:sz w:val="20"/>
                <w:szCs w:val="20"/>
              </w:rPr>
              <w:t>受到住</w:t>
            </w:r>
            <w:proofErr w:type="gramEnd"/>
            <w:r w:rsidRPr="00200798">
              <w:rPr>
                <w:rFonts w:ascii="宋体" w:hAnsi="宋体" w:cs="宋体" w:hint="eastAsia"/>
                <w:kern w:val="0"/>
                <w:sz w:val="20"/>
                <w:szCs w:val="20"/>
              </w:rPr>
              <w:t>建部行政处罚或通报批评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20</w:t>
            </w:r>
          </w:p>
        </w:tc>
      </w:tr>
      <w:tr w:rsidR="001B01BB" w:rsidRPr="00200798">
        <w:trPr>
          <w:trHeight w:val="73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25</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受到自治区住建厅行政处罚或通报批评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15</w:t>
            </w:r>
          </w:p>
        </w:tc>
      </w:tr>
      <w:tr w:rsidR="001B01BB" w:rsidRPr="00200798">
        <w:trPr>
          <w:trHeight w:val="133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26</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因金融领域失信问题、生态环境保护失信行为、拖欠农民工工资和工程款问题、法院判决不执行问题和违法建设问题被联合惩戒的，或其他问题被有关行政管理部门列入不良行为记录的</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中央文明委关于印发《关于集中治理诚信缺失突出问题</w:t>
            </w:r>
            <w:r w:rsidRPr="00200798">
              <w:rPr>
                <w:rFonts w:ascii="Times New Roman" w:hAnsi="Times New Roman"/>
                <w:kern w:val="0"/>
                <w:sz w:val="20"/>
                <w:szCs w:val="20"/>
              </w:rPr>
              <w:t xml:space="preserve"> </w:t>
            </w:r>
            <w:r w:rsidRPr="00200798">
              <w:rPr>
                <w:rFonts w:ascii="宋体" w:hAnsi="宋体" w:cs="宋体" w:hint="eastAsia"/>
                <w:kern w:val="0"/>
                <w:sz w:val="20"/>
                <w:szCs w:val="20"/>
              </w:rPr>
              <w:t>提升全社会诚信水平的工作方案》的通知</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仿宋_GB2312" w:eastAsia="仿宋_GB2312" w:hAnsi="宋体" w:cs="仿宋_GB2312"/>
                <w:sz w:val="20"/>
                <w:szCs w:val="20"/>
              </w:rPr>
            </w:pPr>
            <w:r w:rsidRPr="00200798">
              <w:rPr>
                <w:rFonts w:ascii="仿宋_GB2312" w:eastAsia="仿宋_GB2312" w:hAnsi="宋体" w:cs="仿宋_GB2312" w:hint="eastAsia"/>
                <w:kern w:val="0"/>
                <w:sz w:val="20"/>
                <w:szCs w:val="20"/>
              </w:rPr>
              <w:t>10</w:t>
            </w:r>
          </w:p>
        </w:tc>
      </w:tr>
      <w:tr w:rsidR="001B01BB" w:rsidRPr="00200798">
        <w:trPr>
          <w:trHeight w:val="646"/>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27</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受到市城管执法部门行政处罚或市住</w:t>
            </w:r>
            <w:proofErr w:type="gramStart"/>
            <w:r w:rsidRPr="00200798">
              <w:rPr>
                <w:rFonts w:ascii="宋体" w:hAnsi="宋体" w:cs="宋体" w:hint="eastAsia"/>
                <w:kern w:val="0"/>
                <w:sz w:val="20"/>
                <w:szCs w:val="20"/>
              </w:rPr>
              <w:t>建部门</w:t>
            </w:r>
            <w:proofErr w:type="gramEnd"/>
            <w:r w:rsidRPr="00200798">
              <w:rPr>
                <w:rFonts w:ascii="宋体" w:hAnsi="宋体" w:cs="宋体" w:hint="eastAsia"/>
                <w:kern w:val="0"/>
                <w:sz w:val="20"/>
                <w:szCs w:val="20"/>
              </w:rPr>
              <w:t>通报批评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10</w:t>
            </w:r>
          </w:p>
        </w:tc>
      </w:tr>
      <w:tr w:rsidR="001B01BB" w:rsidRPr="00200798">
        <w:trPr>
          <w:trHeight w:val="627"/>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28</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受到县市区建设领域行政处罚或通报批评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10</w:t>
            </w:r>
          </w:p>
        </w:tc>
      </w:tr>
      <w:tr w:rsidR="001B01BB" w:rsidRPr="00200798">
        <w:trPr>
          <w:trHeight w:val="54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29</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被其它行政管理部门列入不良行为记录的经纪机构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5</w:t>
            </w:r>
          </w:p>
        </w:tc>
      </w:tr>
      <w:tr w:rsidR="001B01BB" w:rsidRPr="00200798">
        <w:trPr>
          <w:trHeight w:val="507"/>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30</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textAlignment w:val="center"/>
              <w:rPr>
                <w:rFonts w:ascii="宋体" w:hAnsi="宋体" w:cs="宋体"/>
                <w:sz w:val="20"/>
                <w:szCs w:val="20"/>
              </w:rPr>
            </w:pPr>
            <w:r w:rsidRPr="00200798">
              <w:rPr>
                <w:rFonts w:ascii="宋体" w:hAnsi="宋体" w:cs="宋体" w:hint="eastAsia"/>
                <w:kern w:val="0"/>
                <w:sz w:val="20"/>
                <w:szCs w:val="20"/>
              </w:rPr>
              <w:t>发生投诉后，未按行政主管部门要求配合调查取证的</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2</w:t>
            </w:r>
          </w:p>
        </w:tc>
      </w:tr>
      <w:tr w:rsidR="001B01BB" w:rsidRPr="00200798">
        <w:trPr>
          <w:trHeight w:val="127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31</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在检查当中发现所属从业人员服务时未配戴工作牌或工作牌内容不符合相关规定要求的，每发现一次扣1分</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1.《住房城乡建设部等部门关于加强房地产中介管理促进行业健康发展的意见》（建房[2016]168号）；《柳州市房地产经纪机构门店公示信息标准》（柳房中协[2018]字第012号）</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1</w:t>
            </w:r>
          </w:p>
        </w:tc>
      </w:tr>
      <w:tr w:rsidR="001B01BB" w:rsidRPr="00200798">
        <w:trPr>
          <w:trHeight w:val="67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32</w:t>
            </w:r>
          </w:p>
        </w:tc>
        <w:tc>
          <w:tcPr>
            <w:tcW w:w="399"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不配合纪检监察机关调查取证的</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left"/>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2</w:t>
            </w:r>
          </w:p>
        </w:tc>
      </w:tr>
      <w:tr w:rsidR="001B01BB" w:rsidRPr="00200798">
        <w:trPr>
          <w:trHeight w:val="667"/>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485E1C">
            <w:pPr>
              <w:widowControl/>
              <w:jc w:val="center"/>
              <w:textAlignment w:val="center"/>
              <w:rPr>
                <w:rFonts w:ascii="宋体" w:hAnsi="宋体" w:cs="宋体"/>
                <w:sz w:val="20"/>
                <w:szCs w:val="20"/>
              </w:rPr>
            </w:pPr>
            <w:r w:rsidRPr="00200798">
              <w:rPr>
                <w:rFonts w:ascii="宋体" w:hAnsi="宋体" w:cs="宋体" w:hint="eastAsia"/>
                <w:kern w:val="0"/>
                <w:sz w:val="20"/>
                <w:szCs w:val="20"/>
              </w:rPr>
              <w:t>33</w:t>
            </w:r>
          </w:p>
        </w:tc>
        <w:tc>
          <w:tcPr>
            <w:tcW w:w="3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1BB" w:rsidRPr="00200798" w:rsidRDefault="001B01BB">
            <w:pPr>
              <w:rPr>
                <w:rFonts w:ascii="宋体" w:hAnsi="宋体" w:cs="宋体"/>
                <w:sz w:val="20"/>
                <w:szCs w:val="20"/>
              </w:rPr>
            </w:pPr>
          </w:p>
        </w:tc>
        <w:tc>
          <w:tcPr>
            <w:tcW w:w="39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left"/>
              <w:textAlignment w:val="center"/>
              <w:rPr>
                <w:rFonts w:ascii="宋体" w:hAnsi="宋体" w:cs="宋体"/>
                <w:sz w:val="20"/>
                <w:szCs w:val="20"/>
              </w:rPr>
            </w:pPr>
            <w:r w:rsidRPr="00200798">
              <w:rPr>
                <w:rFonts w:ascii="宋体" w:hAnsi="宋体" w:cs="宋体" w:hint="eastAsia"/>
                <w:kern w:val="0"/>
                <w:sz w:val="20"/>
                <w:szCs w:val="20"/>
              </w:rPr>
              <w:t>拒不履行生效判决、裁决、裁定和主管部门做出的行政决定的或限期整改决定的。</w:t>
            </w:r>
          </w:p>
        </w:tc>
        <w:tc>
          <w:tcPr>
            <w:tcW w:w="369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1B01BB">
            <w:pPr>
              <w:jc w:val="left"/>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01BB" w:rsidRPr="00200798" w:rsidRDefault="00485E1C">
            <w:pPr>
              <w:widowControl/>
              <w:jc w:val="center"/>
              <w:textAlignment w:val="center"/>
              <w:rPr>
                <w:rFonts w:ascii="Times New Roman" w:hAnsi="Times New Roman"/>
                <w:sz w:val="20"/>
                <w:szCs w:val="20"/>
              </w:rPr>
            </w:pPr>
            <w:r w:rsidRPr="00200798">
              <w:rPr>
                <w:rFonts w:ascii="Times New Roman" w:hAnsi="Times New Roman"/>
                <w:kern w:val="0"/>
                <w:sz w:val="20"/>
                <w:szCs w:val="20"/>
              </w:rPr>
              <w:t>2</w:t>
            </w:r>
          </w:p>
        </w:tc>
      </w:tr>
    </w:tbl>
    <w:p w:rsidR="001B01BB" w:rsidRPr="00200798" w:rsidRDefault="001B01BB">
      <w:pPr>
        <w:spacing w:line="600" w:lineRule="exact"/>
        <w:jc w:val="left"/>
        <w:rPr>
          <w:rFonts w:ascii="Times New Roman" w:eastAsia="仿宋" w:hAnsi="Times New Roman"/>
          <w:sz w:val="32"/>
          <w:szCs w:val="32"/>
        </w:rPr>
      </w:pPr>
    </w:p>
    <w:p w:rsidR="001B01BB" w:rsidRPr="00200798" w:rsidRDefault="001B01BB">
      <w:bookmarkStart w:id="0" w:name="_GoBack"/>
      <w:bookmarkEnd w:id="0"/>
    </w:p>
    <w:sectPr w:rsidR="001B01BB" w:rsidRPr="00200798" w:rsidSect="001B01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EC" w:rsidRDefault="003373EC" w:rsidP="00200798">
      <w:r>
        <w:separator/>
      </w:r>
    </w:p>
  </w:endnote>
  <w:endnote w:type="continuationSeparator" w:id="0">
    <w:p w:rsidR="003373EC" w:rsidRDefault="003373EC" w:rsidP="00200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EC" w:rsidRDefault="003373EC" w:rsidP="00200798">
      <w:r>
        <w:separator/>
      </w:r>
    </w:p>
  </w:footnote>
  <w:footnote w:type="continuationSeparator" w:id="0">
    <w:p w:rsidR="003373EC" w:rsidRDefault="003373EC" w:rsidP="00200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D8D"/>
    <w:rsid w:val="00050E5D"/>
    <w:rsid w:val="001B01BB"/>
    <w:rsid w:val="00200798"/>
    <w:rsid w:val="002E3B10"/>
    <w:rsid w:val="003373EC"/>
    <w:rsid w:val="0035208F"/>
    <w:rsid w:val="004302B0"/>
    <w:rsid w:val="00485E1C"/>
    <w:rsid w:val="004F2971"/>
    <w:rsid w:val="006238A5"/>
    <w:rsid w:val="006C23A1"/>
    <w:rsid w:val="007A3E26"/>
    <w:rsid w:val="00800B61"/>
    <w:rsid w:val="008174A7"/>
    <w:rsid w:val="0089632F"/>
    <w:rsid w:val="00A01535"/>
    <w:rsid w:val="00A21D8D"/>
    <w:rsid w:val="00A5596C"/>
    <w:rsid w:val="00A84BCC"/>
    <w:rsid w:val="00B423A8"/>
    <w:rsid w:val="00B60AB3"/>
    <w:rsid w:val="00B65916"/>
    <w:rsid w:val="00BC322E"/>
    <w:rsid w:val="00BE7845"/>
    <w:rsid w:val="00C152ED"/>
    <w:rsid w:val="00C27727"/>
    <w:rsid w:val="00D74473"/>
    <w:rsid w:val="00D75B8A"/>
    <w:rsid w:val="00D954C3"/>
    <w:rsid w:val="00E16F5B"/>
    <w:rsid w:val="00ED7829"/>
    <w:rsid w:val="00FB3A9D"/>
    <w:rsid w:val="00FC6DF2"/>
    <w:rsid w:val="62906413"/>
    <w:rsid w:val="74D77242"/>
    <w:rsid w:val="76EF0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B01BB"/>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1B01BB"/>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5">
    <w:name w:val="Hyperlink"/>
    <w:basedOn w:val="a0"/>
    <w:uiPriority w:val="99"/>
    <w:semiHidden/>
    <w:unhideWhenUsed/>
    <w:qFormat/>
    <w:rsid w:val="001B01BB"/>
    <w:rPr>
      <w:color w:val="0000FF"/>
      <w:u w:val="single"/>
    </w:rPr>
  </w:style>
  <w:style w:type="character" w:customStyle="1" w:styleId="Char0">
    <w:name w:val="页眉 Char"/>
    <w:basedOn w:val="a0"/>
    <w:link w:val="a4"/>
    <w:uiPriority w:val="99"/>
    <w:semiHidden/>
    <w:qFormat/>
    <w:rsid w:val="001B01BB"/>
    <w:rPr>
      <w:kern w:val="2"/>
      <w:sz w:val="18"/>
      <w:szCs w:val="18"/>
    </w:rPr>
  </w:style>
  <w:style w:type="character" w:customStyle="1" w:styleId="Char">
    <w:name w:val="页脚 Char"/>
    <w:basedOn w:val="a0"/>
    <w:link w:val="a3"/>
    <w:uiPriority w:val="99"/>
    <w:semiHidden/>
    <w:qFormat/>
    <w:rsid w:val="001B01BB"/>
    <w:rPr>
      <w:kern w:val="2"/>
      <w:sz w:val="18"/>
      <w:szCs w:val="18"/>
    </w:rPr>
  </w:style>
  <w:style w:type="character" w:customStyle="1" w:styleId="font41">
    <w:name w:val="font41"/>
    <w:basedOn w:val="a0"/>
    <w:qFormat/>
    <w:rsid w:val="001B01BB"/>
    <w:rPr>
      <w:rFonts w:ascii="宋体" w:eastAsia="宋体" w:hAnsi="宋体" w:cs="宋体" w:hint="eastAsia"/>
      <w:color w:val="000000"/>
      <w:sz w:val="20"/>
      <w:szCs w:val="20"/>
      <w:u w:val="none"/>
    </w:rPr>
  </w:style>
  <w:style w:type="character" w:customStyle="1" w:styleId="font21">
    <w:name w:val="font21"/>
    <w:basedOn w:val="a0"/>
    <w:qFormat/>
    <w:rsid w:val="001B01BB"/>
    <w:rPr>
      <w:rFonts w:ascii="宋体" w:eastAsia="宋体" w:hAnsi="宋体" w:cs="宋体" w:hint="eastAsia"/>
      <w:color w:val="FF0000"/>
      <w:sz w:val="20"/>
      <w:szCs w:val="20"/>
      <w:u w:val="none"/>
    </w:rPr>
  </w:style>
  <w:style w:type="character" w:customStyle="1" w:styleId="font11">
    <w:name w:val="font11"/>
    <w:basedOn w:val="a0"/>
    <w:qFormat/>
    <w:rsid w:val="001B01BB"/>
    <w:rPr>
      <w:rFonts w:ascii="仿宋_GB2312" w:eastAsia="仿宋_GB2312" w:cs="仿宋_GB2312"/>
      <w:color w:val="000000"/>
      <w:sz w:val="20"/>
      <w:szCs w:val="20"/>
      <w:u w:val="none"/>
    </w:rPr>
  </w:style>
  <w:style w:type="character" w:customStyle="1" w:styleId="font101">
    <w:name w:val="font101"/>
    <w:basedOn w:val="a0"/>
    <w:qFormat/>
    <w:rsid w:val="001B01BB"/>
    <w:rPr>
      <w:rFonts w:ascii="Times New Roman" w:hAnsi="Times New Roman" w:cs="Times New Roman" w:hint="default"/>
      <w:color w:val="000000"/>
      <w:sz w:val="20"/>
      <w:szCs w:val="20"/>
      <w:u w:val="none"/>
    </w:rPr>
  </w:style>
  <w:style w:type="character" w:customStyle="1" w:styleId="font31">
    <w:name w:val="font31"/>
    <w:basedOn w:val="a0"/>
    <w:qFormat/>
    <w:rsid w:val="001B01BB"/>
    <w:rPr>
      <w:rFonts w:ascii="宋体" w:eastAsia="宋体" w:hAnsi="宋体" w:cs="宋体" w:hint="eastAsia"/>
      <w:color w:val="FF0000"/>
      <w:sz w:val="20"/>
      <w:szCs w:val="20"/>
      <w:u w:val="none"/>
    </w:rPr>
  </w:style>
  <w:style w:type="character" w:customStyle="1" w:styleId="font51">
    <w:name w:val="font51"/>
    <w:basedOn w:val="a0"/>
    <w:rsid w:val="001B01B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4643788-485679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2019-01-04T01:03:00Z</dcterms:created>
  <dcterms:modified xsi:type="dcterms:W3CDTF">2019-07-24T03:59:00Z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