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0449">
      <w:pPr>
        <w:widowControl/>
        <w:shd w:val="clear" w:color="auto" w:fill="FFFFFF"/>
        <w:adjustRightInd w:val="0"/>
        <w:snapToGrid w:val="0"/>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柳州市房屋建筑和市政工程建设项目招标</w:t>
      </w:r>
    </w:p>
    <w:p w14:paraId="129B6E2A">
      <w:pPr>
        <w:widowControl/>
        <w:shd w:val="clear" w:color="auto" w:fill="FFFFFF"/>
        <w:adjustRightInd w:val="0"/>
        <w:snapToGrid w:val="0"/>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代理机构信用综合评价管理办法</w:t>
      </w:r>
    </w:p>
    <w:p w14:paraId="3A7B4CB0">
      <w:pPr>
        <w:spacing w:line="360" w:lineRule="auto"/>
        <w:rPr>
          <w:rFonts w:ascii="宋体" w:eastAsia="宋体" w:cs="宋体"/>
          <w:sz w:val="32"/>
          <w:szCs w:val="32"/>
        </w:rPr>
      </w:pPr>
    </w:p>
    <w:p w14:paraId="15B95D1C">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第一章  总  则</w:t>
      </w:r>
    </w:p>
    <w:p w14:paraId="6CCFFFF4">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第一条 为落实《国务院办公厅关于加快推进社会信用体系建设构建以信用为基础的新型监管机制的指导意见》（国办发〔2019〕35号），进一步规范柳州市房屋建筑和市政基础设施工程建设项目招标代理机构行为，维护招标投标市场秩序，引导招标代理机构健康发展，依据《中华人民共和国招标投标法》、《中华人民共和国招标投标法设施条例》等法律法规，结合我市实际，制定本办法。</w:t>
      </w:r>
    </w:p>
    <w:p w14:paraId="1082BEFF">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第二条 本办法所称招标代理机构诚信综合评价，是指由市住房城乡建设局牵头，市政管办、县（区）住房城乡建设主管部门（招投标监管部门）、市公共资源交易中心（含鹿寨交易中心）、招投标协会及各招标单位配合，依据法律、法规、规章、规范性文件等，对在柳州市承接房屋建筑和市政基础设施工程类施工、服务及与以上工程建设有关的重要设备、材料采购代理业务的招标代理机构的基本情况、业绩情况、履职行为进行量化评价后，给予招标代理机构诚信行为综合评分。各县（含柳江区）住房城乡建设主管部门对在辖区内承接业务的代理机构参照本办法进行评价，评价结果报市住房城乡建设局。</w:t>
      </w:r>
    </w:p>
    <w:p w14:paraId="274D2AAD">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第三条 本办法所称招标代理机构，是指在柳州市行政区域内从事房屋建筑和市政基础设施工程类施工、服务及与以上工程建设有关的重要设备、材料采购活动的招标代理机构。</w:t>
      </w:r>
    </w:p>
    <w:p w14:paraId="09E101A0">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第四条 招标代理机构诚信综合评价作为柳州市、县（区）住房城乡建设主管部门对招标代理机构进行动态核查、差别化管理的依据，以及作为招标人选择代理机构的重要参考。</w:t>
      </w:r>
    </w:p>
    <w:p w14:paraId="5101F3BD">
      <w:pPr>
        <w:snapToGrid w:val="0"/>
        <w:spacing w:line="560" w:lineRule="exact"/>
        <w:jc w:val="left"/>
        <w:rPr>
          <w:rFonts w:ascii="Times New Roman" w:hAnsi="Times New Roman" w:eastAsia="仿宋_GB2312" w:cs="Times New Roman"/>
          <w:color w:val="000000" w:themeColor="text1"/>
          <w:sz w:val="32"/>
          <w:szCs w:val="32"/>
        </w:rPr>
      </w:pPr>
    </w:p>
    <w:p w14:paraId="60AAB649">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第二章  评价内容</w:t>
      </w:r>
    </w:p>
    <w:p w14:paraId="17354725">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第五条 招标代理机构信用评价包括基本情况、业绩情况和履职行为共三部分评价内容。</w:t>
      </w:r>
    </w:p>
    <w:p w14:paraId="4E582933">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（一）基本情况：包括代理机构专职人员情况、企业纳税情况、内部管理情况，总分12 分。基本情况评价内容和计分办法详见附件1。</w:t>
      </w:r>
    </w:p>
    <w:p w14:paraId="62DB6FEE">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（二）业绩情况：包括代理机构在柳州市（含县区）年度累计代理招标项目宗数、大型房屋建筑和市政基础设施工程施工项目代理招标宗数、总承包或全过程工程咨询项目代理招标宗数评级得分，总分 8 分。招标代理机构业绩以在柳州市各级公共资源交易中心场内进行的公开招标项目为准。 </w:t>
      </w:r>
    </w:p>
    <w:p w14:paraId="00A66CFF">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业绩情况评价具体内容和计分办法详见附件1。 </w:t>
      </w:r>
    </w:p>
    <w:p w14:paraId="3E5ABCE8">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（三）履职行为：包括代理机构历史良好行为评价、通报表彰、业务质量考评、参加主管部门招标相关活动评价、所有代理项目被招标单位评定为优秀的比率和不良行为评价，总分 80 分，其中初始分 60 分。根据机构行为记录进行量化计分，对历史良好行为评价、通报表彰、业务质量考评、参加主管部门招标相关活动评价、所有代理项目被招标单位评定为优秀的比率予以加分；对不良行为评价予以扣分，不良行为评价扣分不设上限，扣完为止。其中，不良行为的认定依据包括录音、录像、笔录、整改通知书、通报或者相关文件等。 </w:t>
      </w:r>
    </w:p>
    <w:p w14:paraId="429045AA">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履职行为得分=初始分+历史良好行为评价得分+通报表彰得分+业务质量考评得分+参加主管部门招标相关活动得分+所有代理项目被招标单位评定为优秀的比率得分-不良行为评价得分。</w:t>
      </w:r>
    </w:p>
    <w:p w14:paraId="3C94DB6B">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履职行为评价具体内容和计分办法详见附件2。</w:t>
      </w:r>
    </w:p>
    <w:p w14:paraId="2B2721C5">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招标代理机构诚信综合评价得分=基本情况得分+业绩情况得分+履职行为得分。</w:t>
      </w:r>
    </w:p>
    <w:p w14:paraId="05E54763">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第六条 代理机构属于以下情形的，以上一考核年度公布的柳州市行政区域内招标代理机构诚信评价的平均分作为首次诚信评价评分：</w:t>
      </w:r>
    </w:p>
    <w:p w14:paraId="5C440675">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⒈首次进入柳州市行政区域承揽业务的市外招标代理机构；</w:t>
      </w:r>
    </w:p>
    <w:p w14:paraId="48B76DCD">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⒉在柳州市行政区域内无房屋建筑和市政基础设施工程建设项目招标经历的市外招标代理机构； </w:t>
      </w:r>
    </w:p>
    <w:p w14:paraId="01731333">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⒊新成立的市内房屋建筑和市政基础设施工程建设项目招标代理机构；</w:t>
      </w:r>
    </w:p>
    <w:p w14:paraId="427ADF6C">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⒋无房屋建筑和市政基础设施工程建设项目招标经历的市内招标代理机构。</w:t>
      </w:r>
    </w:p>
    <w:p w14:paraId="50A9658F">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第三章  评价信息录入、采集和结果公布 </w:t>
      </w:r>
    </w:p>
    <w:p w14:paraId="35538D96">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第七条 市内招标代理机构诚信评价信息的录入、采集和异议申请：</w:t>
      </w:r>
    </w:p>
    <w:p w14:paraId="519DB376">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（一）基本情况从“广西建筑市场监管与诚信信息一体化平台”（以下简称“诚信一体化平台”）采集，由企业在诚信一体化平台据实录入，由市住房城乡建设主管部门负责审核。 招标代理机构对相关信息有异议的，可通过诚信一体化平台向市住房城乡建设主管部门提出复核申请。</w:t>
      </w:r>
    </w:p>
    <w:p w14:paraId="0A3DDD18">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（二）业绩情况从公共资源交易平台系统（含市本级和鹿寨县）自动采集后进行自动计算。招标代理机构对有关信息有异议的，可向市住房城乡建设主管部门（行业监管部门）提出复核申请。 </w:t>
      </w:r>
    </w:p>
    <w:p w14:paraId="4575E85F">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（三）历史良好行为评价从诚信一体化平台采集，由系统自动统计。招标代理机构对相关信息有异议的，可通过诚信一体化平台向市住房城乡建设主管部门提出复核申请。 </w:t>
      </w:r>
    </w:p>
    <w:p w14:paraId="2BDEB53E">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四）通报表彰从诚信一体化平台采集，由企业在诚信一体化平台据实录入，由市住房城乡建设主管部门负责审核。招标代理机构对相关信息有异议的，可通过诚信一体化平台向市住房城乡建设主管部门提出复核申请。 </w:t>
      </w:r>
    </w:p>
    <w:p w14:paraId="6CF9F4CA">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五）不良行为评价从诚信一体化平台采集，由市、县住房城乡建设主管部门（行业监管部门）、市政管办、公共资源交易中心（含市本级和鹿寨县）根据不良行为的具体情况进行录入。公共资源交易中心录入的不良行为，由负责监督该项目的住房城乡建设主管部门负责审核。招标代理机构对相关信息有异议的，可通过诚信一体化平台向负责监督该项目的住房城乡建设主管部门（行业监管部门）提出复核申请。 </w:t>
      </w:r>
    </w:p>
    <w:p w14:paraId="2EAE220E">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第八条 市外招标代理机构诚信评价信息的录入、采集和异议申请： </w:t>
      </w:r>
    </w:p>
    <w:p w14:paraId="2B337B65">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一）基本情况从诚信一体化平台采集，由企业在诚信一体化平台据实录入，以自治区住房城乡建设厅审核意见为准。招标代理机构对相关信息有异议的，可通过诚信一体化平台向自治区住房城乡建设厅提出复核申请。 </w:t>
      </w:r>
    </w:p>
    <w:p w14:paraId="5882CA9F">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（二）业绩情况从柳州市和鹿寨县公共资源交易平台系统自动采集后进行自动计算。招标代理机构对相关信息有异议的，可向市住房城乡建设主管部门（行业监管部门）提出复核申请。  </w:t>
      </w:r>
    </w:p>
    <w:p w14:paraId="1F9399E8">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（三）历史良好行为评价从诚信一体化平台采集，由系统自动统计。招标代理机构对相关信息有异议的，可通过诚信一体化平台向市住房城乡建设主管部门提出复核申请。 </w:t>
      </w:r>
    </w:p>
    <w:p w14:paraId="5A9358FA">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四）通报表彰从诚信一体化平台采集，由企业在诚信一体化平台据实录入，由市住房城乡建设主管部门负责审核。招标代理机构对相关信息有异议的，可通过诚信一体化平台向市住房城乡建设主管部门提出复核申请。 </w:t>
      </w:r>
    </w:p>
    <w:p w14:paraId="565E5136">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五）不良行为评价从诚信一体化平台采集，由市、县住房城乡建设主管部门（行业监管部门）、市政管办、公共资源交易中心（含市本级和鹿寨县）根据不良行为的具体情况进行录入。由公共资源交易中心录入的不良行为，由负责监督该项目的住房城乡建设主管部门负责审核。招标代理机构对相关信息有异议的，可通过诚信一体化平台向负责监督该项目的住房城乡建设主管部门（行业监管部门）提出复核申请。 </w:t>
      </w:r>
    </w:p>
    <w:p w14:paraId="6C0F488B">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第九条 各级住房城乡建设主管部门或招投标监管部门在收到招标代理机构对异议信息的复核申请后 10 个工作日内组织核实，对确认的错误信息进行修正，并重新公布诚信综合评价结果。</w:t>
      </w:r>
    </w:p>
    <w:p w14:paraId="64C0D2A8">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第十条 招标代理机构的诚信综合评价信息和结果在柳州市住房和城乡建设局网站、柳州市公共资源交易中心网站公布。诚信综合评价信息在系统得分更新之前公示 5 个工作日。诚信综合评价结果中的基本情况和业绩情况得分以一年为周期进行更新，更新工作于每年 7 月 1 日前完成；诚信评价结果中履职行为得分以一个季度为周期进行更新，更新工作于下一季度的首月 15 日前完成。 </w:t>
      </w:r>
    </w:p>
    <w:p w14:paraId="485D9668">
      <w:pPr>
        <w:snapToGrid w:val="0"/>
        <w:spacing w:beforeLines="100" w:line="500" w:lineRule="exact"/>
        <w:rPr>
          <w:rFonts w:ascii="Times New Roman" w:hAnsi="Times New Roman" w:eastAsia="仿宋_GB2312" w:cs="Times New Roman"/>
          <w:b/>
          <w:sz w:val="32"/>
          <w:szCs w:val="32"/>
        </w:rPr>
      </w:pPr>
    </w:p>
    <w:p w14:paraId="4C43048E">
      <w:pPr>
        <w:snapToGrid w:val="0"/>
        <w:spacing w:beforeLines="100" w:line="500" w:lineRule="exact"/>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第四章 附 则 </w:t>
      </w:r>
    </w:p>
    <w:p w14:paraId="71065CCE">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第十一条 本办法自 2021 年3月1日起实施。 </w:t>
      </w:r>
    </w:p>
    <w:p w14:paraId="2FA889E7">
      <w:pPr>
        <w:snapToGrid w:val="0"/>
        <w:spacing w:line="560" w:lineRule="exact"/>
        <w:ind w:firstLine="640" w:firstLineChars="200"/>
        <w:jc w:val="left"/>
        <w:rPr>
          <w:rFonts w:ascii="Times New Roman" w:hAnsi="Times New Roman" w:eastAsia="仿宋_GB2312" w:cs="Times New Roman"/>
          <w:color w:val="000000" w:themeColor="text1"/>
          <w:sz w:val="32"/>
          <w:szCs w:val="32"/>
        </w:rPr>
      </w:pPr>
    </w:p>
    <w:p w14:paraId="564F6BFE">
      <w:pPr>
        <w:snapToGrid w:val="0"/>
        <w:spacing w:line="560" w:lineRule="exact"/>
        <w:ind w:firstLine="640" w:firstLineChars="2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附件：1.招标代理机构诚信综合评价表 </w:t>
      </w:r>
    </w:p>
    <w:p w14:paraId="34F3A7B2">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 xml:space="preserve">2.招标代理机构不良行为扣分表 </w:t>
      </w:r>
    </w:p>
    <w:p w14:paraId="12DEBCB2">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3.业务质量考评专项检查表</w:t>
      </w:r>
    </w:p>
    <w:p w14:paraId="45639C62">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4.招标单位对代理机构“一标一评”评价表</w:t>
      </w:r>
    </w:p>
    <w:p w14:paraId="72778022">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5.****年度柳州市信用评价招标代理机构名单</w:t>
      </w:r>
    </w:p>
    <w:p w14:paraId="60CF1EEC">
      <w:pPr>
        <w:snapToGrid w:val="0"/>
        <w:spacing w:line="560" w:lineRule="exact"/>
        <w:ind w:firstLine="1600" w:firstLineChars="500"/>
        <w:jc w:val="lef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6.相关计分标准说明</w:t>
      </w:r>
    </w:p>
    <w:p w14:paraId="51CBB33F">
      <w:pPr>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29EB5EA9">
      <w:pPr>
        <w:jc w:val="center"/>
        <w:rPr>
          <w:rFonts w:ascii="黑体" w:eastAsia="黑体"/>
          <w:color w:val="000000"/>
          <w:sz w:val="32"/>
          <w:szCs w:val="32"/>
        </w:rPr>
      </w:pPr>
      <w:r>
        <w:rPr>
          <w:rFonts w:hint="eastAsia" w:ascii="黑体" w:eastAsia="黑体"/>
          <w:color w:val="000000"/>
          <w:sz w:val="32"/>
          <w:szCs w:val="32"/>
        </w:rPr>
        <w:t>柳州市</w:t>
      </w:r>
      <w:r>
        <w:rPr>
          <w:rFonts w:ascii="黑体" w:eastAsia="黑体"/>
          <w:color w:val="000000"/>
          <w:sz w:val="32"/>
          <w:szCs w:val="32"/>
        </w:rPr>
        <w:t>招标代理机构诚信综合评价表</w:t>
      </w:r>
    </w:p>
    <w:tbl>
      <w:tblPr>
        <w:tblStyle w:val="6"/>
        <w:tblW w:w="8571" w:type="dxa"/>
        <w:jc w:val="center"/>
        <w:tblCellSpacing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Layout w:type="fixed"/>
        <w:tblCellMar>
          <w:top w:w="105" w:type="dxa"/>
          <w:left w:w="105" w:type="dxa"/>
          <w:bottom w:w="105" w:type="dxa"/>
          <w:right w:w="105" w:type="dxa"/>
        </w:tblCellMar>
      </w:tblPr>
      <w:tblGrid>
        <w:gridCol w:w="562"/>
        <w:gridCol w:w="644"/>
        <w:gridCol w:w="562"/>
        <w:gridCol w:w="855"/>
        <w:gridCol w:w="2382"/>
        <w:gridCol w:w="2643"/>
        <w:gridCol w:w="923"/>
      </w:tblGrid>
      <w:tr w14:paraId="223E718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11" w:hRule="atLeast"/>
          <w:tblHeader/>
          <w:tblCellSpacing w:w="0" w:type="dxa"/>
          <w:jc w:val="center"/>
        </w:trPr>
        <w:tc>
          <w:tcPr>
            <w:tcW w:w="562" w:type="dxa"/>
            <w:tcBorders>
              <w:top w:val="single" w:color="auto" w:sz="4" w:space="0"/>
              <w:left w:val="single" w:color="CCCCCC" w:sz="6" w:space="0"/>
              <w:bottom w:val="single" w:color="auto" w:sz="4" w:space="0"/>
              <w:right w:val="single" w:color="auto" w:sz="4" w:space="0"/>
            </w:tcBorders>
            <w:tcMar>
              <w:top w:w="75" w:type="dxa"/>
              <w:left w:w="120" w:type="dxa"/>
              <w:bottom w:w="75" w:type="dxa"/>
              <w:right w:w="120" w:type="dxa"/>
            </w:tcMar>
            <w:vAlign w:val="center"/>
          </w:tcPr>
          <w:p w14:paraId="072259BC">
            <w:pPr>
              <w:pStyle w:val="5"/>
              <w:widowControl/>
              <w:wordWrap w:val="0"/>
              <w:spacing w:beforeAutospacing="1" w:afterAutospacing="1"/>
              <w:jc w:val="center"/>
              <w:rPr>
                <w:b/>
                <w:bCs/>
                <w:szCs w:val="24"/>
              </w:rPr>
            </w:pPr>
            <w:r>
              <w:rPr>
                <w:rFonts w:ascii="cursive" w:hAnsi="cursive" w:eastAsia="cursive" w:cs="cursive"/>
                <w:b/>
                <w:bCs/>
                <w:szCs w:val="24"/>
              </w:rPr>
              <w:t>序号</w:t>
            </w:r>
          </w:p>
        </w:tc>
        <w:tc>
          <w:tcPr>
            <w:tcW w:w="644"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E586D8C">
            <w:pPr>
              <w:pStyle w:val="5"/>
              <w:widowControl/>
              <w:wordWrap w:val="0"/>
              <w:spacing w:beforeAutospacing="1" w:afterAutospacing="1"/>
              <w:jc w:val="center"/>
              <w:rPr>
                <w:b/>
                <w:bCs/>
                <w:szCs w:val="24"/>
              </w:rPr>
            </w:pPr>
            <w:r>
              <w:rPr>
                <w:rFonts w:ascii="cursive" w:hAnsi="cursive" w:eastAsia="cursive" w:cs="cursive"/>
                <w:b/>
                <w:bCs/>
                <w:szCs w:val="24"/>
              </w:rPr>
              <w:t>项目</w:t>
            </w:r>
          </w:p>
        </w:tc>
        <w:tc>
          <w:tcPr>
            <w:tcW w:w="56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D22D237">
            <w:pPr>
              <w:pStyle w:val="5"/>
              <w:widowControl/>
              <w:wordWrap w:val="0"/>
              <w:spacing w:beforeAutospacing="1" w:afterAutospacing="1"/>
              <w:jc w:val="center"/>
              <w:rPr>
                <w:b/>
                <w:bCs/>
                <w:szCs w:val="24"/>
              </w:rPr>
            </w:pPr>
            <w:r>
              <w:rPr>
                <w:rFonts w:ascii="cursive" w:hAnsi="cursive" w:eastAsia="cursive" w:cs="cursive"/>
                <w:b/>
                <w:bCs/>
                <w:szCs w:val="24"/>
              </w:rPr>
              <w:t>分值</w:t>
            </w: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0E78209">
            <w:pPr>
              <w:pStyle w:val="5"/>
              <w:widowControl/>
              <w:wordWrap w:val="0"/>
              <w:spacing w:beforeAutospacing="1" w:afterAutospacing="1"/>
              <w:jc w:val="center"/>
              <w:rPr>
                <w:b/>
                <w:bCs/>
                <w:szCs w:val="24"/>
              </w:rPr>
            </w:pPr>
            <w:r>
              <w:rPr>
                <w:rFonts w:ascii="cursive" w:hAnsi="cursive" w:eastAsia="cursive" w:cs="cursive"/>
                <w:b/>
                <w:bCs/>
                <w:szCs w:val="24"/>
              </w:rPr>
              <w:t>子项</w:t>
            </w:r>
          </w:p>
        </w:tc>
        <w:tc>
          <w:tcPr>
            <w:tcW w:w="5948" w:type="dxa"/>
            <w:gridSpan w:val="3"/>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36BE76D">
            <w:pPr>
              <w:pStyle w:val="5"/>
              <w:widowControl/>
              <w:wordWrap w:val="0"/>
              <w:spacing w:beforeAutospacing="1" w:afterAutospacing="1"/>
              <w:jc w:val="center"/>
              <w:rPr>
                <w:b/>
                <w:bCs/>
                <w:szCs w:val="24"/>
              </w:rPr>
            </w:pPr>
            <w:r>
              <w:rPr>
                <w:rFonts w:ascii="cursive" w:hAnsi="cursive" w:eastAsia="cursive" w:cs="cursive"/>
                <w:b/>
                <w:bCs/>
                <w:szCs w:val="24"/>
              </w:rPr>
              <w:t>评价标准及单项得分</w:t>
            </w:r>
          </w:p>
        </w:tc>
      </w:tr>
      <w:tr w14:paraId="1A599AC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4"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7183B4">
            <w:pPr>
              <w:pStyle w:val="5"/>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b/>
                <w:bCs/>
                <w:szCs w:val="24"/>
              </w:rPr>
              <w:t>1</w:t>
            </w: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75C858">
            <w:pPr>
              <w:pStyle w:val="5"/>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b/>
                <w:bCs/>
                <w:szCs w:val="24"/>
              </w:rPr>
              <w:t>基</w:t>
            </w:r>
            <w:r>
              <w:rPr>
                <w:rFonts w:hint="eastAsia" w:ascii="方正大黑简体" w:eastAsia="方正大黑简体" w:cs="方正大黑简体"/>
                <w:b/>
                <w:bCs/>
                <w:szCs w:val="24"/>
              </w:rPr>
              <w:t>本情</w:t>
            </w:r>
            <w:r>
              <w:rPr>
                <w:rFonts w:ascii="Times New Roman" w:hAnsi="Times New Roman" w:eastAsia="微软雅黑" w:cs="Times New Roman"/>
                <w:b/>
                <w:bCs/>
                <w:szCs w:val="24"/>
              </w:rPr>
              <w:t>况</w:t>
            </w: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A950CC9">
            <w:pPr>
              <w:pStyle w:val="5"/>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szCs w:val="24"/>
              </w:rPr>
              <w:t>4</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8F2CAF3">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专</w:t>
            </w:r>
          </w:p>
          <w:p w14:paraId="1DCE3DE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职</w:t>
            </w:r>
          </w:p>
          <w:p w14:paraId="37E69984">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人</w:t>
            </w:r>
          </w:p>
          <w:p w14:paraId="37E6B1C7">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员</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0EB387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评价说明</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CA92680">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评价标准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E454EEA">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得分</w:t>
            </w:r>
          </w:p>
        </w:tc>
      </w:tr>
      <w:tr w14:paraId="11FDEDA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6698BBC"/>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82B3145"/>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974ADD2"/>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9DB6A94">
            <w:pPr>
              <w:pStyle w:val="5"/>
              <w:widowControl/>
              <w:wordWrap w:val="0"/>
              <w:spacing w:beforeAutospacing="1"/>
              <w:rPr>
                <w:rFonts w:ascii="宋体" w:eastAsia="宋体" w:cs="宋体"/>
                <w:color w:val="000000" w:themeColor="text1"/>
                <w:szCs w:val="24"/>
              </w:rPr>
            </w:pP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1B6C1B4">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代理机构在广西建筑市场监管与诚信信息一体化平台中录入的企业一级注册造价师、注册监理工程师、一级注册建造师人数（同一人同时具备多项注册执业资格，按一人计）</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FF6330F">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10人及以上</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C2E82D2">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4</w:t>
            </w:r>
          </w:p>
        </w:tc>
      </w:tr>
      <w:tr w14:paraId="5B46317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75"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61FF283"/>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834E4A3"/>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8D13B8"/>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DB21BB6">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70A659A">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A463905">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5～9人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439B378">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3</w:t>
            </w:r>
          </w:p>
        </w:tc>
      </w:tr>
      <w:tr w14:paraId="6D2BE80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66"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11C434C"/>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170DAC4"/>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52718E0"/>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EFF72AA">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73991B3">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7C927D7">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1～4人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B5D959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w:t>
            </w:r>
          </w:p>
        </w:tc>
      </w:tr>
      <w:tr w14:paraId="48F1A17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B15744E"/>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753B865"/>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0E30C4F"/>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1244C19">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B04101F">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82E8F09">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0人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4F7E716">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0</w:t>
            </w:r>
          </w:p>
        </w:tc>
      </w:tr>
      <w:tr w14:paraId="156E985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0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CF3F7B"/>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E7D0B70"/>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C30BE83">
            <w:pPr>
              <w:pStyle w:val="5"/>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szCs w:val="24"/>
              </w:rPr>
              <w:t>4</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A6DFF4F">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纳</w:t>
            </w:r>
          </w:p>
          <w:p w14:paraId="1455E3B6">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税</w:t>
            </w:r>
          </w:p>
          <w:p w14:paraId="3B7430D6">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状</w:t>
            </w:r>
          </w:p>
          <w:p w14:paraId="105BAF2F">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况</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65B15DC">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企业上年度的纳税信用等级</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34F02C4">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A级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F90D734">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4</w:t>
            </w:r>
          </w:p>
        </w:tc>
      </w:tr>
      <w:tr w14:paraId="2BCF86C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7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392B2D1"/>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155F82A"/>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77B4D7"/>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9485883">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8FEEC19">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566D6CC">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B级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3CB6775">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3</w:t>
            </w:r>
          </w:p>
        </w:tc>
      </w:tr>
      <w:tr w14:paraId="6B489FC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2A3013C"/>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013B0B1"/>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5827040"/>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AF62DBC">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088ED44">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886090B">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M级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3F3A6B">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2</w:t>
            </w:r>
          </w:p>
        </w:tc>
      </w:tr>
      <w:tr w14:paraId="6A36539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3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8301F6E"/>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1895821"/>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023E9D0"/>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AEBD292">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796771D">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1EC8D7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C级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E64B529">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w:t>
            </w:r>
          </w:p>
        </w:tc>
      </w:tr>
      <w:tr w14:paraId="47DD2AF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0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93753C6"/>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1A833D"/>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8155F9D"/>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D6C9107">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BE7DD5">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4BEBC59">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D级</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AB13D96">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0</w:t>
            </w:r>
          </w:p>
        </w:tc>
      </w:tr>
      <w:tr w14:paraId="35C4593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1CA3B5D"/>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7A58257"/>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447425D">
            <w:pPr>
              <w:pStyle w:val="5"/>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4</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87BDA91">
            <w:pPr>
              <w:pStyle w:val="5"/>
              <w:widowControl/>
              <w:wordWrap w:val="0"/>
              <w:spacing w:beforeAutospacing="1"/>
              <w:rPr>
                <w:rFonts w:ascii="宋体" w:eastAsia="宋体" w:cs="宋体"/>
                <w:color w:val="000000" w:themeColor="text1"/>
                <w:szCs w:val="24"/>
              </w:rPr>
            </w:pPr>
          </w:p>
          <w:p w14:paraId="27D856E9">
            <w:pPr>
              <w:pStyle w:val="5"/>
              <w:widowControl/>
              <w:wordWrap w:val="0"/>
              <w:spacing w:beforeAutospacing="1"/>
              <w:rPr>
                <w:rFonts w:ascii="宋体" w:eastAsia="宋体" w:cs="宋体"/>
                <w:color w:val="000000" w:themeColor="text1"/>
                <w:szCs w:val="24"/>
              </w:rPr>
            </w:pPr>
          </w:p>
          <w:p w14:paraId="46477147">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内</w:t>
            </w:r>
          </w:p>
          <w:p w14:paraId="73C52CE9">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部</w:t>
            </w:r>
          </w:p>
          <w:p w14:paraId="11AA7BF3">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管</w:t>
            </w:r>
          </w:p>
          <w:p w14:paraId="2543E410">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理</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D50C68C">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专用档案室照片、档案室管理制度、档案登记台账（至少保存前五年完整的档案）。</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F0A4EBE">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有专用档案室、档案管理制度、档案登记台账，每项得0.3分，满分1分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1D07CAD">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14:paraId="46E215A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47E2283"/>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4B03F88"/>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D744EDF"/>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1596567">
            <w:pPr>
              <w:pStyle w:val="5"/>
              <w:widowControl/>
              <w:wordWrap w:val="0"/>
              <w:spacing w:beforeAutospacing="1"/>
              <w:rPr>
                <w:rFonts w:ascii="宋体" w:eastAsia="宋体" w:cs="宋体"/>
                <w:color w:val="000000" w:themeColor="text1"/>
                <w:szCs w:val="24"/>
              </w:rPr>
            </w:pP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E1A1283">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业务培训</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DB4230B">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“X”为企业招标从业人员上一年度参加监管部门和交易中心业务培训的次数（每个代理单位每次至少有3人参加，满分1分）；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0B6111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0.5X</w:t>
            </w:r>
          </w:p>
        </w:tc>
      </w:tr>
      <w:tr w14:paraId="4800359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622DDD2">
            <w:pPr>
              <w:pStyle w:val="5"/>
              <w:widowControl/>
              <w:wordWrap w:val="0"/>
              <w:spacing w:beforeAutospacing="1" w:afterAutospacing="1"/>
              <w:jc w:val="center"/>
              <w:rPr>
                <w:rFonts w:ascii="Times New Roman" w:hAnsi="Times New Roman" w:eastAsia="微软雅黑" w:cs="Times New Roman"/>
                <w:szCs w:val="24"/>
              </w:rPr>
            </w:pP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C79902F">
            <w:pPr>
              <w:pStyle w:val="5"/>
              <w:widowControl/>
              <w:wordWrap w:val="0"/>
              <w:spacing w:beforeAutospacing="1" w:afterAutospacing="1"/>
              <w:jc w:val="center"/>
              <w:rPr>
                <w:rFonts w:ascii="cursive" w:hAnsi="cursive" w:eastAsia="cursive" w:cs="cursive"/>
                <w:szCs w:val="24"/>
              </w:rPr>
            </w:pPr>
          </w:p>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BDDB97B"/>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6461DD4"/>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85F0D91">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本地服务能力（</w:t>
            </w:r>
            <w:r>
              <w:rPr>
                <w:rFonts w:ascii="宋体" w:eastAsia="宋体" w:cs="宋体"/>
                <w:color w:val="000000" w:themeColor="text1"/>
                <w:szCs w:val="24"/>
              </w:rPr>
              <w:t>一体化平台中录入</w:t>
            </w:r>
            <w:r>
              <w:rPr>
                <w:rFonts w:hint="eastAsia" w:ascii="宋体" w:eastAsia="宋体" w:cs="宋体"/>
                <w:color w:val="000000" w:themeColor="text1"/>
                <w:szCs w:val="24"/>
              </w:rPr>
              <w:t>的招标专职人员，自愿在柳州市建设工程招投标协会登记）</w:t>
            </w:r>
          </w:p>
          <w:p w14:paraId="0F83242C">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310BA4C">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15人以上</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6BCDADE">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w:t>
            </w:r>
          </w:p>
        </w:tc>
      </w:tr>
      <w:tr w14:paraId="6B0AB98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C96C5E"/>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DC49655"/>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81433DD"/>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E9FF8A3"/>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D560AD9">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DA7B08D">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11~15人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8FCE15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14:paraId="1436759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BE19B6C"/>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6779CCE"/>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81A3A4"/>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FE1D379"/>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F42CC8E">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B89B96F">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6~10人</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DEA0203">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0.5</w:t>
            </w:r>
          </w:p>
        </w:tc>
      </w:tr>
      <w:tr w14:paraId="6D0B962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9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0400DCD"/>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601C7FB"/>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DC8E304"/>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60EB134"/>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1358CC5">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76FF55">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5人及以下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8427054">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w:t>
            </w:r>
          </w:p>
        </w:tc>
      </w:tr>
      <w:tr w14:paraId="1CF3D40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93"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303D1D">
            <w:pPr>
              <w:pStyle w:val="5"/>
              <w:widowControl/>
              <w:wordWrap w:val="0"/>
              <w:spacing w:beforeAutospacing="1" w:afterAutospacing="1"/>
              <w:jc w:val="center"/>
              <w:rPr>
                <w:rFonts w:ascii="Times New Roman" w:hAnsi="Times New Roman" w:eastAsia="微软雅黑" w:cs="Times New Roman"/>
                <w:szCs w:val="24"/>
              </w:rPr>
            </w:pPr>
            <w:r>
              <w:rPr>
                <w:rFonts w:ascii="Times New Roman" w:hAnsi="Times New Roman" w:eastAsia="微软雅黑" w:cs="Times New Roman"/>
                <w:b/>
                <w:bCs/>
                <w:szCs w:val="24"/>
              </w:rPr>
              <w:t>2</w:t>
            </w: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1E545E8">
            <w:pPr>
              <w:pStyle w:val="5"/>
              <w:widowControl/>
              <w:wordWrap w:val="0"/>
              <w:spacing w:beforeAutospacing="1" w:afterAutospacing="1"/>
              <w:jc w:val="center"/>
              <w:rPr>
                <w:rFonts w:ascii="Times New Roman" w:hAnsi="Times New Roman" w:eastAsia="微软雅黑" w:cs="Times New Roman"/>
                <w:szCs w:val="24"/>
              </w:rPr>
            </w:pPr>
            <w:r>
              <w:rPr>
                <w:rFonts w:hint="eastAsia" w:ascii="方正大黑简体" w:eastAsia="方正大黑简体" w:cs="方正大黑简体"/>
                <w:szCs w:val="24"/>
              </w:rPr>
              <w:t>业绩情况</w:t>
            </w: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6E0422">
            <w:pPr>
              <w:pStyle w:val="5"/>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5</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7852437">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在柳州上一年度累计代理招标项目宗数</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9631DB1">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柳州市（含鹿寨县）公共资源交易中心提供的企业房建和市政工程建设项目代理招标项目汇总宗数排名</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683030">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0E2AD1">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w:t>
            </w:r>
          </w:p>
        </w:tc>
      </w:tr>
      <w:tr w14:paraId="56A0C67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2D7C295"/>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2A03781"/>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3D9822A"/>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C745A4B">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E743D8A">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F98C104">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6～10名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40800AF">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4</w:t>
            </w:r>
          </w:p>
        </w:tc>
      </w:tr>
      <w:tr w14:paraId="17D02AE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F08F97"/>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43BD76F"/>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C2F3CC3"/>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C1BCBD0">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D28EC35">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7DF6E5F">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11～15名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1C6D70E">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w:t>
            </w:r>
          </w:p>
        </w:tc>
      </w:tr>
      <w:tr w14:paraId="4AEC400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A6D1E11"/>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9AEFD81"/>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6E9C44"/>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7823463">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C66C476">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072579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16-25名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491BC4">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w:t>
            </w:r>
          </w:p>
        </w:tc>
      </w:tr>
      <w:tr w14:paraId="46D0B60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5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550FF60"/>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48A281A"/>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BE5ABAB"/>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BE94726">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F2125F">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095ADD1">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26-35名</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5C40E7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14:paraId="15DFA1C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5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9D8688"/>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5F68464"/>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DDF76BA"/>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74D7BD2">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4AC37E4">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854DED">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36名及以下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4DD4261">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0.5</w:t>
            </w:r>
          </w:p>
        </w:tc>
      </w:tr>
      <w:tr w14:paraId="713C5352">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9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86771DB"/>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BF3AC40"/>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42ED004"/>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83B7C41">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33A9FA9">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22A6EB">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无业务</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1B25F84">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w:t>
            </w:r>
          </w:p>
        </w:tc>
      </w:tr>
      <w:tr w14:paraId="77413553">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757"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0EC9FF2"/>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551B27"/>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0633574">
            <w:pPr>
              <w:pStyle w:val="5"/>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3</w:t>
            </w:r>
          </w:p>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C1B9480">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大型房屋建筑和市政基础设施工程施工项目代理经验</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C3E01C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柳州市（含鹿寨县）</w:t>
            </w:r>
            <w:r>
              <w:rPr>
                <w:rFonts w:ascii="宋体" w:eastAsia="宋体" w:cs="宋体"/>
                <w:color w:val="000000" w:themeColor="text1"/>
                <w:szCs w:val="24"/>
              </w:rPr>
              <w:t>公共资源交易平台系统提供的企业招标代理的房屋建筑和市政基础设施工程施工项目中标宗数</w:t>
            </w:r>
            <w:r>
              <w:rPr>
                <w:rFonts w:hint="eastAsia" w:ascii="宋体" w:eastAsia="宋体" w:cs="宋体"/>
                <w:color w:val="000000" w:themeColor="text1"/>
                <w:szCs w:val="24"/>
              </w:rPr>
              <w:t>，</w:t>
            </w:r>
            <w:r>
              <w:rPr>
                <w:rFonts w:ascii="宋体" w:eastAsia="宋体" w:cs="宋体"/>
                <w:color w:val="000000" w:themeColor="text1"/>
                <w:szCs w:val="24"/>
              </w:rPr>
              <w:t>每宗得分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472BCF5">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单项中标金额3亿元及以上的每宗得分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BA18341">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w:t>
            </w:r>
          </w:p>
        </w:tc>
      </w:tr>
      <w:tr w14:paraId="7DC063C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4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AD5E115"/>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ACF7398"/>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EB5D757"/>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126CC75">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12357CC">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AAFEC20">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单项中标金额2亿元以上不超过3亿元的</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B478568">
            <w:pPr>
              <w:pStyle w:val="5"/>
              <w:widowControl/>
              <w:wordWrap w:val="0"/>
              <w:spacing w:beforeAutospacing="1" w:afterAutospacing="1" w:line="320" w:lineRule="exact"/>
              <w:jc w:val="center"/>
              <w:rPr>
                <w:szCs w:val="24"/>
              </w:rPr>
            </w:pPr>
            <w:r>
              <w:rPr>
                <w:rFonts w:ascii="Times New Roman" w:hAnsi="Times New Roman" w:eastAsia="微软雅黑" w:cs="Times New Roman"/>
                <w:szCs w:val="24"/>
              </w:rPr>
              <w:t>0.6</w:t>
            </w:r>
          </w:p>
        </w:tc>
      </w:tr>
      <w:tr w14:paraId="0033E42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43"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3333265"/>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517C51A"/>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73F3258"/>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DFB96C7">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69796CF">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5242ECD">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单项中标金额1亿元以上不超过2亿元的</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43522FE">
            <w:pPr>
              <w:pStyle w:val="5"/>
              <w:widowControl/>
              <w:wordWrap w:val="0"/>
              <w:spacing w:beforeAutospacing="1" w:afterAutospacing="1" w:line="320" w:lineRule="exact"/>
              <w:jc w:val="center"/>
              <w:rPr>
                <w:szCs w:val="24"/>
              </w:rPr>
            </w:pPr>
            <w:r>
              <w:rPr>
                <w:rFonts w:ascii="Times New Roman" w:hAnsi="Times New Roman" w:eastAsia="微软雅黑" w:cs="Times New Roman"/>
                <w:szCs w:val="24"/>
              </w:rPr>
              <w:t>0.3</w:t>
            </w:r>
          </w:p>
        </w:tc>
      </w:tr>
      <w:tr w14:paraId="3AD99DE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02"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52CDF09"/>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DC297C0"/>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5D0FFC4"/>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AC15B3">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E49D8F4">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B99DEFA">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单项中标金额5</w:t>
            </w:r>
            <w:r>
              <w:rPr>
                <w:rFonts w:hint="eastAsia" w:ascii="宋体" w:eastAsia="宋体" w:cs="宋体"/>
                <w:color w:val="000000" w:themeColor="text1"/>
                <w:szCs w:val="24"/>
              </w:rPr>
              <w:t>仟</w:t>
            </w:r>
            <w:r>
              <w:rPr>
                <w:rFonts w:ascii="宋体" w:eastAsia="宋体" w:cs="宋体"/>
                <w:color w:val="000000" w:themeColor="text1"/>
                <w:szCs w:val="24"/>
              </w:rPr>
              <w:t>万元以上不超过1亿元的</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AC70C6A">
            <w:pPr>
              <w:pStyle w:val="5"/>
              <w:widowControl/>
              <w:wordWrap w:val="0"/>
              <w:spacing w:beforeAutospacing="1" w:afterAutospacing="1" w:line="320" w:lineRule="exact"/>
              <w:jc w:val="center"/>
              <w:rPr>
                <w:szCs w:val="24"/>
              </w:rPr>
            </w:pPr>
            <w:r>
              <w:rPr>
                <w:rFonts w:ascii="Times New Roman" w:hAnsi="Times New Roman" w:eastAsia="微软雅黑" w:cs="Times New Roman"/>
                <w:szCs w:val="24"/>
              </w:rPr>
              <w:t>0.1</w:t>
            </w:r>
          </w:p>
        </w:tc>
      </w:tr>
      <w:tr w14:paraId="14BB54D6">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7E830CD"/>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2B7B786"/>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E9FF503"/>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4444B00">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总承包或全过程工程咨询项目代理经验</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84C3C25">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柳州（含鹿寨县）</w:t>
            </w:r>
            <w:r>
              <w:rPr>
                <w:rFonts w:ascii="宋体" w:eastAsia="宋体" w:cs="宋体"/>
                <w:color w:val="000000" w:themeColor="text1"/>
                <w:szCs w:val="24"/>
              </w:rPr>
              <w:t>公共资源交易平台系统提供的企业招标代理的房建市政项目中工程总承包项目中标金额5000万以上（含）（按费率招的项目不计）或全过程工程咨询项目公开招标代理宗数</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7060F79">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每宗得分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790C114">
            <w:pPr>
              <w:pStyle w:val="5"/>
              <w:widowControl/>
              <w:wordWrap w:val="0"/>
              <w:spacing w:beforeAutospacing="1" w:afterAutospacing="1"/>
              <w:jc w:val="center"/>
              <w:rPr>
                <w:szCs w:val="24"/>
              </w:rPr>
            </w:pPr>
            <w:r>
              <w:rPr>
                <w:rFonts w:ascii="Times New Roman" w:hAnsi="Times New Roman" w:eastAsia="微软雅黑" w:cs="Times New Roman"/>
                <w:szCs w:val="24"/>
              </w:rPr>
              <w:t>0.1</w:t>
            </w:r>
          </w:p>
        </w:tc>
      </w:tr>
      <w:tr w14:paraId="08168D7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0" w:hRule="atLeast"/>
          <w:tblCellSpacing w:w="0" w:type="dxa"/>
          <w:jc w:val="center"/>
        </w:trPr>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7327970">
            <w:pPr>
              <w:pStyle w:val="5"/>
              <w:widowControl/>
              <w:wordWrap w:val="0"/>
              <w:spacing w:beforeAutospacing="1" w:afterAutospacing="1"/>
              <w:jc w:val="center"/>
              <w:rPr>
                <w:rFonts w:ascii="方正大黑简体" w:eastAsia="方正大黑简体" w:cs="方正大黑简体"/>
                <w:szCs w:val="24"/>
              </w:rPr>
            </w:pPr>
          </w:p>
          <w:p w14:paraId="3D9B3DD4">
            <w:pPr>
              <w:pStyle w:val="5"/>
              <w:widowControl/>
              <w:wordWrap w:val="0"/>
              <w:spacing w:beforeAutospacing="1" w:afterAutospacing="1"/>
              <w:jc w:val="center"/>
              <w:rPr>
                <w:rFonts w:ascii="方正大黑简体" w:eastAsia="方正大黑简体" w:cs="方正大黑简体"/>
                <w:szCs w:val="24"/>
              </w:rPr>
            </w:pPr>
          </w:p>
          <w:p w14:paraId="73983267">
            <w:pPr>
              <w:pStyle w:val="5"/>
              <w:widowControl/>
              <w:wordWrap w:val="0"/>
              <w:spacing w:beforeAutospacing="1" w:afterAutospacing="1"/>
              <w:jc w:val="center"/>
              <w:rPr>
                <w:rFonts w:ascii="方正大黑简体" w:eastAsia="方正大黑简体" w:cs="方正大黑简体"/>
                <w:szCs w:val="24"/>
              </w:rPr>
            </w:pPr>
          </w:p>
          <w:p w14:paraId="54DDB211">
            <w:pPr>
              <w:pStyle w:val="5"/>
              <w:widowControl/>
              <w:wordWrap w:val="0"/>
              <w:spacing w:beforeAutospacing="1" w:afterAutospacing="1"/>
              <w:jc w:val="center"/>
              <w:rPr>
                <w:rFonts w:ascii="方正大黑简体" w:eastAsia="方正大黑简体" w:cs="方正大黑简体"/>
                <w:szCs w:val="24"/>
              </w:rPr>
            </w:pPr>
          </w:p>
          <w:p w14:paraId="0DE993EE">
            <w:pPr>
              <w:pStyle w:val="5"/>
              <w:widowControl/>
              <w:wordWrap w:val="0"/>
              <w:spacing w:beforeAutospacing="1" w:afterAutospacing="1"/>
              <w:rPr>
                <w:rFonts w:ascii="方正大黑简体" w:eastAsia="方正大黑简体" w:cs="方正大黑简体"/>
                <w:szCs w:val="24"/>
              </w:rPr>
            </w:pPr>
          </w:p>
          <w:p w14:paraId="5B904626">
            <w:pPr>
              <w:pStyle w:val="5"/>
              <w:widowControl/>
              <w:wordWrap w:val="0"/>
              <w:spacing w:beforeAutospacing="1" w:afterAutospacing="1"/>
              <w:jc w:val="center"/>
              <w:rPr>
                <w:rFonts w:ascii="方正大黑简体" w:eastAsia="方正大黑简体" w:cs="方正大黑简体"/>
                <w:szCs w:val="24"/>
              </w:rPr>
            </w:pPr>
          </w:p>
          <w:p w14:paraId="63CEE4D6">
            <w:pPr>
              <w:pStyle w:val="5"/>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3</w:t>
            </w:r>
          </w:p>
          <w:p w14:paraId="360553C0">
            <w:pPr>
              <w:pStyle w:val="5"/>
              <w:widowControl/>
              <w:wordWrap w:val="0"/>
              <w:spacing w:beforeAutospacing="1" w:afterAutospacing="1"/>
              <w:jc w:val="center"/>
              <w:rPr>
                <w:rFonts w:ascii="方正大黑简体" w:eastAsia="方正大黑简体" w:cs="方正大黑简体"/>
                <w:szCs w:val="24"/>
              </w:rPr>
            </w:pPr>
          </w:p>
          <w:p w14:paraId="6B5D7B6C">
            <w:pPr>
              <w:pStyle w:val="5"/>
              <w:widowControl/>
              <w:wordWrap w:val="0"/>
              <w:spacing w:beforeAutospacing="1" w:afterAutospacing="1"/>
              <w:jc w:val="center"/>
              <w:rPr>
                <w:rFonts w:ascii="方正大黑简体" w:eastAsia="方正大黑简体" w:cs="方正大黑简体"/>
                <w:szCs w:val="24"/>
              </w:rPr>
            </w:pPr>
          </w:p>
          <w:p w14:paraId="7562C98C">
            <w:pPr>
              <w:pStyle w:val="5"/>
              <w:widowControl/>
              <w:wordWrap w:val="0"/>
              <w:spacing w:beforeAutospacing="1" w:afterAutospacing="1"/>
              <w:jc w:val="center"/>
              <w:rPr>
                <w:rFonts w:ascii="方正大黑简体" w:eastAsia="方正大黑简体" w:cs="方正大黑简体"/>
                <w:szCs w:val="24"/>
              </w:rPr>
            </w:pPr>
          </w:p>
          <w:p w14:paraId="0C278DF3">
            <w:pPr>
              <w:pStyle w:val="5"/>
              <w:widowControl/>
              <w:wordWrap w:val="0"/>
              <w:spacing w:beforeAutospacing="1" w:afterAutospacing="1"/>
              <w:jc w:val="center"/>
              <w:rPr>
                <w:rFonts w:ascii="方正大黑简体" w:eastAsia="方正大黑简体" w:cs="方正大黑简体"/>
                <w:szCs w:val="24"/>
              </w:rPr>
            </w:pPr>
          </w:p>
          <w:p w14:paraId="29F31C6A">
            <w:pPr>
              <w:pStyle w:val="5"/>
              <w:widowControl/>
              <w:wordWrap w:val="0"/>
              <w:spacing w:beforeAutospacing="1" w:afterAutospacing="1"/>
              <w:jc w:val="center"/>
              <w:rPr>
                <w:rFonts w:ascii="方正大黑简体" w:eastAsia="方正大黑简体" w:cs="方正大黑简体"/>
                <w:szCs w:val="24"/>
              </w:rPr>
            </w:pPr>
          </w:p>
          <w:p w14:paraId="745DA640">
            <w:pPr>
              <w:pStyle w:val="5"/>
              <w:widowControl/>
              <w:wordWrap w:val="0"/>
              <w:spacing w:beforeAutospacing="1" w:afterAutospacing="1"/>
              <w:jc w:val="center"/>
              <w:rPr>
                <w:rFonts w:ascii="方正大黑简体" w:eastAsia="方正大黑简体" w:cs="方正大黑简体"/>
                <w:szCs w:val="24"/>
              </w:rPr>
            </w:pPr>
          </w:p>
          <w:p w14:paraId="33419C74">
            <w:pPr>
              <w:pStyle w:val="5"/>
              <w:widowControl/>
              <w:wordWrap w:val="0"/>
              <w:spacing w:beforeAutospacing="1" w:afterAutospacing="1"/>
              <w:jc w:val="center"/>
              <w:rPr>
                <w:rFonts w:ascii="方正大黑简体" w:eastAsia="方正大黑简体" w:cs="方正大黑简体"/>
                <w:szCs w:val="24"/>
              </w:rPr>
            </w:pPr>
          </w:p>
          <w:p w14:paraId="2E891FCB">
            <w:pPr>
              <w:pStyle w:val="5"/>
              <w:widowControl/>
              <w:wordWrap w:val="0"/>
              <w:spacing w:beforeAutospacing="1" w:afterAutospacing="1"/>
              <w:jc w:val="center"/>
              <w:rPr>
                <w:rFonts w:ascii="方正大黑简体" w:eastAsia="方正大黑简体" w:cs="方正大黑简体"/>
                <w:szCs w:val="24"/>
              </w:rPr>
            </w:pPr>
          </w:p>
          <w:p w14:paraId="47906EDB">
            <w:pPr>
              <w:pStyle w:val="5"/>
              <w:widowControl/>
              <w:wordWrap w:val="0"/>
              <w:spacing w:beforeAutospacing="1" w:afterAutospacing="1"/>
              <w:rPr>
                <w:rFonts w:ascii="方正大黑简体" w:eastAsia="方正大黑简体" w:cs="方正大黑简体"/>
                <w:szCs w:val="24"/>
              </w:rPr>
            </w:pPr>
          </w:p>
          <w:p w14:paraId="22D0924B">
            <w:pPr>
              <w:pStyle w:val="5"/>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3</w:t>
            </w:r>
          </w:p>
          <w:p w14:paraId="501F734C">
            <w:pPr>
              <w:pStyle w:val="5"/>
              <w:widowControl/>
              <w:wordWrap w:val="0"/>
              <w:spacing w:beforeAutospacing="1" w:afterAutospacing="1"/>
              <w:jc w:val="center"/>
              <w:rPr>
                <w:rFonts w:ascii="方正大黑简体" w:eastAsia="方正大黑简体" w:cs="方正大黑简体"/>
                <w:szCs w:val="24"/>
              </w:rPr>
            </w:pPr>
          </w:p>
        </w:tc>
        <w:tc>
          <w:tcPr>
            <w:tcW w:w="644"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0961B6E">
            <w:pPr>
              <w:pStyle w:val="5"/>
              <w:widowControl/>
              <w:wordWrap w:val="0"/>
              <w:spacing w:beforeAutospacing="1" w:afterAutospacing="1"/>
              <w:jc w:val="center"/>
              <w:rPr>
                <w:rFonts w:ascii="方正大黑简体" w:eastAsia="方正大黑简体" w:cs="方正大黑简体"/>
                <w:szCs w:val="24"/>
              </w:rPr>
            </w:pPr>
          </w:p>
          <w:p w14:paraId="6DD3A40E">
            <w:pPr>
              <w:pStyle w:val="5"/>
              <w:widowControl/>
              <w:wordWrap w:val="0"/>
              <w:spacing w:beforeAutospacing="1" w:afterAutospacing="1"/>
              <w:jc w:val="center"/>
              <w:rPr>
                <w:rFonts w:ascii="方正大黑简体" w:eastAsia="方正大黑简体" w:cs="方正大黑简体"/>
                <w:szCs w:val="24"/>
              </w:rPr>
            </w:pPr>
          </w:p>
          <w:p w14:paraId="17CC737C">
            <w:pPr>
              <w:pStyle w:val="5"/>
              <w:widowControl/>
              <w:wordWrap w:val="0"/>
              <w:spacing w:beforeAutospacing="1" w:afterAutospacing="1"/>
              <w:jc w:val="center"/>
              <w:rPr>
                <w:rFonts w:ascii="方正大黑简体" w:eastAsia="方正大黑简体" w:cs="方正大黑简体"/>
                <w:szCs w:val="24"/>
              </w:rPr>
            </w:pPr>
          </w:p>
          <w:p w14:paraId="6C672CE4">
            <w:pPr>
              <w:pStyle w:val="5"/>
              <w:widowControl/>
              <w:wordWrap w:val="0"/>
              <w:spacing w:beforeAutospacing="1" w:afterAutospacing="1"/>
              <w:jc w:val="center"/>
              <w:rPr>
                <w:rFonts w:ascii="方正大黑简体" w:eastAsia="方正大黑简体" w:cs="方正大黑简体"/>
                <w:szCs w:val="24"/>
              </w:rPr>
            </w:pPr>
          </w:p>
          <w:p w14:paraId="1E5382AF">
            <w:pPr>
              <w:pStyle w:val="5"/>
              <w:widowControl/>
              <w:wordWrap w:val="0"/>
              <w:spacing w:beforeAutospacing="1" w:afterAutospacing="1"/>
              <w:jc w:val="center"/>
              <w:rPr>
                <w:rFonts w:ascii="方正大黑简体" w:eastAsia="方正大黑简体" w:cs="方正大黑简体"/>
                <w:szCs w:val="24"/>
              </w:rPr>
            </w:pPr>
          </w:p>
          <w:p w14:paraId="6EF2B460">
            <w:pPr>
              <w:pStyle w:val="5"/>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履职行为</w:t>
            </w:r>
          </w:p>
          <w:p w14:paraId="62566D8D">
            <w:pPr>
              <w:pStyle w:val="5"/>
              <w:widowControl/>
              <w:wordWrap w:val="0"/>
              <w:spacing w:beforeAutospacing="1" w:afterAutospacing="1"/>
              <w:jc w:val="center"/>
              <w:rPr>
                <w:rFonts w:ascii="方正大黑简体" w:eastAsia="方正大黑简体" w:cs="方正大黑简体"/>
                <w:szCs w:val="24"/>
              </w:rPr>
            </w:pPr>
          </w:p>
          <w:p w14:paraId="7027F004">
            <w:pPr>
              <w:pStyle w:val="5"/>
              <w:widowControl/>
              <w:wordWrap w:val="0"/>
              <w:spacing w:beforeAutospacing="1" w:afterAutospacing="1"/>
              <w:jc w:val="center"/>
              <w:rPr>
                <w:rFonts w:ascii="方正大黑简体" w:eastAsia="方正大黑简体" w:cs="方正大黑简体"/>
                <w:szCs w:val="24"/>
              </w:rPr>
            </w:pPr>
          </w:p>
          <w:p w14:paraId="6BA7505E">
            <w:pPr>
              <w:pStyle w:val="5"/>
              <w:widowControl/>
              <w:wordWrap w:val="0"/>
              <w:spacing w:beforeAutospacing="1" w:afterAutospacing="1"/>
              <w:jc w:val="center"/>
              <w:rPr>
                <w:rFonts w:ascii="方正大黑简体" w:eastAsia="方正大黑简体" w:cs="方正大黑简体"/>
                <w:szCs w:val="24"/>
              </w:rPr>
            </w:pPr>
          </w:p>
          <w:p w14:paraId="460E8DED">
            <w:pPr>
              <w:pStyle w:val="5"/>
              <w:widowControl/>
              <w:wordWrap w:val="0"/>
              <w:spacing w:beforeAutospacing="1" w:afterAutospacing="1"/>
              <w:jc w:val="center"/>
              <w:rPr>
                <w:rFonts w:ascii="方正大黑简体" w:eastAsia="方正大黑简体" w:cs="方正大黑简体"/>
                <w:szCs w:val="24"/>
              </w:rPr>
            </w:pPr>
          </w:p>
          <w:p w14:paraId="624414B0">
            <w:pPr>
              <w:pStyle w:val="5"/>
              <w:widowControl/>
              <w:wordWrap w:val="0"/>
              <w:spacing w:beforeAutospacing="1" w:afterAutospacing="1"/>
              <w:jc w:val="center"/>
              <w:rPr>
                <w:rFonts w:ascii="方正大黑简体" w:eastAsia="方正大黑简体" w:cs="方正大黑简体"/>
                <w:szCs w:val="24"/>
              </w:rPr>
            </w:pPr>
          </w:p>
          <w:p w14:paraId="7435DF8C">
            <w:pPr>
              <w:pStyle w:val="5"/>
              <w:widowControl/>
              <w:wordWrap w:val="0"/>
              <w:spacing w:beforeAutospacing="1" w:afterAutospacing="1"/>
              <w:jc w:val="center"/>
              <w:rPr>
                <w:rFonts w:ascii="方正大黑简体" w:eastAsia="方正大黑简体" w:cs="方正大黑简体"/>
                <w:szCs w:val="24"/>
              </w:rPr>
            </w:pPr>
          </w:p>
          <w:p w14:paraId="66528D4D">
            <w:pPr>
              <w:pStyle w:val="5"/>
              <w:widowControl/>
              <w:wordWrap w:val="0"/>
              <w:spacing w:beforeAutospacing="1" w:afterAutospacing="1"/>
              <w:jc w:val="center"/>
              <w:rPr>
                <w:rFonts w:ascii="方正大黑简体" w:eastAsia="方正大黑简体" w:cs="方正大黑简体"/>
                <w:szCs w:val="24"/>
              </w:rPr>
            </w:pPr>
          </w:p>
          <w:p w14:paraId="57F0AAD4">
            <w:pPr>
              <w:pStyle w:val="5"/>
              <w:widowControl/>
              <w:wordWrap w:val="0"/>
              <w:spacing w:beforeAutospacing="1" w:afterAutospacing="1"/>
              <w:jc w:val="center"/>
              <w:rPr>
                <w:rFonts w:ascii="方正大黑简体" w:eastAsia="方正大黑简体" w:cs="方正大黑简体"/>
                <w:szCs w:val="24"/>
              </w:rPr>
            </w:pPr>
            <w:r>
              <w:rPr>
                <w:rFonts w:hint="eastAsia" w:ascii="方正大黑简体" w:eastAsia="方正大黑简体" w:cs="方正大黑简体"/>
                <w:szCs w:val="24"/>
              </w:rPr>
              <w:t>履职行为</w:t>
            </w:r>
          </w:p>
        </w:tc>
        <w:tc>
          <w:tcPr>
            <w:tcW w:w="56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5ED6684">
            <w:pPr>
              <w:pStyle w:val="5"/>
              <w:widowControl/>
              <w:wordWrap w:val="0"/>
              <w:spacing w:beforeAutospacing="1"/>
              <w:jc w:val="center"/>
              <w:rPr>
                <w:rFonts w:ascii="Times New Roman" w:hAnsi="Times New Roman" w:eastAsia="微软雅黑" w:cs="Times New Roman"/>
                <w:szCs w:val="24"/>
              </w:rPr>
            </w:pPr>
          </w:p>
          <w:p w14:paraId="72954652">
            <w:pPr>
              <w:pStyle w:val="5"/>
              <w:widowControl/>
              <w:wordWrap w:val="0"/>
              <w:spacing w:beforeAutospacing="1"/>
              <w:jc w:val="center"/>
              <w:rPr>
                <w:rFonts w:ascii="Times New Roman" w:hAnsi="Times New Roman" w:eastAsia="微软雅黑" w:cs="Times New Roman"/>
                <w:szCs w:val="24"/>
              </w:rPr>
            </w:pPr>
          </w:p>
          <w:p w14:paraId="2953642D">
            <w:pPr>
              <w:pStyle w:val="5"/>
              <w:widowControl/>
              <w:wordWrap w:val="0"/>
              <w:spacing w:beforeAutospacing="1"/>
              <w:jc w:val="center"/>
              <w:rPr>
                <w:rFonts w:ascii="Times New Roman" w:hAnsi="Times New Roman" w:eastAsia="微软雅黑" w:cs="Times New Roman"/>
                <w:szCs w:val="24"/>
              </w:rPr>
            </w:pPr>
          </w:p>
          <w:p w14:paraId="7D9585B7">
            <w:pPr>
              <w:pStyle w:val="5"/>
              <w:widowControl/>
              <w:wordWrap w:val="0"/>
              <w:spacing w:beforeAutospacing="1"/>
              <w:jc w:val="center"/>
              <w:rPr>
                <w:rFonts w:ascii="Times New Roman" w:hAnsi="Times New Roman" w:eastAsia="微软雅黑" w:cs="Times New Roman"/>
                <w:szCs w:val="24"/>
              </w:rPr>
            </w:pPr>
          </w:p>
          <w:p w14:paraId="6D886779">
            <w:pPr>
              <w:pStyle w:val="5"/>
              <w:widowControl/>
              <w:wordWrap w:val="0"/>
              <w:spacing w:beforeAutospacing="1"/>
              <w:jc w:val="center"/>
              <w:rPr>
                <w:rFonts w:ascii="Times New Roman" w:hAnsi="Times New Roman" w:eastAsia="微软雅黑" w:cs="Times New Roman"/>
                <w:szCs w:val="24"/>
              </w:rPr>
            </w:pPr>
          </w:p>
          <w:p w14:paraId="22DA7850">
            <w:pPr>
              <w:pStyle w:val="5"/>
              <w:widowControl/>
              <w:wordWrap w:val="0"/>
              <w:spacing w:beforeAutospacing="1"/>
              <w:jc w:val="center"/>
              <w:rPr>
                <w:rFonts w:ascii="Times New Roman" w:hAnsi="Times New Roman" w:eastAsia="微软雅黑" w:cs="Times New Roman"/>
                <w:szCs w:val="24"/>
              </w:rPr>
            </w:pPr>
          </w:p>
          <w:p w14:paraId="5DBBF44D">
            <w:pPr>
              <w:pStyle w:val="5"/>
              <w:widowControl/>
              <w:wordWrap w:val="0"/>
              <w:spacing w:beforeAutospacing="1"/>
              <w:jc w:val="center"/>
              <w:rPr>
                <w:rFonts w:ascii="Times New Roman" w:hAnsi="Times New Roman" w:eastAsia="微软雅黑" w:cs="Times New Roman"/>
                <w:szCs w:val="24"/>
              </w:rPr>
            </w:pPr>
          </w:p>
          <w:p w14:paraId="465531B6">
            <w:pPr>
              <w:pStyle w:val="5"/>
              <w:widowControl/>
              <w:wordWrap w:val="0"/>
              <w:spacing w:beforeAutospacing="1"/>
              <w:jc w:val="center"/>
              <w:rPr>
                <w:rFonts w:ascii="Times New Roman" w:hAnsi="Times New Roman" w:eastAsia="微软雅黑" w:cs="Times New Roman"/>
                <w:szCs w:val="24"/>
              </w:rPr>
            </w:pPr>
          </w:p>
          <w:p w14:paraId="3BA00674">
            <w:pPr>
              <w:pStyle w:val="5"/>
              <w:widowControl/>
              <w:wordWrap w:val="0"/>
              <w:spacing w:beforeAutospacing="1"/>
              <w:jc w:val="center"/>
              <w:rPr>
                <w:rFonts w:ascii="Times New Roman" w:hAnsi="Times New Roman" w:eastAsia="微软雅黑" w:cs="Times New Roman"/>
                <w:szCs w:val="24"/>
              </w:rPr>
            </w:pPr>
          </w:p>
          <w:p w14:paraId="782A54BC">
            <w:pPr>
              <w:pStyle w:val="5"/>
              <w:widowControl/>
              <w:wordWrap w:val="0"/>
              <w:spacing w:before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80</w:t>
            </w:r>
          </w:p>
          <w:p w14:paraId="6A2EFCAE">
            <w:pPr>
              <w:pStyle w:val="5"/>
              <w:widowControl/>
              <w:wordWrap w:val="0"/>
              <w:spacing w:beforeAutospacing="1"/>
              <w:jc w:val="center"/>
              <w:rPr>
                <w:rFonts w:ascii="Times New Roman" w:hAnsi="Times New Roman" w:eastAsia="微软雅黑" w:cs="Times New Roman"/>
                <w:szCs w:val="24"/>
              </w:rPr>
            </w:pPr>
          </w:p>
          <w:p w14:paraId="057F60B9">
            <w:pPr>
              <w:pStyle w:val="5"/>
              <w:widowControl/>
              <w:wordWrap w:val="0"/>
              <w:spacing w:beforeAutospacing="1"/>
              <w:jc w:val="center"/>
              <w:rPr>
                <w:rFonts w:ascii="Times New Roman" w:hAnsi="Times New Roman" w:eastAsia="微软雅黑" w:cs="Times New Roman"/>
                <w:szCs w:val="24"/>
              </w:rPr>
            </w:pPr>
          </w:p>
          <w:p w14:paraId="08B34755">
            <w:pPr>
              <w:pStyle w:val="5"/>
              <w:widowControl/>
              <w:wordWrap w:val="0"/>
              <w:spacing w:beforeAutospacing="1"/>
              <w:jc w:val="center"/>
              <w:rPr>
                <w:rFonts w:ascii="Times New Roman" w:hAnsi="Times New Roman" w:eastAsia="微软雅黑" w:cs="Times New Roman"/>
                <w:szCs w:val="24"/>
              </w:rPr>
            </w:pPr>
          </w:p>
          <w:p w14:paraId="4DCF9835">
            <w:pPr>
              <w:pStyle w:val="5"/>
              <w:widowControl/>
              <w:wordWrap w:val="0"/>
              <w:spacing w:beforeAutospacing="1"/>
              <w:jc w:val="center"/>
              <w:rPr>
                <w:rFonts w:ascii="Times New Roman" w:hAnsi="Times New Roman" w:eastAsia="微软雅黑" w:cs="Times New Roman"/>
                <w:szCs w:val="24"/>
              </w:rPr>
            </w:pPr>
          </w:p>
          <w:p w14:paraId="1A767722">
            <w:pPr>
              <w:pStyle w:val="5"/>
              <w:widowControl/>
              <w:wordWrap w:val="0"/>
              <w:spacing w:beforeAutospacing="1"/>
              <w:jc w:val="center"/>
              <w:rPr>
                <w:rFonts w:ascii="Times New Roman" w:hAnsi="Times New Roman" w:eastAsia="微软雅黑" w:cs="Times New Roman"/>
                <w:szCs w:val="24"/>
              </w:rPr>
            </w:pPr>
          </w:p>
          <w:p w14:paraId="152E367E">
            <w:pPr>
              <w:pStyle w:val="5"/>
              <w:widowControl/>
              <w:wordWrap w:val="0"/>
              <w:spacing w:beforeAutospacing="1"/>
              <w:jc w:val="center"/>
              <w:rPr>
                <w:rFonts w:ascii="Times New Roman" w:hAnsi="Times New Roman" w:eastAsia="微软雅黑" w:cs="Times New Roman"/>
                <w:szCs w:val="24"/>
              </w:rPr>
            </w:pPr>
          </w:p>
          <w:p w14:paraId="551539E7">
            <w:pPr>
              <w:pStyle w:val="5"/>
              <w:widowControl/>
              <w:wordWrap w:val="0"/>
              <w:spacing w:beforeAutospacing="1"/>
              <w:jc w:val="center"/>
              <w:rPr>
                <w:rFonts w:ascii="Times New Roman" w:hAnsi="Times New Roman" w:eastAsia="微软雅黑" w:cs="Times New Roman"/>
                <w:szCs w:val="24"/>
              </w:rPr>
            </w:pPr>
          </w:p>
          <w:p w14:paraId="025280FD">
            <w:pPr>
              <w:pStyle w:val="5"/>
              <w:widowControl/>
              <w:wordWrap w:val="0"/>
              <w:spacing w:beforeAutospacing="1"/>
              <w:jc w:val="center"/>
              <w:rPr>
                <w:rFonts w:ascii="Times New Roman" w:hAnsi="Times New Roman" w:eastAsia="微软雅黑" w:cs="Times New Roman"/>
                <w:szCs w:val="24"/>
              </w:rPr>
            </w:pPr>
          </w:p>
          <w:p w14:paraId="0322250C">
            <w:pPr>
              <w:pStyle w:val="5"/>
              <w:widowControl/>
              <w:wordWrap w:val="0"/>
              <w:spacing w:beforeAutospacing="1"/>
              <w:jc w:val="center"/>
              <w:rPr>
                <w:rFonts w:ascii="Times New Roman" w:hAnsi="Times New Roman" w:eastAsia="微软雅黑" w:cs="Times New Roman"/>
                <w:szCs w:val="24"/>
              </w:rPr>
            </w:pPr>
          </w:p>
          <w:p w14:paraId="3F29340E">
            <w:pPr>
              <w:pStyle w:val="5"/>
              <w:widowControl/>
              <w:wordWrap w:val="0"/>
              <w:spacing w:beforeAutospacing="1"/>
              <w:jc w:val="center"/>
              <w:rPr>
                <w:rFonts w:ascii="Times New Roman" w:hAnsi="Times New Roman" w:eastAsia="微软雅黑" w:cs="Times New Roman"/>
                <w:szCs w:val="24"/>
              </w:rPr>
            </w:pPr>
          </w:p>
          <w:p w14:paraId="2523357A">
            <w:pPr>
              <w:pStyle w:val="5"/>
              <w:widowControl/>
              <w:wordWrap w:val="0"/>
              <w:spacing w:beforeAutospacing="1"/>
              <w:jc w:val="center"/>
              <w:rPr>
                <w:rFonts w:ascii="Times New Roman" w:hAnsi="Times New Roman" w:eastAsia="微软雅黑" w:cs="Times New Roman"/>
                <w:szCs w:val="24"/>
              </w:rPr>
            </w:pPr>
          </w:p>
          <w:p w14:paraId="01B7D0DE">
            <w:pPr>
              <w:pStyle w:val="5"/>
              <w:widowControl/>
              <w:wordWrap w:val="0"/>
              <w:spacing w:beforeAutospacing="1"/>
              <w:jc w:val="center"/>
              <w:rPr>
                <w:rFonts w:ascii="Times New Roman" w:hAnsi="Times New Roman" w:eastAsia="微软雅黑" w:cs="Times New Roman"/>
                <w:szCs w:val="24"/>
              </w:rPr>
            </w:pPr>
          </w:p>
          <w:p w14:paraId="60CE2688">
            <w:pPr>
              <w:pStyle w:val="5"/>
              <w:widowControl/>
              <w:wordWrap w:val="0"/>
              <w:spacing w:beforeAutospacing="1"/>
              <w:jc w:val="center"/>
              <w:rPr>
                <w:rFonts w:ascii="Times New Roman" w:hAnsi="Times New Roman" w:eastAsia="微软雅黑" w:cs="Times New Roman"/>
                <w:szCs w:val="24"/>
              </w:rPr>
            </w:pPr>
          </w:p>
          <w:p w14:paraId="38831EE7">
            <w:pPr>
              <w:pStyle w:val="5"/>
              <w:widowControl/>
              <w:wordWrap w:val="0"/>
              <w:spacing w:beforeAutospacing="1"/>
              <w:rPr>
                <w:rFonts w:ascii="Times New Roman" w:hAnsi="Times New Roman" w:eastAsia="微软雅黑" w:cs="Times New Roman"/>
                <w:szCs w:val="24"/>
              </w:rPr>
            </w:pPr>
          </w:p>
          <w:p w14:paraId="2B916705">
            <w:pPr>
              <w:pStyle w:val="5"/>
              <w:widowControl/>
              <w:wordWrap w:val="0"/>
              <w:spacing w:beforeAutospacing="1"/>
              <w:jc w:val="center"/>
              <w:rPr>
                <w:rFonts w:ascii="Times New Roman" w:hAnsi="Times New Roman" w:eastAsia="微软雅黑" w:cs="Times New Roman"/>
                <w:szCs w:val="24"/>
              </w:rPr>
            </w:pPr>
          </w:p>
          <w:p w14:paraId="5853D393">
            <w:pPr>
              <w:pStyle w:val="5"/>
              <w:widowControl/>
              <w:wordWrap w:val="0"/>
              <w:spacing w:beforeAutospacing="1"/>
              <w:jc w:val="center"/>
              <w:rPr>
                <w:rFonts w:ascii="Times New Roman" w:hAnsi="Times New Roman" w:eastAsia="微软雅黑" w:cs="Times New Roman"/>
                <w:szCs w:val="24"/>
              </w:rPr>
            </w:pPr>
          </w:p>
          <w:p w14:paraId="48A7CDB5">
            <w:pPr>
              <w:pStyle w:val="5"/>
              <w:widowControl/>
              <w:wordWrap w:val="0"/>
              <w:spacing w:beforeAutospacing="1"/>
              <w:jc w:val="center"/>
              <w:rPr>
                <w:szCs w:val="24"/>
              </w:rPr>
            </w:pPr>
            <w:r>
              <w:rPr>
                <w:rFonts w:ascii="Times New Roman" w:hAnsi="Times New Roman" w:eastAsia="微软雅黑" w:cs="Times New Roman"/>
                <w:szCs w:val="24"/>
              </w:rPr>
              <w:t>80</w:t>
            </w:r>
          </w:p>
          <w:p w14:paraId="7789CC1D">
            <w:pPr>
              <w:pStyle w:val="5"/>
              <w:widowControl/>
              <w:wordWrap w:val="0"/>
              <w:spacing w:beforeAutospacing="1"/>
              <w:jc w:val="center"/>
              <w:rPr>
                <w:szCs w:val="24"/>
              </w:rPr>
            </w:pPr>
          </w:p>
          <w:p w14:paraId="72B90332">
            <w:pPr>
              <w:pStyle w:val="5"/>
              <w:widowControl/>
              <w:wordWrap w:val="0"/>
              <w:spacing w:beforeAutospacing="1" w:afterAutospacing="1"/>
              <w:jc w:val="center"/>
              <w:rPr>
                <w:szCs w:val="24"/>
              </w:rPr>
            </w:pPr>
          </w:p>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7314198">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历史良好行为评价</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0B4D442">
            <w:pPr>
              <w:pStyle w:val="5"/>
              <w:widowControl/>
              <w:wordWrap w:val="0"/>
              <w:spacing w:beforeAutospacing="1"/>
              <w:rPr>
                <w:rFonts w:ascii="宋体" w:eastAsia="宋体" w:cs="宋体"/>
                <w:color w:val="000000" w:themeColor="text1"/>
                <w:szCs w:val="24"/>
              </w:rPr>
            </w:pPr>
          </w:p>
          <w:p w14:paraId="15F04B32">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广西建筑市场监管与诚信信息一体化平台系统自动统计在</w:t>
            </w:r>
            <w:r>
              <w:rPr>
                <w:rFonts w:hint="eastAsia" w:ascii="宋体" w:eastAsia="宋体" w:cs="宋体"/>
                <w:color w:val="000000" w:themeColor="text1"/>
                <w:szCs w:val="24"/>
              </w:rPr>
              <w:t>柳州</w:t>
            </w:r>
            <w:r>
              <w:rPr>
                <w:rFonts w:ascii="宋体" w:eastAsia="宋体" w:cs="宋体"/>
                <w:color w:val="000000" w:themeColor="text1"/>
                <w:szCs w:val="24"/>
              </w:rPr>
              <w:t>上一年度招标代理项目宗数排名前10名，且在本季度内无不良行为评价记录的代理企业</w:t>
            </w:r>
          </w:p>
          <w:p w14:paraId="00AA603B">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023B12D">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在</w:t>
            </w:r>
            <w:r>
              <w:rPr>
                <w:rFonts w:hint="eastAsia" w:ascii="宋体" w:eastAsia="宋体" w:cs="宋体"/>
                <w:color w:val="000000" w:themeColor="text1"/>
                <w:szCs w:val="24"/>
              </w:rPr>
              <w:t>柳州</w:t>
            </w:r>
            <w:r>
              <w:rPr>
                <w:rFonts w:ascii="宋体" w:eastAsia="宋体" w:cs="宋体"/>
                <w:color w:val="000000" w:themeColor="text1"/>
                <w:szCs w:val="24"/>
              </w:rPr>
              <w:t>上一年度累计招标代理项目宗数排名前10名，且本季度内公开招标代理项目无不良行为评价记录的</w:t>
            </w:r>
          </w:p>
          <w:p w14:paraId="2F07DBAB">
            <w:pPr>
              <w:pStyle w:val="5"/>
              <w:widowControl/>
              <w:wordWrap w:val="0"/>
              <w:spacing w:beforeAutospacing="1"/>
              <w:rPr>
                <w:rFonts w:ascii="宋体" w:eastAsia="宋体" w:cs="宋体"/>
                <w:color w:val="000000" w:themeColor="text1"/>
                <w:szCs w:val="24"/>
              </w:rPr>
            </w:pP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FC008C0">
            <w:pPr>
              <w:pStyle w:val="5"/>
              <w:widowControl/>
              <w:wordWrap w:val="0"/>
              <w:spacing w:beforeAutospacing="1" w:afterAutospacing="1"/>
              <w:jc w:val="center"/>
              <w:rPr>
                <w:rFonts w:ascii="Calibri" w:hAnsi="Calibri" w:eastAsia="宋体" w:cs="Times New Roman"/>
                <w:szCs w:val="24"/>
              </w:rPr>
            </w:pPr>
            <w:r>
              <w:rPr>
                <w:rFonts w:hint="eastAsia" w:ascii="Times New Roman" w:hAnsi="Times New Roman" w:eastAsia="微软雅黑" w:cs="Times New Roman"/>
                <w:szCs w:val="24"/>
              </w:rPr>
              <w:t>5</w:t>
            </w:r>
          </w:p>
        </w:tc>
      </w:tr>
      <w:tr w14:paraId="623F67E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331"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706943"/>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0343AC0"/>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B2BF08E"/>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D5856BC">
            <w:pPr>
              <w:pStyle w:val="5"/>
              <w:widowControl/>
              <w:wordWrap w:val="0"/>
              <w:spacing w:beforeAutospacing="1"/>
              <w:rPr>
                <w:rFonts w:ascii="宋体" w:eastAsia="宋体" w:cs="宋体"/>
                <w:color w:val="000000" w:themeColor="text1"/>
                <w:szCs w:val="24"/>
              </w:rPr>
            </w:pPr>
          </w:p>
          <w:p w14:paraId="060E9EB7">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通报</w:t>
            </w:r>
          </w:p>
          <w:p w14:paraId="742B4BA6">
            <w:pPr>
              <w:pStyle w:val="5"/>
              <w:widowControl/>
              <w:wordWrap w:val="0"/>
              <w:spacing w:beforeAutospacing="1"/>
              <w:rPr>
                <w:rFonts w:ascii="宋体" w:eastAsia="宋体" w:cs="宋体"/>
                <w:color w:val="000000" w:themeColor="text1"/>
                <w:szCs w:val="24"/>
              </w:rPr>
            </w:pPr>
          </w:p>
          <w:p w14:paraId="2CDC358D">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表彰</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CD6EE9C">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招标代理机构在广西建筑市场监管与诚信信息一体化平台中录入的证明文件</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B443719">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每次受到自治区住房城乡建设主管部门通报表彰得分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CBF9494">
            <w:pPr>
              <w:pStyle w:val="5"/>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4</w:t>
            </w:r>
          </w:p>
        </w:tc>
      </w:tr>
      <w:tr w14:paraId="7100BA09">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89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89FE576"/>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7D9B103"/>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2FE271B"/>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0AB320D">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2843216">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7E4098">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每次受到市住房城乡建设主管部门</w:t>
            </w:r>
            <w:r>
              <w:rPr>
                <w:rFonts w:hint="eastAsia" w:ascii="宋体" w:eastAsia="宋体" w:cs="宋体"/>
                <w:color w:val="000000" w:themeColor="text1"/>
                <w:szCs w:val="24"/>
              </w:rPr>
              <w:t>、行业监管部门</w:t>
            </w:r>
            <w:r>
              <w:rPr>
                <w:rFonts w:ascii="宋体" w:eastAsia="宋体" w:cs="宋体"/>
                <w:color w:val="000000" w:themeColor="text1"/>
                <w:szCs w:val="24"/>
              </w:rPr>
              <w:t>或自治区行业协会通报表彰得分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31E0339">
            <w:pPr>
              <w:pStyle w:val="5"/>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3</w:t>
            </w:r>
          </w:p>
        </w:tc>
      </w:tr>
      <w:tr w14:paraId="634D7B82">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4F0E7A8"/>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24BD963"/>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32D4921"/>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71D1E47">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5125B9">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3D3D214">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每次受到市级行业协会通报表彰得分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7FACE75">
            <w:pPr>
              <w:pStyle w:val="5"/>
              <w:widowControl/>
              <w:wordWrap w:val="0"/>
              <w:spacing w:beforeAutospacing="1" w:afterAutospacing="1"/>
              <w:jc w:val="center"/>
              <w:rPr>
                <w:rFonts w:ascii="Times New Roman" w:hAnsi="Times New Roman" w:eastAsia="微软雅黑" w:cs="Times New Roman"/>
                <w:color w:val="C00000"/>
                <w:szCs w:val="24"/>
              </w:rPr>
            </w:pPr>
            <w:r>
              <w:rPr>
                <w:rFonts w:hint="eastAsia" w:ascii="Times New Roman" w:hAnsi="Times New Roman" w:eastAsia="微软雅黑" w:cs="Times New Roman"/>
                <w:szCs w:val="24"/>
              </w:rPr>
              <w:t>1</w:t>
            </w:r>
          </w:p>
        </w:tc>
      </w:tr>
      <w:tr w14:paraId="760AD33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39"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575362D"/>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11C63D8"/>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7A1328F"/>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D6D1A77">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业务质量考评</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186396F">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上年度业务质量考评得分（“双随机</w:t>
            </w:r>
            <w:r>
              <w:rPr>
                <w:rFonts w:hint="eastAsia" w:ascii="宋体" w:eastAsia="宋体" w:cs="宋体"/>
                <w:color w:val="000000" w:themeColor="text1"/>
                <w:szCs w:val="24"/>
                <w:lang w:eastAsia="zh-CN"/>
              </w:rPr>
              <w:t>、</w:t>
            </w:r>
            <w:bookmarkStart w:id="2" w:name="_GoBack"/>
            <w:bookmarkEnd w:id="2"/>
            <w:r>
              <w:rPr>
                <w:rFonts w:hint="eastAsia" w:ascii="宋体" w:eastAsia="宋体" w:cs="宋体"/>
                <w:color w:val="000000" w:themeColor="text1"/>
                <w:szCs w:val="24"/>
              </w:rPr>
              <w:t>一公开”检查专家组评定，</w:t>
            </w:r>
            <w:r>
              <w:rPr>
                <w:rFonts w:ascii="宋体" w:eastAsia="宋体" w:cs="宋体"/>
                <w:color w:val="000000" w:themeColor="text1"/>
                <w:szCs w:val="24"/>
              </w:rPr>
              <w:t>见附件</w:t>
            </w:r>
            <w:r>
              <w:rPr>
                <w:rFonts w:hint="eastAsia" w:ascii="宋体" w:eastAsia="宋体" w:cs="宋体"/>
                <w:color w:val="000000" w:themeColor="text1"/>
                <w:szCs w:val="24"/>
              </w:rPr>
              <w:t>3）（满分3分）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0D5DEFE">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90分以上</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39EF7A3">
            <w:pPr>
              <w:widowControl/>
              <w:jc w:val="center"/>
              <w:rPr>
                <w:rFonts w:ascii="宋体" w:eastAsia="宋体" w:cs="宋体"/>
                <w:kern w:val="0"/>
                <w:sz w:val="24"/>
                <w:szCs w:val="32"/>
              </w:rPr>
            </w:pPr>
            <w:r>
              <w:rPr>
                <w:rFonts w:hint="eastAsia" w:ascii="宋体" w:cs="宋体"/>
                <w:kern w:val="0"/>
                <w:sz w:val="24"/>
                <w:szCs w:val="32"/>
              </w:rPr>
              <w:t>3</w:t>
            </w:r>
          </w:p>
        </w:tc>
      </w:tr>
      <w:tr w14:paraId="034B2C5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45"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56A5626"/>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A4969AE"/>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4F420FD"/>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A2BDAB">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559689D">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688B86F">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75分(含)-90分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6F53E05">
            <w:pPr>
              <w:widowControl/>
              <w:jc w:val="center"/>
              <w:rPr>
                <w:rFonts w:ascii="宋体" w:eastAsia="宋体" w:cs="宋体"/>
                <w:kern w:val="0"/>
                <w:sz w:val="24"/>
                <w:szCs w:val="32"/>
              </w:rPr>
            </w:pPr>
            <w:r>
              <w:rPr>
                <w:rFonts w:hint="eastAsia" w:ascii="宋体" w:cs="宋体"/>
                <w:kern w:val="0"/>
                <w:sz w:val="24"/>
                <w:szCs w:val="32"/>
              </w:rPr>
              <w:t>2</w:t>
            </w:r>
          </w:p>
        </w:tc>
      </w:tr>
      <w:tr w14:paraId="31F3408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7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3CA0CEA"/>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F892033"/>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2F35CD"/>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374FE03">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A025B08">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8511CE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60分(含)-75分</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26B7F95">
            <w:pPr>
              <w:widowControl/>
              <w:jc w:val="center"/>
              <w:rPr>
                <w:rFonts w:ascii="宋体" w:eastAsia="宋体" w:cs="宋体"/>
                <w:kern w:val="0"/>
                <w:sz w:val="24"/>
                <w:szCs w:val="32"/>
              </w:rPr>
            </w:pPr>
            <w:r>
              <w:rPr>
                <w:rFonts w:hint="eastAsia" w:ascii="宋体" w:cs="宋体"/>
                <w:kern w:val="0"/>
                <w:sz w:val="24"/>
                <w:szCs w:val="32"/>
              </w:rPr>
              <w:t>1</w:t>
            </w:r>
          </w:p>
        </w:tc>
      </w:tr>
      <w:tr w14:paraId="6D63992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27"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8E35B34"/>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8B062E3"/>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61372E8"/>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60305AC">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56570CF">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07768D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60分以下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AEC5667">
            <w:pPr>
              <w:widowControl/>
              <w:jc w:val="center"/>
              <w:rPr>
                <w:rFonts w:ascii="宋体" w:eastAsia="宋体" w:cs="宋体"/>
                <w:kern w:val="0"/>
                <w:sz w:val="24"/>
                <w:szCs w:val="32"/>
              </w:rPr>
            </w:pPr>
            <w:r>
              <w:rPr>
                <w:rFonts w:hint="eastAsia" w:ascii="宋体" w:cs="宋体"/>
                <w:kern w:val="0"/>
                <w:sz w:val="24"/>
                <w:szCs w:val="32"/>
              </w:rPr>
              <w:t>0</w:t>
            </w:r>
          </w:p>
        </w:tc>
      </w:tr>
      <w:tr w14:paraId="1F8612C7">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971"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6A8233C"/>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FDFA07F"/>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2A1ABBD"/>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F0C6DE4">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参加主管部门招标相关活动</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0B5BCF0">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招标代理机构在广西建筑市场监管与诚信信息一体化平台中录入的证明文件（行业招标监管部门）（满分2分）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CFC0723">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积极参加主管部门组织的范本（规章）编写、系统调试、检查、阅卷等，加0.5分/人次</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84FE163">
            <w:pPr>
              <w:pStyle w:val="5"/>
              <w:widowControl/>
              <w:wordWrap w:val="0"/>
              <w:spacing w:beforeAutospacing="1" w:afterAutospacing="1"/>
              <w:jc w:val="center"/>
              <w:rPr>
                <w:rFonts w:ascii="Times New Roman" w:hAnsi="Times New Roman" w:eastAsia="微软雅黑" w:cs="Times New Roman"/>
                <w:szCs w:val="24"/>
              </w:rPr>
            </w:pPr>
            <w:r>
              <w:rPr>
                <w:rFonts w:hint="eastAsia" w:ascii="Times New Roman" w:hAnsi="Times New Roman" w:eastAsia="微软雅黑" w:cs="Times New Roman"/>
                <w:szCs w:val="24"/>
              </w:rPr>
              <w:t>0.5X</w:t>
            </w:r>
          </w:p>
        </w:tc>
      </w:tr>
      <w:tr w14:paraId="204B6A2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F1A0C25"/>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361AB59"/>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092F355"/>
        </w:tc>
        <w:tc>
          <w:tcPr>
            <w:tcW w:w="855"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9C169D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所有代理项目被招标单位评定为优秀的比率</w:t>
            </w:r>
          </w:p>
        </w:tc>
        <w:tc>
          <w:tcPr>
            <w:tcW w:w="2382"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D30C11C">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招标单位在柳州招标管理系统对招标项目“一标一评”（</w:t>
            </w:r>
            <w:r>
              <w:rPr>
                <w:rFonts w:ascii="宋体" w:eastAsia="宋体" w:cs="宋体"/>
                <w:color w:val="000000" w:themeColor="text1"/>
                <w:szCs w:val="24"/>
              </w:rPr>
              <w:t>见附件</w:t>
            </w:r>
            <w:r>
              <w:rPr>
                <w:rFonts w:hint="eastAsia" w:ascii="宋体" w:eastAsia="宋体" w:cs="宋体"/>
                <w:color w:val="000000" w:themeColor="text1"/>
                <w:szCs w:val="24"/>
              </w:rPr>
              <w:t>4）（满分5分）</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3C2F60B">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85%(含)-100%</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BDD06D1">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w:t>
            </w:r>
          </w:p>
        </w:tc>
      </w:tr>
      <w:tr w14:paraId="60FDCDC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5E0A20"/>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652825B"/>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0F8E0E6"/>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9F1D970">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4BEF69B">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6B8524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75%(含)-85%</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CC19CCB">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4</w:t>
            </w:r>
          </w:p>
        </w:tc>
      </w:tr>
      <w:tr w14:paraId="7B2FFA15">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E36357"/>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9D5CF24"/>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7115B8D"/>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F8247EB">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8816FEA">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88AB9C2">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70%(含)-75%</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8D32E0B">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w:t>
            </w:r>
          </w:p>
        </w:tc>
      </w:tr>
      <w:tr w14:paraId="194764B7">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C4C0820"/>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0D532B"/>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D157F2F"/>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572FF0">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D2BA195">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1F45889">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65%(含)-70%</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CE1613">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w:t>
            </w:r>
          </w:p>
        </w:tc>
      </w:tr>
      <w:tr w14:paraId="662FFA7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803BA82"/>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F500528"/>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57E46F7"/>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07491BB">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2B593A">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63186BD">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60%(含)-65%</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9136A0A">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w:t>
            </w:r>
          </w:p>
        </w:tc>
      </w:tr>
      <w:tr w14:paraId="287DCB05">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40"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498A46D"/>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7B2F99"/>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846FE72"/>
        </w:tc>
        <w:tc>
          <w:tcPr>
            <w:tcW w:w="855"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ACDD00E">
            <w:pPr>
              <w:pStyle w:val="5"/>
              <w:widowControl/>
              <w:wordWrap w:val="0"/>
              <w:spacing w:beforeAutospacing="1"/>
              <w:rPr>
                <w:rFonts w:ascii="宋体" w:eastAsia="宋体" w:cs="宋体"/>
                <w:color w:val="000000" w:themeColor="text1"/>
                <w:szCs w:val="24"/>
              </w:rPr>
            </w:pPr>
          </w:p>
        </w:tc>
        <w:tc>
          <w:tcPr>
            <w:tcW w:w="238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D722DF6">
            <w:pPr>
              <w:pStyle w:val="5"/>
              <w:widowControl/>
              <w:wordWrap w:val="0"/>
              <w:spacing w:beforeAutospacing="1"/>
              <w:rPr>
                <w:rFonts w:ascii="宋体" w:eastAsia="宋体" w:cs="宋体"/>
                <w:color w:val="000000" w:themeColor="text1"/>
                <w:szCs w:val="24"/>
              </w:rPr>
            </w:pP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4DDDEBE">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60%以下</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D7EEA07">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0</w:t>
            </w:r>
          </w:p>
        </w:tc>
      </w:tr>
      <w:tr w14:paraId="0CBB8DD2">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438" w:hRule="atLeast"/>
          <w:tblCellSpacing w:w="0" w:type="dxa"/>
          <w:jc w:val="center"/>
        </w:trPr>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B0A7F29"/>
        </w:tc>
        <w:tc>
          <w:tcPr>
            <w:tcW w:w="644"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6E8AD12"/>
        </w:tc>
        <w:tc>
          <w:tcPr>
            <w:tcW w:w="562"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6B2A3D3"/>
        </w:tc>
        <w:tc>
          <w:tcPr>
            <w:tcW w:w="855"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D6BFAE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不良行为评价（扣分项，如有则分）</w:t>
            </w:r>
          </w:p>
        </w:tc>
        <w:tc>
          <w:tcPr>
            <w:tcW w:w="2382"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E2E1AF5">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各级住房城乡建设主管部门</w:t>
            </w:r>
            <w:r>
              <w:rPr>
                <w:rFonts w:hint="eastAsia" w:ascii="宋体" w:eastAsia="宋体" w:cs="宋体"/>
                <w:color w:val="000000" w:themeColor="text1"/>
                <w:szCs w:val="24"/>
              </w:rPr>
              <w:t>（招标行业监管部门）、</w:t>
            </w:r>
            <w:r>
              <w:rPr>
                <w:rFonts w:ascii="宋体" w:eastAsia="宋体" w:cs="宋体"/>
                <w:color w:val="000000" w:themeColor="text1"/>
                <w:szCs w:val="24"/>
              </w:rPr>
              <w:t>公共资源交易</w:t>
            </w:r>
            <w:r>
              <w:rPr>
                <w:rFonts w:hint="eastAsia" w:ascii="宋体" w:eastAsia="宋体" w:cs="宋体"/>
                <w:color w:val="000000" w:themeColor="text1"/>
                <w:szCs w:val="24"/>
              </w:rPr>
              <w:t>中心或招标单位</w:t>
            </w:r>
            <w:r>
              <w:rPr>
                <w:rFonts w:ascii="宋体" w:eastAsia="宋体" w:cs="宋体"/>
                <w:color w:val="000000" w:themeColor="text1"/>
                <w:szCs w:val="24"/>
              </w:rPr>
              <w:t>评价</w:t>
            </w:r>
          </w:p>
        </w:tc>
        <w:tc>
          <w:tcPr>
            <w:tcW w:w="264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8A04627">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企业在承接房屋建筑和市政基础设施工程项目招标代理业务过程中，受到各级住房城乡建设主管部门</w:t>
            </w:r>
            <w:r>
              <w:rPr>
                <w:rFonts w:hint="eastAsia" w:ascii="宋体" w:eastAsia="宋体" w:cs="宋体"/>
                <w:color w:val="000000" w:themeColor="text1"/>
                <w:szCs w:val="24"/>
              </w:rPr>
              <w:t>（招标行业监管部门）、</w:t>
            </w:r>
            <w:r>
              <w:rPr>
                <w:rFonts w:ascii="宋体" w:eastAsia="宋体" w:cs="宋体"/>
                <w:color w:val="000000" w:themeColor="text1"/>
                <w:szCs w:val="24"/>
              </w:rPr>
              <w:t>公共资源交易</w:t>
            </w:r>
            <w:r>
              <w:rPr>
                <w:rFonts w:hint="eastAsia" w:ascii="宋体" w:eastAsia="宋体" w:cs="宋体"/>
                <w:color w:val="000000" w:themeColor="text1"/>
                <w:szCs w:val="24"/>
              </w:rPr>
              <w:t>中心或招标单位</w:t>
            </w:r>
            <w:r>
              <w:rPr>
                <w:rFonts w:ascii="宋体" w:eastAsia="宋体" w:cs="宋体"/>
                <w:color w:val="000000" w:themeColor="text1"/>
                <w:szCs w:val="24"/>
              </w:rPr>
              <w:t>不良行为评价</w:t>
            </w:r>
          </w:p>
        </w:tc>
        <w:tc>
          <w:tcPr>
            <w:tcW w:w="923"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CAB1BD2">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不良行为扣分标准详见附件2</w:t>
            </w:r>
          </w:p>
        </w:tc>
      </w:tr>
    </w:tbl>
    <w:p w14:paraId="04FA508D">
      <w:pPr>
        <w:jc w:val="left"/>
        <w:rPr>
          <w:rFonts w:ascii="Times New Roman" w:hAnsi="Times New Roman" w:eastAsia="黑体" w:cs="Times New Roman"/>
          <w:sz w:val="32"/>
          <w:szCs w:val="32"/>
        </w:rPr>
      </w:pPr>
    </w:p>
    <w:p w14:paraId="4D6829D9">
      <w:pPr>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附件2</w:t>
      </w:r>
    </w:p>
    <w:p w14:paraId="4A2421A7">
      <w:pPr>
        <w:jc w:val="center"/>
        <w:rPr>
          <w:rFonts w:ascii="黑体" w:eastAsia="黑体"/>
          <w:color w:val="000000"/>
          <w:sz w:val="32"/>
          <w:szCs w:val="32"/>
        </w:rPr>
      </w:pPr>
      <w:r>
        <w:rPr>
          <w:rFonts w:hint="eastAsia" w:ascii="黑体" w:eastAsia="黑体"/>
          <w:color w:val="000000"/>
          <w:sz w:val="32"/>
          <w:szCs w:val="32"/>
        </w:rPr>
        <w:t>柳州市</w:t>
      </w:r>
      <w:r>
        <w:rPr>
          <w:rFonts w:ascii="黑体" w:eastAsia="黑体"/>
          <w:color w:val="000000"/>
          <w:sz w:val="32"/>
          <w:szCs w:val="32"/>
        </w:rPr>
        <w:t>招标代理机构不良行为扣分表</w:t>
      </w:r>
    </w:p>
    <w:tbl>
      <w:tblPr>
        <w:tblStyle w:val="6"/>
        <w:tblW w:w="8628" w:type="dxa"/>
        <w:jc w:val="center"/>
        <w:tblCellSpacing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Layout w:type="fixed"/>
        <w:tblCellMar>
          <w:top w:w="105" w:type="dxa"/>
          <w:left w:w="105" w:type="dxa"/>
          <w:bottom w:w="105" w:type="dxa"/>
          <w:right w:w="105" w:type="dxa"/>
        </w:tblCellMar>
      </w:tblPr>
      <w:tblGrid>
        <w:gridCol w:w="1076"/>
        <w:gridCol w:w="5711"/>
        <w:gridCol w:w="1020"/>
        <w:gridCol w:w="821"/>
      </w:tblGrid>
      <w:tr w14:paraId="0A243CED">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881" w:hRule="atLeast"/>
          <w:tblHeader/>
          <w:tblCellSpacing w:w="0" w:type="dxa"/>
          <w:jc w:val="center"/>
        </w:trPr>
        <w:tc>
          <w:tcPr>
            <w:tcW w:w="1076" w:type="dxa"/>
            <w:tcBorders>
              <w:top w:val="single" w:color="auto" w:sz="4" w:space="0"/>
              <w:left w:val="single" w:color="CCCCCC" w:sz="6" w:space="0"/>
              <w:bottom w:val="single" w:color="auto" w:sz="4" w:space="0"/>
              <w:right w:val="single" w:color="auto" w:sz="4" w:space="0"/>
            </w:tcBorders>
            <w:tcMar>
              <w:top w:w="75" w:type="dxa"/>
              <w:left w:w="120" w:type="dxa"/>
              <w:bottom w:w="75" w:type="dxa"/>
              <w:right w:w="120" w:type="dxa"/>
            </w:tcMar>
            <w:vAlign w:val="center"/>
          </w:tcPr>
          <w:p w14:paraId="0745355A">
            <w:pPr>
              <w:pStyle w:val="5"/>
              <w:widowControl/>
              <w:wordWrap w:val="0"/>
              <w:spacing w:beforeAutospacing="1" w:line="320" w:lineRule="exact"/>
              <w:jc w:val="center"/>
              <w:rPr>
                <w:rFonts w:ascii="cursive" w:hAnsi="cursive" w:eastAsia="cursive" w:cs="cursive"/>
                <w:b/>
                <w:bCs/>
                <w:szCs w:val="24"/>
              </w:rPr>
            </w:pPr>
            <w:r>
              <w:rPr>
                <w:rFonts w:ascii="cursive" w:hAnsi="cursive" w:eastAsia="cursive" w:cs="cursive"/>
                <w:b/>
                <w:bCs/>
                <w:szCs w:val="24"/>
              </w:rPr>
              <w:t>不良行为性质</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A2EBAEF">
            <w:pPr>
              <w:pStyle w:val="5"/>
              <w:widowControl/>
              <w:wordWrap w:val="0"/>
              <w:spacing w:beforeAutospacing="1" w:line="320" w:lineRule="exact"/>
              <w:jc w:val="center"/>
              <w:rPr>
                <w:rFonts w:ascii="cursive" w:hAnsi="cursive" w:eastAsia="cursive" w:cs="cursive"/>
                <w:b/>
                <w:bCs/>
                <w:szCs w:val="24"/>
              </w:rPr>
            </w:pPr>
            <w:r>
              <w:rPr>
                <w:rFonts w:ascii="cursive" w:hAnsi="cursive" w:eastAsia="cursive" w:cs="cursive"/>
                <w:b/>
                <w:bCs/>
                <w:szCs w:val="24"/>
              </w:rPr>
              <w:t>不良行为表现</w:t>
            </w:r>
          </w:p>
        </w:tc>
        <w:tc>
          <w:tcPr>
            <w:tcW w:w="1020"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4E58FC6">
            <w:pPr>
              <w:pStyle w:val="5"/>
              <w:widowControl/>
              <w:wordWrap w:val="0"/>
              <w:spacing w:beforeAutospacing="1" w:line="320" w:lineRule="exact"/>
              <w:jc w:val="center"/>
              <w:rPr>
                <w:rFonts w:ascii="cursive" w:hAnsi="cursive" w:eastAsia="cursive" w:cs="cursive"/>
                <w:b/>
                <w:bCs/>
                <w:szCs w:val="24"/>
              </w:rPr>
            </w:pPr>
            <w:r>
              <w:rPr>
                <w:rFonts w:ascii="cursive" w:hAnsi="cursive" w:eastAsia="cursive" w:cs="cursive"/>
                <w:b/>
                <w:bCs/>
                <w:szCs w:val="24"/>
              </w:rPr>
              <w:t>不良行为录入部门</w:t>
            </w:r>
          </w:p>
        </w:tc>
        <w:tc>
          <w:tcPr>
            <w:tcW w:w="82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C675925">
            <w:pPr>
              <w:pStyle w:val="5"/>
              <w:widowControl/>
              <w:wordWrap w:val="0"/>
              <w:spacing w:beforeAutospacing="1" w:line="320" w:lineRule="exact"/>
              <w:jc w:val="center"/>
              <w:rPr>
                <w:b/>
                <w:bCs/>
                <w:szCs w:val="24"/>
              </w:rPr>
            </w:pPr>
            <w:r>
              <w:rPr>
                <w:rFonts w:ascii="cursive" w:hAnsi="cursive" w:eastAsia="cursive" w:cs="cursive"/>
                <w:b/>
                <w:bCs/>
                <w:szCs w:val="24"/>
              </w:rPr>
              <w:t>扣分处理标准</w:t>
            </w:r>
          </w:p>
        </w:tc>
      </w:tr>
      <w:tr w14:paraId="62E0704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887"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229C1AD">
            <w:pPr>
              <w:pStyle w:val="5"/>
              <w:widowControl/>
              <w:wordWrap w:val="0"/>
              <w:spacing w:beforeAutospacing="1" w:afterAutospacing="1"/>
              <w:jc w:val="center"/>
              <w:rPr>
                <w:szCs w:val="24"/>
              </w:rPr>
            </w:pPr>
            <w:r>
              <w:rPr>
                <w:rFonts w:ascii="cursive" w:hAnsi="cursive" w:eastAsia="cursive" w:cs="cursive"/>
                <w:b/>
                <w:bCs/>
                <w:szCs w:val="24"/>
              </w:rPr>
              <w:t>（一）严重违反招标投标法律法规行为</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3E7218A">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1.违反法律、法规或招标文件规定，在投标截止时间后允许投标人撤换或修改投标文件的。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343B29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各级住房城乡建设主管部门或行业监管部门</w:t>
            </w: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D16A25D">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每发生1次扣30分</w:t>
            </w:r>
          </w:p>
        </w:tc>
      </w:tr>
      <w:tr w14:paraId="0036D127">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97"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4E06A76"/>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FA1F96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2．没有依照项目审批部门明确的招标方式进行招标。</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CE00EE2">
            <w:pPr>
              <w:pStyle w:val="5"/>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81B9E01">
            <w:pPr>
              <w:pStyle w:val="5"/>
              <w:widowControl/>
              <w:wordWrap w:val="0"/>
              <w:spacing w:beforeAutospacing="1"/>
              <w:rPr>
                <w:rFonts w:ascii="宋体" w:eastAsia="宋体" w:cs="宋体"/>
                <w:color w:val="000000" w:themeColor="text1"/>
                <w:szCs w:val="24"/>
              </w:rPr>
            </w:pPr>
          </w:p>
        </w:tc>
      </w:tr>
      <w:tr w14:paraId="0ED1371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9663BF9"/>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79A0D9E">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3．违反法律、法规或招标文件规定，逾期接收投标文件。</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9039A48">
            <w:pPr>
              <w:pStyle w:val="5"/>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115AD11">
            <w:pPr>
              <w:pStyle w:val="5"/>
              <w:widowControl/>
              <w:wordWrap w:val="0"/>
              <w:spacing w:beforeAutospacing="1"/>
              <w:rPr>
                <w:rFonts w:ascii="宋体" w:eastAsia="宋体" w:cs="宋体"/>
                <w:color w:val="000000" w:themeColor="text1"/>
                <w:szCs w:val="24"/>
              </w:rPr>
            </w:pPr>
          </w:p>
        </w:tc>
      </w:tr>
      <w:tr w14:paraId="63F21CD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F8C04B2"/>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FFFCE57">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4.在同一房屋建筑和市政基础设施工程招标投标活动中，既为招标人提供招标代理服务又为参加该项目投标人提供投标咨询。</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EFE9531">
            <w:pPr>
              <w:pStyle w:val="5"/>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A863DC6">
            <w:pPr>
              <w:pStyle w:val="5"/>
              <w:widowControl/>
              <w:wordWrap w:val="0"/>
              <w:spacing w:beforeAutospacing="1"/>
              <w:rPr>
                <w:rFonts w:ascii="宋体" w:eastAsia="宋体" w:cs="宋体"/>
                <w:color w:val="000000" w:themeColor="text1"/>
                <w:szCs w:val="24"/>
              </w:rPr>
            </w:pPr>
          </w:p>
        </w:tc>
      </w:tr>
      <w:tr w14:paraId="32F886F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9558F23"/>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3C385E8">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5.泄露应当保密的对投标文件的评审和比较、中标候选人的推荐以及与招投标活动有关的其他情况和资料。</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3796216">
            <w:pPr>
              <w:pStyle w:val="5"/>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8AC02B9">
            <w:pPr>
              <w:pStyle w:val="5"/>
              <w:widowControl/>
              <w:wordWrap w:val="0"/>
              <w:spacing w:beforeAutospacing="1"/>
              <w:rPr>
                <w:rFonts w:ascii="宋体" w:eastAsia="宋体" w:cs="宋体"/>
                <w:color w:val="000000" w:themeColor="text1"/>
                <w:szCs w:val="24"/>
              </w:rPr>
            </w:pPr>
          </w:p>
        </w:tc>
      </w:tr>
      <w:tr w14:paraId="28192C7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180"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72F838C"/>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4EB4C98">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6.在工作检查中无正当理由拒绝接受住房城乡建设主管部门开展的工作业务调查、工作检查等或在调查、工作检查中隐瞒有关情况或提供虚假材料的。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B938888">
            <w:pPr>
              <w:pStyle w:val="5"/>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3B71D30">
            <w:pPr>
              <w:pStyle w:val="5"/>
              <w:widowControl/>
              <w:wordWrap w:val="0"/>
              <w:spacing w:beforeAutospacing="1"/>
              <w:rPr>
                <w:rFonts w:ascii="宋体" w:eastAsia="宋体" w:cs="宋体"/>
                <w:color w:val="000000" w:themeColor="text1"/>
                <w:szCs w:val="24"/>
              </w:rPr>
            </w:pPr>
          </w:p>
        </w:tc>
      </w:tr>
      <w:tr w14:paraId="206D745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4179"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DD22A3"/>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20743FE">
            <w:pPr>
              <w:pStyle w:val="5"/>
              <w:widowControl/>
              <w:numPr>
                <w:ilvl w:val="0"/>
                <w:numId w:val="1"/>
              </w:numPr>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因房建、市政基础设施项目以下招标行为受到行政处罚的。（1）在从事招标代理活动中，帮助招标人必须招标的项目而不招标，将必须进行招标的项目化整为零或者以其他任何方式规避招标的，单位直接负责主管人员或其他直接责任人员违法受到刑事处分的（以法院判决书为依据）。（2）协助招标项目的各方当事人实施违法行为，受到行政处罚或刑事处分的。（以行政部门处罚文件或法院判决书为依据）（3）采用弄虚作假、行贿等不正当手段承接招标代理业务的。（以行政部门处罚文件为依据）</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985C36">
            <w:pPr>
              <w:pStyle w:val="5"/>
              <w:widowControl/>
              <w:wordWrap w:val="0"/>
              <w:spacing w:beforeAutospacing="1"/>
              <w:rPr>
                <w:rFonts w:ascii="宋体" w:eastAsia="宋体" w:cs="宋体"/>
                <w:color w:val="000000" w:themeColor="text1"/>
                <w:szCs w:val="24"/>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AF16FB4">
            <w:pPr>
              <w:pStyle w:val="5"/>
              <w:widowControl/>
              <w:wordWrap w:val="0"/>
              <w:spacing w:beforeAutospacing="1"/>
              <w:rPr>
                <w:rFonts w:ascii="宋体" w:eastAsia="宋体" w:cs="宋体"/>
                <w:color w:val="000000" w:themeColor="text1"/>
                <w:szCs w:val="24"/>
              </w:rPr>
            </w:pPr>
          </w:p>
        </w:tc>
      </w:tr>
      <w:tr w14:paraId="2E36F3C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232"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AB6FF8">
            <w:pPr>
              <w:pStyle w:val="5"/>
              <w:widowControl/>
              <w:wordWrap w:val="0"/>
              <w:spacing w:beforeAutospacing="1" w:afterAutospacing="1"/>
              <w:jc w:val="center"/>
              <w:rPr>
                <w:rFonts w:eastAsia="宋体"/>
                <w:szCs w:val="24"/>
              </w:rPr>
            </w:pPr>
            <w:r>
              <w:rPr>
                <w:rFonts w:ascii="cursive" w:hAnsi="cursive" w:eastAsia="cursive" w:cs="cursive"/>
                <w:b/>
                <w:bCs/>
                <w:szCs w:val="24"/>
              </w:rPr>
              <w:t>（</w:t>
            </w:r>
            <w:r>
              <w:rPr>
                <w:rFonts w:hint="eastAsia" w:ascii="cursive" w:hAnsi="cursive" w:cs="cursive"/>
                <w:b/>
                <w:bCs/>
                <w:szCs w:val="24"/>
              </w:rPr>
              <w:t>二</w:t>
            </w:r>
            <w:r>
              <w:rPr>
                <w:rFonts w:ascii="cursive" w:hAnsi="cursive" w:eastAsia="cursive" w:cs="cursive"/>
                <w:b/>
                <w:bCs/>
                <w:szCs w:val="24"/>
              </w:rPr>
              <w:t>）</w:t>
            </w:r>
            <w:r>
              <w:rPr>
                <w:rFonts w:hint="eastAsia"/>
                <w:b/>
                <w:bCs/>
                <w:szCs w:val="24"/>
              </w:rPr>
              <w:t>严重不规范行为</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A020FC4">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1．发生下列情形之一，导致不能或没有按招标文件的规定开标或评标，对中标结果造成实质性影响，且不能采取补救措施予以纠正，最终造成招标、投标、中标无效的：</w:t>
            </w:r>
          </w:p>
          <w:p w14:paraId="371998DF">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（1）投标截止时间前，无合理理由拒绝接收已经按招标文件规定密封合格的投标文件的；</w:t>
            </w:r>
          </w:p>
          <w:p w14:paraId="5BDEE985">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（2）组织评标时，提供给评标委员会评标所使用的招标文件与发出的招标文件不一致的；</w:t>
            </w:r>
          </w:p>
          <w:p w14:paraId="066BDC89">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（3）在评标过程中暗示评委或干扰评委评标等不当行为，致使评标不能客观公正的；</w:t>
            </w:r>
          </w:p>
          <w:p w14:paraId="45FA238D">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（4）在项目开标过程中，对投标人针对开标过程提出的异议不予解释澄清，导致项目不能正常进行的；</w:t>
            </w:r>
          </w:p>
          <w:p w14:paraId="59688E18">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（5）在项目评标过程中，对评标专家针对招标文件内容提出的询问不予解释澄清，导致项目不能正常进行的；</w:t>
            </w:r>
          </w:p>
          <w:p w14:paraId="7EA0A5A2">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（6）因编制的招标文件错漏或前后条款矛盾而导致开标、评标活动无法执行的；</w:t>
            </w:r>
          </w:p>
          <w:p w14:paraId="6A99C21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（7）在招标投标活动中出现群体事件等异常情况，未及时向相关监管部门反映或拒绝配合相关部门加以制止的；</w:t>
            </w:r>
          </w:p>
          <w:p w14:paraId="123F13D5">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（8）超越委托代理权限擅自以招标人名义作为的；</w:t>
            </w:r>
          </w:p>
          <w:p w14:paraId="39AD9F42">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（9）因招标代理的工作失误导致招标工作需要重新组织招投标的；</w:t>
            </w:r>
          </w:p>
          <w:p w14:paraId="2E0C6B38">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（10）不服从交易中心工作人员管理，威胁、恐吓监督人员及相关工作人员的，导致影响其招标工作正常开展，并经交易中心书面核实确认的；</w:t>
            </w:r>
          </w:p>
          <w:p w14:paraId="18E1AA33">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（11）在开标时发现不同投标人的投标资料（包括电子资料）相互混装等情形而不报告监管部门的。</w:t>
            </w:r>
          </w:p>
          <w:p w14:paraId="7271EC18">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（12）发现有由同一人或存在利益关系的几个利害关系人携带两个以上（含两个）投标人的企业资料参与领取招标资料，或代表两个以上（含两个）投标人缴纳或退还投标保证金、开标等情形而不报告监管部门。</w:t>
            </w:r>
          </w:p>
          <w:p w14:paraId="3B7F7F2E">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（13）其他经主管部门认定由于招标代理机构在开评标过程中严重违反招投标程序、规定的行为导致招标、投标、中标无效的。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AB4880D">
            <w:pPr>
              <w:pStyle w:val="5"/>
              <w:widowControl/>
              <w:wordWrap w:val="0"/>
              <w:spacing w:beforeAutospacing="1"/>
              <w:rPr>
                <w:rFonts w:ascii="宋体" w:eastAsia="宋体" w:cs="宋体"/>
                <w:color w:val="000000" w:themeColor="text1"/>
                <w:szCs w:val="24"/>
              </w:rPr>
            </w:pPr>
            <w:bookmarkStart w:id="0" w:name="_Hlk48663296"/>
            <w:bookmarkEnd w:id="0"/>
          </w:p>
          <w:p w14:paraId="096701CF">
            <w:pPr>
              <w:pStyle w:val="5"/>
              <w:widowControl/>
              <w:wordWrap w:val="0"/>
              <w:spacing w:beforeAutospacing="1"/>
              <w:rPr>
                <w:rFonts w:ascii="宋体" w:eastAsia="宋体" w:cs="宋体"/>
                <w:color w:val="000000" w:themeColor="text1"/>
                <w:szCs w:val="24"/>
              </w:rPr>
            </w:pPr>
          </w:p>
          <w:p w14:paraId="1689239A">
            <w:pPr>
              <w:pStyle w:val="5"/>
              <w:widowControl/>
              <w:wordWrap w:val="0"/>
              <w:spacing w:beforeAutospacing="1"/>
              <w:rPr>
                <w:rFonts w:ascii="宋体" w:eastAsia="宋体" w:cs="宋体"/>
                <w:color w:val="000000" w:themeColor="text1"/>
                <w:szCs w:val="24"/>
              </w:rPr>
            </w:pPr>
          </w:p>
          <w:p w14:paraId="6865DAA5">
            <w:pPr>
              <w:pStyle w:val="5"/>
              <w:widowControl/>
              <w:wordWrap w:val="0"/>
              <w:spacing w:beforeAutospacing="1"/>
              <w:rPr>
                <w:rFonts w:ascii="宋体" w:eastAsia="宋体" w:cs="宋体"/>
                <w:color w:val="000000" w:themeColor="text1"/>
                <w:szCs w:val="24"/>
              </w:rPr>
            </w:pPr>
            <w:r>
              <w:rPr>
                <w:rFonts w:ascii="宋体" w:eastAsia="宋体" w:cs="宋体"/>
                <w:color w:val="000000" w:themeColor="text1"/>
                <w:szCs w:val="24"/>
              </w:rPr>
              <w:t>各级住房城乡建设主管部门</w:t>
            </w:r>
            <w:r>
              <w:rPr>
                <w:rFonts w:hint="eastAsia" w:ascii="宋体" w:eastAsia="宋体" w:cs="宋体"/>
                <w:color w:val="000000" w:themeColor="text1"/>
                <w:szCs w:val="24"/>
              </w:rPr>
              <w:t>、行业监管部门、市政管办、各级交易中心</w:t>
            </w: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3FF91A7">
            <w:pPr>
              <w:pStyle w:val="5"/>
              <w:widowControl/>
              <w:wordWrap w:val="0"/>
              <w:spacing w:beforeAutospacing="1"/>
              <w:rPr>
                <w:rFonts w:ascii="宋体" w:eastAsia="宋体" w:cs="宋体"/>
                <w:color w:val="000000" w:themeColor="text1"/>
                <w:szCs w:val="24"/>
              </w:rPr>
            </w:pPr>
          </w:p>
          <w:p w14:paraId="749058CE">
            <w:pPr>
              <w:pStyle w:val="5"/>
              <w:widowControl/>
              <w:wordWrap w:val="0"/>
              <w:spacing w:beforeAutospacing="1"/>
              <w:rPr>
                <w:rFonts w:ascii="宋体" w:eastAsia="宋体" w:cs="宋体"/>
                <w:color w:val="000000" w:themeColor="text1"/>
                <w:szCs w:val="24"/>
              </w:rPr>
            </w:pPr>
          </w:p>
          <w:p w14:paraId="4EF10FB5">
            <w:pPr>
              <w:pStyle w:val="5"/>
              <w:widowControl/>
              <w:wordWrap w:val="0"/>
              <w:spacing w:beforeAutospacing="1"/>
              <w:rPr>
                <w:rFonts w:ascii="宋体" w:eastAsia="宋体" w:cs="宋体"/>
                <w:color w:val="000000" w:themeColor="text1"/>
                <w:szCs w:val="24"/>
              </w:rPr>
            </w:pPr>
          </w:p>
          <w:p w14:paraId="2EA0A5E1">
            <w:pPr>
              <w:pStyle w:val="5"/>
              <w:widowControl/>
              <w:wordWrap w:val="0"/>
              <w:spacing w:beforeAutospacing="1"/>
              <w:rPr>
                <w:rFonts w:ascii="宋体" w:eastAsia="宋体" w:cs="宋体"/>
                <w:color w:val="000000" w:themeColor="text1"/>
                <w:szCs w:val="24"/>
              </w:rPr>
            </w:pPr>
          </w:p>
          <w:p w14:paraId="746F4D5E">
            <w:pPr>
              <w:pStyle w:val="5"/>
              <w:widowControl/>
              <w:wordWrap w:val="0"/>
              <w:spacing w:beforeAutospacing="1"/>
              <w:rPr>
                <w:rFonts w:ascii="宋体" w:eastAsia="宋体" w:cs="宋体"/>
                <w:color w:val="000000" w:themeColor="text1"/>
                <w:szCs w:val="24"/>
              </w:rPr>
            </w:pPr>
          </w:p>
          <w:p w14:paraId="26A4AB92">
            <w:pPr>
              <w:pStyle w:val="5"/>
              <w:widowControl/>
              <w:wordWrap w:val="0"/>
              <w:spacing w:beforeAutospacing="1"/>
              <w:rPr>
                <w:rFonts w:ascii="宋体" w:eastAsia="宋体" w:cs="宋体"/>
                <w:color w:val="000000" w:themeColor="text1"/>
                <w:szCs w:val="24"/>
              </w:rPr>
            </w:pPr>
          </w:p>
          <w:p w14:paraId="3AAF10C8">
            <w:pPr>
              <w:pStyle w:val="5"/>
              <w:widowControl/>
              <w:wordWrap w:val="0"/>
              <w:spacing w:beforeAutospacing="1"/>
              <w:rPr>
                <w:rFonts w:ascii="宋体" w:eastAsia="宋体" w:cs="宋体"/>
                <w:color w:val="000000" w:themeColor="text1"/>
                <w:szCs w:val="24"/>
              </w:rPr>
            </w:pPr>
          </w:p>
          <w:p w14:paraId="6BA894E3">
            <w:pPr>
              <w:pStyle w:val="5"/>
              <w:widowControl/>
              <w:wordWrap w:val="0"/>
              <w:spacing w:beforeAutospacing="1"/>
              <w:rPr>
                <w:rFonts w:ascii="宋体" w:eastAsia="宋体" w:cs="宋体"/>
                <w:color w:val="000000" w:themeColor="text1"/>
                <w:szCs w:val="24"/>
              </w:rPr>
            </w:pPr>
          </w:p>
          <w:p w14:paraId="01B9B062">
            <w:pPr>
              <w:pStyle w:val="5"/>
              <w:widowControl/>
              <w:wordWrap w:val="0"/>
              <w:spacing w:beforeAutospacing="1"/>
              <w:rPr>
                <w:rFonts w:ascii="宋体" w:eastAsia="宋体" w:cs="宋体"/>
                <w:color w:val="000000" w:themeColor="text1"/>
                <w:szCs w:val="24"/>
              </w:rPr>
            </w:pPr>
          </w:p>
          <w:p w14:paraId="1A4A4A13">
            <w:pPr>
              <w:pStyle w:val="5"/>
              <w:widowControl/>
              <w:wordWrap w:val="0"/>
              <w:spacing w:beforeAutospacing="1"/>
              <w:rPr>
                <w:rFonts w:ascii="宋体" w:eastAsia="宋体" w:cs="宋体"/>
                <w:color w:val="000000" w:themeColor="text1"/>
                <w:szCs w:val="24"/>
              </w:rPr>
            </w:pPr>
          </w:p>
          <w:p w14:paraId="3523C31C">
            <w:pPr>
              <w:pStyle w:val="5"/>
              <w:widowControl/>
              <w:wordWrap w:val="0"/>
              <w:spacing w:beforeAutospacing="1"/>
              <w:rPr>
                <w:rFonts w:ascii="宋体" w:eastAsia="宋体" w:cs="宋体"/>
                <w:color w:val="000000" w:themeColor="text1"/>
                <w:szCs w:val="24"/>
              </w:rPr>
            </w:pPr>
          </w:p>
          <w:p w14:paraId="21C6FB73">
            <w:pPr>
              <w:pStyle w:val="5"/>
              <w:widowControl/>
              <w:wordWrap w:val="0"/>
              <w:spacing w:beforeAutospacing="1"/>
              <w:rPr>
                <w:rFonts w:ascii="宋体" w:eastAsia="宋体" w:cs="宋体"/>
                <w:color w:val="000000" w:themeColor="text1"/>
                <w:szCs w:val="24"/>
              </w:rPr>
            </w:pPr>
          </w:p>
          <w:p w14:paraId="049DCD4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每发生1次扣10分</w:t>
            </w:r>
          </w:p>
          <w:p w14:paraId="476F6897">
            <w:pPr>
              <w:pStyle w:val="5"/>
              <w:widowControl/>
              <w:wordWrap w:val="0"/>
              <w:spacing w:beforeAutospacing="1"/>
              <w:rPr>
                <w:rFonts w:ascii="宋体" w:eastAsia="宋体" w:cs="宋体"/>
                <w:color w:val="000000" w:themeColor="text1"/>
                <w:szCs w:val="24"/>
              </w:rPr>
            </w:pPr>
          </w:p>
          <w:p w14:paraId="10792870">
            <w:pPr>
              <w:pStyle w:val="5"/>
              <w:widowControl/>
              <w:wordWrap w:val="0"/>
              <w:spacing w:beforeAutospacing="1"/>
              <w:rPr>
                <w:rFonts w:ascii="宋体" w:eastAsia="宋体" w:cs="宋体"/>
                <w:color w:val="000000" w:themeColor="text1"/>
                <w:szCs w:val="24"/>
              </w:rPr>
            </w:pPr>
          </w:p>
          <w:p w14:paraId="1B5D8D46">
            <w:pPr>
              <w:pStyle w:val="5"/>
              <w:widowControl/>
              <w:wordWrap w:val="0"/>
              <w:spacing w:beforeAutospacing="1"/>
              <w:rPr>
                <w:rFonts w:ascii="宋体" w:eastAsia="宋体" w:cs="宋体"/>
                <w:color w:val="000000" w:themeColor="text1"/>
                <w:szCs w:val="24"/>
              </w:rPr>
            </w:pPr>
          </w:p>
          <w:p w14:paraId="39D75E46">
            <w:pPr>
              <w:pStyle w:val="5"/>
              <w:widowControl/>
              <w:wordWrap w:val="0"/>
              <w:spacing w:beforeAutospacing="1"/>
              <w:rPr>
                <w:rFonts w:ascii="宋体" w:eastAsia="宋体" w:cs="宋体"/>
                <w:color w:val="000000" w:themeColor="text1"/>
                <w:szCs w:val="24"/>
              </w:rPr>
            </w:pPr>
          </w:p>
          <w:p w14:paraId="06E777FD">
            <w:pPr>
              <w:pStyle w:val="5"/>
              <w:widowControl/>
              <w:wordWrap w:val="0"/>
              <w:spacing w:beforeAutospacing="1"/>
              <w:rPr>
                <w:rFonts w:ascii="宋体" w:eastAsia="宋体" w:cs="宋体"/>
                <w:color w:val="000000" w:themeColor="text1"/>
                <w:szCs w:val="24"/>
              </w:rPr>
            </w:pPr>
          </w:p>
          <w:p w14:paraId="55F06E41">
            <w:pPr>
              <w:pStyle w:val="5"/>
              <w:widowControl/>
              <w:wordWrap w:val="0"/>
              <w:spacing w:beforeAutospacing="1"/>
              <w:rPr>
                <w:rFonts w:ascii="宋体" w:eastAsia="宋体" w:cs="宋体"/>
                <w:color w:val="000000" w:themeColor="text1"/>
                <w:szCs w:val="24"/>
              </w:rPr>
            </w:pPr>
          </w:p>
          <w:p w14:paraId="4DDFA78D">
            <w:pPr>
              <w:pStyle w:val="5"/>
              <w:widowControl/>
              <w:wordWrap w:val="0"/>
              <w:spacing w:beforeAutospacing="1"/>
              <w:rPr>
                <w:rFonts w:ascii="宋体" w:eastAsia="宋体" w:cs="宋体"/>
                <w:color w:val="000000" w:themeColor="text1"/>
                <w:szCs w:val="24"/>
              </w:rPr>
            </w:pPr>
          </w:p>
          <w:p w14:paraId="18261645">
            <w:pPr>
              <w:pStyle w:val="5"/>
              <w:widowControl/>
              <w:wordWrap w:val="0"/>
              <w:spacing w:beforeAutospacing="1"/>
              <w:rPr>
                <w:rFonts w:ascii="宋体" w:eastAsia="宋体" w:cs="宋体"/>
                <w:color w:val="000000" w:themeColor="text1"/>
                <w:szCs w:val="24"/>
              </w:rPr>
            </w:pPr>
          </w:p>
          <w:p w14:paraId="14AFF3BF">
            <w:pPr>
              <w:pStyle w:val="5"/>
              <w:widowControl/>
              <w:wordWrap w:val="0"/>
              <w:spacing w:beforeAutospacing="1"/>
              <w:rPr>
                <w:rFonts w:ascii="宋体" w:eastAsia="宋体" w:cs="宋体"/>
                <w:color w:val="000000" w:themeColor="text1"/>
                <w:szCs w:val="24"/>
              </w:rPr>
            </w:pPr>
          </w:p>
          <w:p w14:paraId="1BF73276">
            <w:pPr>
              <w:pStyle w:val="5"/>
              <w:widowControl/>
              <w:wordWrap w:val="0"/>
              <w:spacing w:beforeAutospacing="1"/>
              <w:rPr>
                <w:rFonts w:ascii="宋体" w:eastAsia="宋体" w:cs="宋体"/>
                <w:color w:val="000000" w:themeColor="text1"/>
                <w:szCs w:val="24"/>
              </w:rPr>
            </w:pPr>
            <w:r>
              <w:rPr>
                <w:rFonts w:hint="eastAsia" w:ascii="宋体" w:eastAsia="宋体" w:cs="宋体"/>
                <w:color w:val="000000" w:themeColor="text1"/>
                <w:szCs w:val="24"/>
              </w:rPr>
              <w:t>每发生1次扣10分</w:t>
            </w:r>
          </w:p>
          <w:p w14:paraId="33F86DCD">
            <w:pPr>
              <w:pStyle w:val="5"/>
              <w:widowControl/>
              <w:wordWrap w:val="0"/>
              <w:spacing w:beforeAutospacing="1"/>
              <w:rPr>
                <w:rFonts w:ascii="宋体" w:eastAsia="宋体" w:cs="宋体"/>
                <w:color w:val="000000" w:themeColor="text1"/>
                <w:szCs w:val="24"/>
              </w:rPr>
            </w:pPr>
          </w:p>
          <w:p w14:paraId="5B7546D6">
            <w:pPr>
              <w:pStyle w:val="5"/>
              <w:widowControl/>
              <w:wordWrap w:val="0"/>
              <w:spacing w:beforeAutospacing="1"/>
              <w:rPr>
                <w:rFonts w:ascii="宋体" w:eastAsia="宋体" w:cs="宋体"/>
                <w:color w:val="000000" w:themeColor="text1"/>
                <w:szCs w:val="24"/>
              </w:rPr>
            </w:pPr>
          </w:p>
          <w:p w14:paraId="5D0D2E13">
            <w:pPr>
              <w:pStyle w:val="5"/>
              <w:widowControl/>
              <w:wordWrap w:val="0"/>
              <w:spacing w:beforeAutospacing="1"/>
              <w:rPr>
                <w:rFonts w:ascii="宋体" w:eastAsia="宋体" w:cs="宋体"/>
                <w:color w:val="000000" w:themeColor="text1"/>
                <w:szCs w:val="24"/>
              </w:rPr>
            </w:pPr>
          </w:p>
          <w:p w14:paraId="5228A43E">
            <w:pPr>
              <w:pStyle w:val="5"/>
              <w:widowControl/>
              <w:wordWrap w:val="0"/>
              <w:spacing w:beforeAutospacing="1"/>
              <w:rPr>
                <w:rFonts w:ascii="宋体" w:eastAsia="宋体" w:cs="宋体"/>
                <w:color w:val="000000" w:themeColor="text1"/>
                <w:szCs w:val="24"/>
              </w:rPr>
            </w:pPr>
          </w:p>
        </w:tc>
      </w:tr>
      <w:tr w14:paraId="351F06E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071"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5594E2D"/>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9FD2627">
            <w:pPr>
              <w:pStyle w:val="5"/>
              <w:widowControl/>
              <w:wordWrap w:val="0"/>
              <w:spacing w:beforeAutospacing="1"/>
              <w:rPr>
                <w:rFonts w:ascii="宋体" w:eastAsia="宋体" w:cs="宋体"/>
                <w:szCs w:val="24"/>
              </w:rPr>
            </w:pPr>
            <w:r>
              <w:rPr>
                <w:rFonts w:hint="eastAsia" w:ascii="宋体" w:eastAsia="宋体" w:cs="宋体"/>
                <w:szCs w:val="24"/>
              </w:rPr>
              <w:t>2.不按《中华人民共和国招标投标法实施条例》第三十二条要求编制招标文件，且无法采取补救措施予以纠正的。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BD4E7B5"/>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EF0D13C"/>
        </w:tc>
      </w:tr>
      <w:tr w14:paraId="1156B072">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4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660E6DD"/>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1AC90CF">
            <w:pPr>
              <w:pStyle w:val="5"/>
              <w:widowControl/>
              <w:wordWrap w:val="0"/>
              <w:spacing w:beforeAutospacing="1"/>
              <w:rPr>
                <w:rFonts w:ascii="宋体" w:eastAsia="宋体" w:cs="宋体"/>
                <w:szCs w:val="24"/>
              </w:rPr>
            </w:pPr>
            <w:r>
              <w:rPr>
                <w:rFonts w:hint="eastAsia" w:ascii="宋体" w:eastAsia="宋体" w:cs="宋体"/>
                <w:szCs w:val="24"/>
              </w:rPr>
              <w:t>3.未按要求在交易中心及其他法定媒介网站发布项目的澄清公告、中标候选人公示、中标公告等。（将区厅版调整为严重不规范行为）</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2B65B71"/>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4C089AA"/>
        </w:tc>
      </w:tr>
      <w:tr w14:paraId="5901584B">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2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0A0F08C"/>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A053553">
            <w:pPr>
              <w:pStyle w:val="5"/>
              <w:widowControl/>
              <w:wordWrap w:val="0"/>
              <w:spacing w:beforeAutospacing="1"/>
              <w:rPr>
                <w:rFonts w:ascii="宋体" w:eastAsia="宋体" w:cs="宋体"/>
                <w:szCs w:val="24"/>
              </w:rPr>
            </w:pPr>
            <w:r>
              <w:rPr>
                <w:rFonts w:hint="eastAsia" w:ascii="宋体" w:eastAsia="宋体" w:cs="宋体"/>
                <w:szCs w:val="24"/>
              </w:rPr>
              <w:t>4.受到行政主管部门通报批评</w:t>
            </w:r>
            <w:r>
              <w:rPr>
                <w:rFonts w:hint="eastAsia" w:ascii="宋体" w:cs="宋体"/>
                <w:szCs w:val="24"/>
              </w:rPr>
              <w:t>。</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7BA5B2D"/>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9566187"/>
        </w:tc>
      </w:tr>
      <w:tr w14:paraId="16BFED7C">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744"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5168E04">
            <w:pPr>
              <w:pStyle w:val="5"/>
              <w:widowControl/>
              <w:wordWrap w:val="0"/>
              <w:spacing w:beforeAutospacing="1" w:afterAutospacing="1"/>
              <w:jc w:val="center"/>
              <w:rPr>
                <w:rFonts w:ascii="cursive" w:hAnsi="cursive" w:eastAsia="cursive" w:cs="cursive"/>
                <w:b/>
                <w:bCs/>
                <w:szCs w:val="24"/>
              </w:rPr>
            </w:pPr>
          </w:p>
          <w:p w14:paraId="65EF5267">
            <w:pPr>
              <w:pStyle w:val="5"/>
              <w:widowControl/>
              <w:wordWrap w:val="0"/>
              <w:spacing w:beforeAutospacing="1" w:afterAutospacing="1"/>
              <w:jc w:val="center"/>
              <w:rPr>
                <w:rFonts w:ascii="cursive" w:hAnsi="cursive" w:eastAsia="cursive" w:cs="cursive"/>
                <w:b/>
                <w:bCs/>
                <w:szCs w:val="24"/>
              </w:rPr>
            </w:pPr>
          </w:p>
          <w:p w14:paraId="6D5C46D8">
            <w:pPr>
              <w:pStyle w:val="5"/>
              <w:widowControl/>
              <w:wordWrap w:val="0"/>
              <w:spacing w:beforeAutospacing="1" w:afterAutospacing="1"/>
              <w:jc w:val="center"/>
              <w:rPr>
                <w:rFonts w:ascii="cursive" w:hAnsi="cursive" w:eastAsia="cursive" w:cs="cursive"/>
                <w:b/>
                <w:bCs/>
                <w:szCs w:val="24"/>
              </w:rPr>
            </w:pPr>
          </w:p>
          <w:p w14:paraId="33894272">
            <w:pPr>
              <w:pStyle w:val="5"/>
              <w:widowControl/>
              <w:wordWrap w:val="0"/>
              <w:spacing w:beforeAutospacing="1" w:afterAutospacing="1"/>
              <w:jc w:val="center"/>
              <w:rPr>
                <w:rFonts w:ascii="cursive" w:hAnsi="cursive" w:eastAsia="cursive" w:cs="cursive"/>
                <w:b/>
                <w:bCs/>
                <w:szCs w:val="24"/>
              </w:rPr>
            </w:pPr>
            <w:r>
              <w:rPr>
                <w:rFonts w:ascii="cursive" w:hAnsi="cursive" w:eastAsia="cursive" w:cs="cursive"/>
                <w:b/>
                <w:bCs/>
                <w:szCs w:val="24"/>
              </w:rPr>
              <w:t>（</w:t>
            </w:r>
            <w:r>
              <w:rPr>
                <w:rFonts w:hint="eastAsia" w:ascii="cursive" w:hAnsi="cursive" w:cs="cursive"/>
                <w:b/>
                <w:bCs/>
                <w:szCs w:val="24"/>
              </w:rPr>
              <w:t>三</w:t>
            </w:r>
            <w:r>
              <w:rPr>
                <w:rFonts w:ascii="cursive" w:hAnsi="cursive" w:eastAsia="cursive" w:cs="cursive"/>
                <w:b/>
                <w:bCs/>
                <w:szCs w:val="24"/>
              </w:rPr>
              <w:t>）一般不规范行为</w:t>
            </w:r>
          </w:p>
          <w:p w14:paraId="55F8E6CF">
            <w:pPr>
              <w:widowControl/>
              <w:wordWrap w:val="0"/>
              <w:spacing w:beforeAutospacing="1" w:afterAutospacing="1"/>
              <w:jc w:val="center"/>
              <w:rPr>
                <w:rFonts w:ascii="cursive" w:hAnsi="cursive" w:eastAsia="cursive" w:cs="cursive"/>
                <w:sz w:val="24"/>
                <w:szCs w:val="24"/>
              </w:rPr>
            </w:pPr>
          </w:p>
          <w:p w14:paraId="48961FAC">
            <w:pPr>
              <w:widowControl/>
              <w:wordWrap w:val="0"/>
              <w:spacing w:beforeAutospacing="1" w:afterAutospacing="1"/>
              <w:jc w:val="center"/>
              <w:rPr>
                <w:rFonts w:ascii="cursive" w:hAnsi="cursive" w:eastAsia="cursive" w:cs="cursive"/>
                <w:sz w:val="24"/>
                <w:szCs w:val="24"/>
              </w:rPr>
            </w:pPr>
          </w:p>
          <w:p w14:paraId="494827B1">
            <w:pPr>
              <w:widowControl/>
              <w:wordWrap w:val="0"/>
              <w:spacing w:beforeAutospacing="1" w:afterAutospacing="1"/>
              <w:jc w:val="center"/>
              <w:rPr>
                <w:rFonts w:ascii="cursive" w:hAnsi="cursive" w:eastAsia="cursive" w:cs="cursive"/>
                <w:sz w:val="24"/>
                <w:szCs w:val="24"/>
              </w:rPr>
            </w:pPr>
          </w:p>
          <w:p w14:paraId="38B1D8E9">
            <w:pPr>
              <w:widowControl/>
              <w:wordWrap w:val="0"/>
              <w:spacing w:beforeAutospacing="1" w:afterAutospacing="1"/>
              <w:jc w:val="center"/>
              <w:rPr>
                <w:rFonts w:ascii="cursive" w:hAnsi="cursive" w:eastAsia="cursive" w:cs="cursive"/>
                <w:sz w:val="24"/>
                <w:szCs w:val="24"/>
              </w:rPr>
            </w:pPr>
          </w:p>
          <w:p w14:paraId="7D187B0B">
            <w:pPr>
              <w:widowControl/>
              <w:wordWrap w:val="0"/>
              <w:spacing w:beforeAutospacing="1" w:afterAutospacing="1"/>
              <w:jc w:val="center"/>
              <w:rPr>
                <w:rFonts w:ascii="cursive" w:hAnsi="cursive" w:eastAsia="cursive" w:cs="cursive"/>
                <w:sz w:val="24"/>
                <w:szCs w:val="24"/>
              </w:rPr>
            </w:pPr>
          </w:p>
          <w:p w14:paraId="00A964A7">
            <w:pPr>
              <w:widowControl/>
              <w:wordWrap w:val="0"/>
              <w:spacing w:beforeAutospacing="1" w:afterAutospacing="1"/>
              <w:jc w:val="center"/>
              <w:rPr>
                <w:rFonts w:ascii="cursive" w:hAnsi="cursive" w:eastAsia="cursive" w:cs="cursive"/>
                <w:sz w:val="24"/>
                <w:szCs w:val="24"/>
              </w:rPr>
            </w:pPr>
          </w:p>
          <w:p w14:paraId="1101DBE8">
            <w:pPr>
              <w:widowControl/>
              <w:wordWrap w:val="0"/>
              <w:spacing w:beforeAutospacing="1" w:afterAutospacing="1"/>
              <w:jc w:val="center"/>
              <w:rPr>
                <w:rFonts w:ascii="cursive" w:hAnsi="cursive" w:eastAsia="cursive" w:cs="cursive"/>
                <w:sz w:val="24"/>
                <w:szCs w:val="24"/>
              </w:rPr>
            </w:pPr>
          </w:p>
          <w:p w14:paraId="35025579">
            <w:pPr>
              <w:widowControl/>
              <w:wordWrap w:val="0"/>
              <w:spacing w:beforeAutospacing="1" w:afterAutospacing="1"/>
              <w:jc w:val="center"/>
              <w:rPr>
                <w:rFonts w:ascii="cursive" w:hAnsi="cursive" w:eastAsia="cursive" w:cs="cursive"/>
                <w:sz w:val="24"/>
                <w:szCs w:val="24"/>
              </w:rPr>
            </w:pPr>
          </w:p>
          <w:p w14:paraId="508C45FC">
            <w:pPr>
              <w:pStyle w:val="5"/>
              <w:widowControl/>
              <w:wordWrap w:val="0"/>
              <w:spacing w:beforeAutospacing="1" w:afterAutospacing="1"/>
              <w:jc w:val="center"/>
              <w:rPr>
                <w:rFonts w:ascii="cursive" w:hAnsi="cursive" w:eastAsia="cursive" w:cs="cursive"/>
                <w:b/>
                <w:bCs/>
                <w:szCs w:val="24"/>
              </w:rPr>
            </w:pPr>
            <w:r>
              <w:rPr>
                <w:rFonts w:ascii="cursive" w:hAnsi="cursive" w:eastAsia="cursive" w:cs="cursive"/>
                <w:b/>
                <w:bCs/>
                <w:szCs w:val="24"/>
              </w:rPr>
              <w:t>（</w:t>
            </w:r>
            <w:r>
              <w:rPr>
                <w:rFonts w:hint="eastAsia" w:ascii="cursive" w:hAnsi="cursive" w:cs="cursive"/>
                <w:b/>
                <w:bCs/>
                <w:szCs w:val="24"/>
              </w:rPr>
              <w:t>三</w:t>
            </w:r>
            <w:r>
              <w:rPr>
                <w:rFonts w:ascii="cursive" w:hAnsi="cursive" w:eastAsia="cursive" w:cs="cursive"/>
                <w:b/>
                <w:bCs/>
                <w:szCs w:val="24"/>
              </w:rPr>
              <w:t>）一般不规范行为</w:t>
            </w:r>
          </w:p>
          <w:p w14:paraId="5C076D02">
            <w:pPr>
              <w:widowControl/>
              <w:wordWrap w:val="0"/>
              <w:spacing w:beforeAutospacing="1" w:afterAutospacing="1"/>
              <w:jc w:val="center"/>
              <w:rPr>
                <w:rFonts w:ascii="cursive" w:hAnsi="cursive" w:eastAsia="cursive" w:cs="cursive"/>
                <w:sz w:val="24"/>
                <w:szCs w:val="24"/>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C9D147C">
            <w:pPr>
              <w:pStyle w:val="5"/>
              <w:widowControl/>
              <w:wordWrap w:val="0"/>
              <w:spacing w:beforeAutospacing="1"/>
              <w:rPr>
                <w:szCs w:val="24"/>
              </w:rPr>
            </w:pPr>
            <w:r>
              <w:rPr>
                <w:rFonts w:hint="eastAsia" w:ascii="宋体" w:eastAsia="宋体" w:cs="宋体"/>
                <w:szCs w:val="24"/>
              </w:rPr>
              <w:t>1.</w:t>
            </w:r>
            <w:r>
              <w:rPr>
                <w:rFonts w:ascii="cursive" w:hAnsi="cursive" w:eastAsia="cursive" w:cs="cursive"/>
                <w:szCs w:val="24"/>
              </w:rPr>
              <w:t>发生下列情形之一，虽未最终造成招标、投标、中标无效，但产生不良影响的：（</w:t>
            </w:r>
            <w:r>
              <w:rPr>
                <w:rFonts w:ascii="Times New Roman" w:hAnsi="Times New Roman" w:eastAsia="微软雅黑" w:cs="Times New Roman"/>
                <w:szCs w:val="24"/>
              </w:rPr>
              <w:t>1</w:t>
            </w:r>
            <w:r>
              <w:rPr>
                <w:rFonts w:ascii="cursive" w:hAnsi="cursive" w:eastAsia="cursive" w:cs="cursive"/>
                <w:szCs w:val="24"/>
              </w:rPr>
              <w:t>）没有按照招标文件示范文本编制招标公告、资格审查文件或招标文件，并且没有将与示范文本实质性内容不一致之处全部预先告知招标投标监管机构的；</w:t>
            </w:r>
            <w:r>
              <w:rPr>
                <w:rFonts w:hint="eastAsia" w:ascii="宋体" w:eastAsia="宋体" w:cs="宋体"/>
                <w:szCs w:val="24"/>
              </w:rPr>
              <w:t>（2）投标截止时间前，拒绝接收已经按招标文件规定密封合格的投标文件，经过纠正后方接收；（3）招标文件部分与合同条款部分前后约定不一致（4）因招标代理的工作失误导致招标工作需要重新组织复核的；（5）组织评标时</w:t>
            </w:r>
            <w:r>
              <w:rPr>
                <w:rFonts w:ascii="cursive" w:hAnsi="cursive" w:eastAsia="cursive" w:cs="cursive"/>
                <w:szCs w:val="24"/>
              </w:rPr>
              <w:t>，提供给评标委员会评标所使用的招标文件与发出的招标文件不一致的；（</w:t>
            </w:r>
            <w:r>
              <w:rPr>
                <w:rFonts w:hint="eastAsia" w:ascii="Times New Roman" w:hAnsi="Times New Roman" w:eastAsia="微软雅黑" w:cs="Times New Roman"/>
                <w:szCs w:val="24"/>
              </w:rPr>
              <w:t>6</w:t>
            </w:r>
            <w:r>
              <w:rPr>
                <w:rFonts w:ascii="cursive" w:hAnsi="cursive" w:eastAsia="cursive" w:cs="cursive"/>
                <w:szCs w:val="24"/>
              </w:rPr>
              <w:t>）在评标过程中暗示评委或干扰评委评标等不当行为，致使评标不能客观公正的；</w:t>
            </w:r>
          </w:p>
          <w:p w14:paraId="4AE727BD">
            <w:pPr>
              <w:pStyle w:val="5"/>
              <w:widowControl/>
              <w:wordWrap w:val="0"/>
              <w:spacing w:beforeAutospacing="1"/>
              <w:rPr>
                <w:rFonts w:ascii="cursive" w:hAnsi="cursive" w:eastAsia="cursive" w:cs="cursive"/>
                <w:szCs w:val="24"/>
              </w:rPr>
            </w:pPr>
            <w:r>
              <w:rPr>
                <w:rFonts w:ascii="cursive" w:hAnsi="cursive" w:eastAsia="cursive" w:cs="cursive"/>
                <w:szCs w:val="24"/>
              </w:rPr>
              <w:t>（</w:t>
            </w:r>
            <w:r>
              <w:rPr>
                <w:rFonts w:hint="eastAsia" w:ascii="Times New Roman" w:hAnsi="Times New Roman" w:eastAsia="微软雅黑" w:cs="Times New Roman"/>
                <w:szCs w:val="24"/>
              </w:rPr>
              <w:t>7</w:t>
            </w:r>
            <w:r>
              <w:rPr>
                <w:rFonts w:ascii="cursive" w:hAnsi="cursive" w:eastAsia="cursive" w:cs="cursive"/>
                <w:szCs w:val="24"/>
              </w:rPr>
              <w:t>）在项目开标过程中，对投标人针对开标过程提出的异议不予解释澄清的；</w:t>
            </w:r>
          </w:p>
          <w:p w14:paraId="420C5FF6">
            <w:pPr>
              <w:pStyle w:val="5"/>
              <w:widowControl/>
              <w:wordWrap w:val="0"/>
              <w:spacing w:beforeAutospacing="1"/>
              <w:rPr>
                <w:rFonts w:ascii="cursive" w:hAnsi="cursive" w:eastAsia="cursive" w:cs="cursive"/>
                <w:szCs w:val="24"/>
              </w:rPr>
            </w:pPr>
            <w:r>
              <w:rPr>
                <w:rFonts w:ascii="cursive" w:hAnsi="cursive" w:eastAsia="cursive" w:cs="cursive"/>
                <w:szCs w:val="24"/>
              </w:rPr>
              <w:t>（</w:t>
            </w:r>
            <w:r>
              <w:rPr>
                <w:rFonts w:hint="eastAsia" w:ascii="Times New Roman" w:hAnsi="Times New Roman" w:eastAsia="微软雅黑" w:cs="Times New Roman"/>
                <w:szCs w:val="24"/>
              </w:rPr>
              <w:t>8</w:t>
            </w:r>
            <w:r>
              <w:rPr>
                <w:rFonts w:ascii="cursive" w:hAnsi="cursive" w:eastAsia="cursive" w:cs="cursive"/>
                <w:szCs w:val="24"/>
              </w:rPr>
              <w:t>）在项目评标过程中，对评标专家针对招标文件内容提出的询问不予解释澄清的；</w:t>
            </w:r>
          </w:p>
          <w:p w14:paraId="0DB7581F">
            <w:pPr>
              <w:pStyle w:val="5"/>
              <w:widowControl/>
              <w:wordWrap w:val="0"/>
              <w:spacing w:beforeAutospacing="1"/>
              <w:rPr>
                <w:rFonts w:ascii="cursive" w:hAnsi="cursive" w:eastAsia="宋体" w:cs="cursive"/>
                <w:szCs w:val="24"/>
              </w:rPr>
            </w:pPr>
            <w:r>
              <w:rPr>
                <w:rFonts w:ascii="cursive" w:hAnsi="cursive" w:eastAsia="cursive" w:cs="cursive"/>
                <w:szCs w:val="24"/>
              </w:rPr>
              <w:t>（</w:t>
            </w:r>
            <w:r>
              <w:rPr>
                <w:rFonts w:hint="eastAsia" w:ascii="Times New Roman" w:hAnsi="Times New Roman" w:eastAsia="微软雅黑" w:cs="Times New Roman"/>
                <w:szCs w:val="24"/>
              </w:rPr>
              <w:t>9</w:t>
            </w:r>
            <w:r>
              <w:rPr>
                <w:rFonts w:ascii="cursive" w:hAnsi="cursive" w:eastAsia="cursive" w:cs="cursive"/>
                <w:szCs w:val="24"/>
              </w:rPr>
              <w:t>）限制潜在投标人下载资格预审文件或者招标文件的。</w:t>
            </w:r>
          </w:p>
          <w:p w14:paraId="03F46B20">
            <w:pPr>
              <w:pStyle w:val="5"/>
              <w:widowControl/>
              <w:wordWrap w:val="0"/>
              <w:spacing w:beforeAutospacing="1"/>
              <w:rPr>
                <w:rFonts w:ascii="cursive" w:hAnsi="cursive" w:eastAsia="cursive" w:cs="cursive"/>
                <w:szCs w:val="24"/>
              </w:rPr>
            </w:pPr>
            <w:r>
              <w:rPr>
                <w:rFonts w:ascii="cursive" w:hAnsi="cursive" w:eastAsia="cursive" w:cs="cursive"/>
                <w:szCs w:val="24"/>
              </w:rPr>
              <w:t>（</w:t>
            </w:r>
            <w:r>
              <w:rPr>
                <w:rFonts w:hint="eastAsia" w:ascii="Times New Roman" w:hAnsi="Times New Roman" w:eastAsia="微软雅黑" w:cs="Times New Roman"/>
                <w:szCs w:val="24"/>
              </w:rPr>
              <w:t>10</w:t>
            </w:r>
            <w:r>
              <w:rPr>
                <w:rFonts w:ascii="cursive" w:hAnsi="cursive" w:eastAsia="cursive" w:cs="cursive"/>
                <w:szCs w:val="24"/>
              </w:rPr>
              <w:t>）不服从交易中心工作人员管理，威胁、恐吓监督人员及相关工作人员的，导致影响其招标工作正常开展，并经公共资源交易平台整合牵头部门书面确认的；</w:t>
            </w:r>
          </w:p>
          <w:p w14:paraId="1F1A3197">
            <w:pPr>
              <w:pStyle w:val="5"/>
              <w:widowControl/>
              <w:wordWrap w:val="0"/>
              <w:spacing w:beforeAutospacing="1"/>
              <w:rPr>
                <w:szCs w:val="24"/>
              </w:rPr>
            </w:pPr>
            <w:r>
              <w:rPr>
                <w:rFonts w:ascii="cursive" w:hAnsi="cursive" w:eastAsia="cursive" w:cs="cursive"/>
                <w:szCs w:val="24"/>
              </w:rPr>
              <w:t>（</w:t>
            </w:r>
            <w:r>
              <w:rPr>
                <w:rFonts w:ascii="Times New Roman" w:hAnsi="Times New Roman" w:eastAsia="微软雅黑" w:cs="Times New Roman"/>
                <w:szCs w:val="24"/>
              </w:rPr>
              <w:t>1</w:t>
            </w:r>
            <w:r>
              <w:rPr>
                <w:rFonts w:hint="eastAsia" w:ascii="Times New Roman" w:hAnsi="Times New Roman" w:eastAsia="微软雅黑" w:cs="Times New Roman"/>
                <w:szCs w:val="24"/>
              </w:rPr>
              <w:t>1</w:t>
            </w:r>
            <w:r>
              <w:rPr>
                <w:rFonts w:ascii="cursive" w:hAnsi="cursive" w:eastAsia="cursive" w:cs="cursive"/>
                <w:szCs w:val="24"/>
              </w:rPr>
              <w:t>）其他经主管部门认定由于招标代理机构在开标评标过程违反招标投标程序、规定的行为，虽未最终造成招标、投标、中标无效，但产生不良影响的。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E10429">
            <w:pPr>
              <w:pStyle w:val="5"/>
              <w:widowControl/>
              <w:wordWrap w:val="0"/>
              <w:spacing w:beforeAutospacing="1"/>
              <w:rPr>
                <w:rFonts w:ascii="宋体" w:eastAsia="宋体" w:cs="宋体"/>
                <w:szCs w:val="24"/>
              </w:rPr>
            </w:pPr>
          </w:p>
          <w:p w14:paraId="3B041D64">
            <w:pPr>
              <w:pStyle w:val="5"/>
              <w:widowControl/>
              <w:wordWrap w:val="0"/>
              <w:spacing w:beforeAutospacing="1"/>
              <w:rPr>
                <w:rFonts w:ascii="宋体" w:eastAsia="宋体" w:cs="宋体"/>
                <w:szCs w:val="24"/>
              </w:rPr>
            </w:pPr>
          </w:p>
          <w:p w14:paraId="7DA64383">
            <w:pPr>
              <w:pStyle w:val="5"/>
              <w:widowControl/>
              <w:wordWrap w:val="0"/>
              <w:spacing w:beforeAutospacing="1"/>
              <w:rPr>
                <w:rFonts w:ascii="宋体" w:eastAsia="宋体" w:cs="宋体"/>
                <w:color w:val="000000" w:themeColor="text1"/>
                <w:szCs w:val="24"/>
              </w:rPr>
            </w:pPr>
            <w:r>
              <w:rPr>
                <w:rFonts w:hint="eastAsia" w:ascii="宋体" w:eastAsia="宋体" w:cs="宋体"/>
                <w:szCs w:val="24"/>
              </w:rPr>
              <w:t>各级住房城乡建设主管部门、行业监管</w:t>
            </w:r>
            <w:r>
              <w:rPr>
                <w:rFonts w:hint="eastAsia" w:ascii="宋体" w:eastAsia="宋体" w:cs="宋体"/>
                <w:color w:val="000000" w:themeColor="text1"/>
                <w:szCs w:val="24"/>
              </w:rPr>
              <w:t>部门</w:t>
            </w:r>
            <w:r>
              <w:rPr>
                <w:rFonts w:hint="eastAsia" w:ascii="cursive" w:hAnsi="cursive" w:cs="cursive"/>
                <w:color w:val="000000" w:themeColor="text1"/>
                <w:szCs w:val="24"/>
              </w:rPr>
              <w:t>、市政管办、各级交易中心</w:t>
            </w:r>
          </w:p>
          <w:p w14:paraId="32E30EE9">
            <w:pPr>
              <w:pStyle w:val="5"/>
              <w:widowControl/>
              <w:wordWrap w:val="0"/>
              <w:spacing w:beforeAutospacing="1" w:afterAutospacing="1"/>
              <w:ind w:right="68"/>
              <w:rPr>
                <w:rFonts w:ascii="cursive" w:hAnsi="cursive" w:cs="cursive"/>
                <w:szCs w:val="24"/>
              </w:rPr>
            </w:pPr>
          </w:p>
          <w:p w14:paraId="74F0E623">
            <w:pPr>
              <w:pStyle w:val="5"/>
              <w:widowControl/>
              <w:wordWrap w:val="0"/>
              <w:spacing w:beforeAutospacing="1" w:afterAutospacing="1"/>
              <w:ind w:right="68"/>
              <w:rPr>
                <w:rFonts w:ascii="cursive" w:hAnsi="cursive" w:cs="cursive"/>
                <w:szCs w:val="24"/>
              </w:rPr>
            </w:pPr>
          </w:p>
          <w:p w14:paraId="57482A0C">
            <w:pPr>
              <w:pStyle w:val="5"/>
              <w:widowControl/>
              <w:wordWrap w:val="0"/>
              <w:spacing w:beforeAutospacing="1" w:afterAutospacing="1"/>
              <w:ind w:right="68"/>
              <w:rPr>
                <w:rFonts w:ascii="cursive" w:hAnsi="cursive" w:cs="cursive"/>
                <w:szCs w:val="24"/>
              </w:rPr>
            </w:pPr>
          </w:p>
          <w:p w14:paraId="03201FD6">
            <w:pPr>
              <w:pStyle w:val="5"/>
              <w:widowControl/>
              <w:wordWrap w:val="0"/>
              <w:spacing w:beforeAutospacing="1" w:afterAutospacing="1"/>
              <w:ind w:right="68"/>
              <w:rPr>
                <w:rFonts w:ascii="cursive" w:hAnsi="cursive" w:cs="cursive"/>
                <w:szCs w:val="24"/>
              </w:rPr>
            </w:pPr>
          </w:p>
          <w:p w14:paraId="39E88B90">
            <w:pPr>
              <w:pStyle w:val="5"/>
              <w:widowControl/>
              <w:wordWrap w:val="0"/>
              <w:spacing w:beforeAutospacing="1" w:afterAutospacing="1"/>
              <w:ind w:right="68"/>
              <w:rPr>
                <w:rFonts w:ascii="cursive" w:hAnsi="cursive" w:cs="cursive"/>
                <w:szCs w:val="24"/>
              </w:rPr>
            </w:pPr>
          </w:p>
          <w:p w14:paraId="4B59DFCF">
            <w:pPr>
              <w:pStyle w:val="5"/>
              <w:widowControl/>
              <w:wordWrap w:val="0"/>
              <w:spacing w:beforeAutospacing="1" w:afterAutospacing="1"/>
              <w:ind w:right="68"/>
              <w:rPr>
                <w:rFonts w:ascii="cursive" w:hAnsi="cursive" w:cs="cursive"/>
                <w:color w:val="000000" w:themeColor="text1"/>
                <w:szCs w:val="24"/>
              </w:rPr>
            </w:pPr>
            <w:r>
              <w:rPr>
                <w:rFonts w:hint="eastAsia" w:ascii="cursive" w:hAnsi="cursive" w:cs="cursive"/>
                <w:szCs w:val="24"/>
              </w:rPr>
              <w:t>各级</w:t>
            </w:r>
            <w:r>
              <w:rPr>
                <w:rFonts w:ascii="cursive" w:hAnsi="cursive" w:eastAsia="cursive" w:cs="cursive"/>
                <w:szCs w:val="24"/>
              </w:rPr>
              <w:t>住房城乡建设主管部门</w:t>
            </w:r>
            <w:r>
              <w:rPr>
                <w:rFonts w:hint="eastAsia" w:ascii="cursive" w:hAnsi="cursive" w:cs="cursive"/>
                <w:szCs w:val="24"/>
              </w:rPr>
              <w:t>、行业监</w:t>
            </w:r>
            <w:r>
              <w:rPr>
                <w:rFonts w:hint="eastAsia" w:ascii="cursive" w:hAnsi="cursive" w:cs="cursive"/>
                <w:color w:val="000000" w:themeColor="text1"/>
                <w:szCs w:val="24"/>
              </w:rPr>
              <w:t>管部门或市政管办、各级交易中心</w:t>
            </w:r>
          </w:p>
          <w:p w14:paraId="25827E93">
            <w:pPr>
              <w:widowControl/>
              <w:wordWrap w:val="0"/>
              <w:spacing w:beforeAutospacing="1" w:afterAutospacing="1"/>
              <w:ind w:right="68"/>
              <w:rPr>
                <w:rFonts w:ascii="cursive" w:hAnsi="cursive" w:cs="cursive"/>
                <w:sz w:val="24"/>
                <w:szCs w:val="24"/>
              </w:rPr>
            </w:pP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5052DA2">
            <w:pPr>
              <w:pStyle w:val="5"/>
              <w:widowControl/>
              <w:wordWrap w:val="0"/>
              <w:spacing w:beforeAutospacing="1"/>
              <w:rPr>
                <w:rFonts w:ascii="宋体" w:eastAsia="宋体" w:cs="宋体"/>
                <w:szCs w:val="24"/>
              </w:rPr>
            </w:pPr>
          </w:p>
          <w:p w14:paraId="42244FF9">
            <w:pPr>
              <w:pStyle w:val="5"/>
              <w:widowControl/>
              <w:wordWrap w:val="0"/>
              <w:spacing w:beforeAutospacing="1"/>
              <w:rPr>
                <w:rFonts w:ascii="宋体" w:eastAsia="宋体" w:cs="宋体"/>
                <w:szCs w:val="24"/>
              </w:rPr>
            </w:pPr>
          </w:p>
          <w:p w14:paraId="35DC7932">
            <w:pPr>
              <w:pStyle w:val="5"/>
              <w:widowControl/>
              <w:wordWrap w:val="0"/>
              <w:spacing w:beforeAutospacing="1"/>
              <w:rPr>
                <w:rFonts w:ascii="宋体" w:eastAsia="宋体" w:cs="宋体"/>
                <w:szCs w:val="24"/>
              </w:rPr>
            </w:pPr>
          </w:p>
          <w:p w14:paraId="00C93E9E">
            <w:pPr>
              <w:pStyle w:val="5"/>
              <w:widowControl/>
              <w:wordWrap w:val="0"/>
              <w:spacing w:beforeAutospacing="1"/>
              <w:rPr>
                <w:rFonts w:ascii="宋体" w:eastAsia="宋体" w:cs="宋体"/>
                <w:szCs w:val="24"/>
              </w:rPr>
            </w:pPr>
          </w:p>
          <w:p w14:paraId="6035CE7B">
            <w:pPr>
              <w:pStyle w:val="5"/>
              <w:widowControl/>
              <w:wordWrap w:val="0"/>
              <w:spacing w:beforeAutospacing="1"/>
              <w:rPr>
                <w:rFonts w:ascii="宋体" w:eastAsia="宋体" w:cs="宋体"/>
                <w:szCs w:val="24"/>
              </w:rPr>
            </w:pPr>
          </w:p>
          <w:p w14:paraId="13559F47">
            <w:pPr>
              <w:pStyle w:val="5"/>
              <w:widowControl/>
              <w:wordWrap w:val="0"/>
              <w:spacing w:beforeAutospacing="1"/>
              <w:rPr>
                <w:rFonts w:ascii="宋体" w:eastAsia="宋体" w:cs="宋体"/>
                <w:szCs w:val="24"/>
              </w:rPr>
            </w:pPr>
            <w:r>
              <w:rPr>
                <w:rFonts w:hint="eastAsia" w:ascii="宋体" w:eastAsia="宋体" w:cs="宋体"/>
                <w:szCs w:val="24"/>
              </w:rPr>
              <w:t>每发生1次扣3分</w:t>
            </w:r>
          </w:p>
          <w:p w14:paraId="2051603D">
            <w:pPr>
              <w:pStyle w:val="5"/>
              <w:widowControl/>
              <w:wordWrap w:val="0"/>
              <w:spacing w:beforeAutospacing="1"/>
              <w:rPr>
                <w:rFonts w:ascii="宋体" w:eastAsia="宋体" w:cs="宋体"/>
                <w:szCs w:val="24"/>
              </w:rPr>
            </w:pPr>
          </w:p>
          <w:p w14:paraId="2A40B595">
            <w:pPr>
              <w:pStyle w:val="5"/>
              <w:widowControl/>
              <w:wordWrap w:val="0"/>
              <w:spacing w:beforeAutospacing="1"/>
              <w:rPr>
                <w:rFonts w:ascii="宋体" w:eastAsia="宋体" w:cs="宋体"/>
                <w:szCs w:val="24"/>
              </w:rPr>
            </w:pPr>
          </w:p>
          <w:p w14:paraId="457153D6">
            <w:pPr>
              <w:pStyle w:val="5"/>
              <w:widowControl/>
              <w:wordWrap w:val="0"/>
              <w:spacing w:beforeAutospacing="1"/>
              <w:rPr>
                <w:rFonts w:ascii="宋体" w:eastAsia="宋体" w:cs="宋体"/>
                <w:szCs w:val="24"/>
              </w:rPr>
            </w:pPr>
          </w:p>
          <w:p w14:paraId="0A2E8A62">
            <w:pPr>
              <w:pStyle w:val="5"/>
              <w:widowControl/>
              <w:wordWrap w:val="0"/>
              <w:spacing w:beforeAutospacing="1"/>
              <w:rPr>
                <w:rFonts w:ascii="宋体" w:eastAsia="宋体" w:cs="宋体"/>
                <w:szCs w:val="24"/>
              </w:rPr>
            </w:pPr>
          </w:p>
          <w:p w14:paraId="0DCD3C86">
            <w:pPr>
              <w:pStyle w:val="5"/>
              <w:widowControl/>
              <w:wordWrap w:val="0"/>
              <w:spacing w:beforeAutospacing="1"/>
              <w:rPr>
                <w:rFonts w:ascii="宋体" w:eastAsia="宋体" w:cs="宋体"/>
                <w:szCs w:val="24"/>
              </w:rPr>
            </w:pPr>
          </w:p>
          <w:p w14:paraId="15535E3E">
            <w:pPr>
              <w:pStyle w:val="5"/>
              <w:widowControl/>
              <w:wordWrap w:val="0"/>
              <w:spacing w:beforeAutospacing="1"/>
              <w:rPr>
                <w:rFonts w:ascii="宋体" w:eastAsia="宋体" w:cs="宋体"/>
                <w:szCs w:val="24"/>
              </w:rPr>
            </w:pPr>
          </w:p>
          <w:p w14:paraId="7BB03691">
            <w:pPr>
              <w:pStyle w:val="5"/>
              <w:widowControl/>
              <w:wordWrap w:val="0"/>
              <w:spacing w:beforeAutospacing="1"/>
              <w:rPr>
                <w:rFonts w:ascii="宋体" w:eastAsia="宋体" w:cs="宋体"/>
                <w:szCs w:val="24"/>
              </w:rPr>
            </w:pPr>
          </w:p>
          <w:p w14:paraId="7BAD8F95">
            <w:pPr>
              <w:pStyle w:val="5"/>
              <w:widowControl/>
              <w:wordWrap w:val="0"/>
              <w:spacing w:beforeAutospacing="1"/>
              <w:rPr>
                <w:rFonts w:ascii="宋体" w:eastAsia="宋体" w:cs="宋体"/>
                <w:szCs w:val="24"/>
              </w:rPr>
            </w:pPr>
          </w:p>
          <w:p w14:paraId="56A38AE0">
            <w:pPr>
              <w:pStyle w:val="5"/>
              <w:widowControl/>
              <w:wordWrap w:val="0"/>
              <w:spacing w:beforeAutospacing="1"/>
              <w:rPr>
                <w:rFonts w:ascii="宋体" w:eastAsia="宋体" w:cs="宋体"/>
                <w:szCs w:val="24"/>
              </w:rPr>
            </w:pPr>
          </w:p>
          <w:p w14:paraId="36EFF48D">
            <w:pPr>
              <w:pStyle w:val="5"/>
              <w:widowControl/>
              <w:wordWrap w:val="0"/>
              <w:spacing w:beforeAutospacing="1"/>
              <w:rPr>
                <w:rFonts w:ascii="宋体" w:eastAsia="宋体" w:cs="宋体"/>
                <w:szCs w:val="24"/>
              </w:rPr>
            </w:pPr>
          </w:p>
          <w:p w14:paraId="007AF4A7">
            <w:pPr>
              <w:pStyle w:val="5"/>
              <w:widowControl/>
              <w:wordWrap w:val="0"/>
              <w:spacing w:beforeAutospacing="1"/>
              <w:rPr>
                <w:rFonts w:ascii="宋体" w:eastAsia="宋体" w:cs="宋体"/>
                <w:szCs w:val="24"/>
              </w:rPr>
            </w:pPr>
            <w:r>
              <w:rPr>
                <w:rFonts w:hint="eastAsia" w:ascii="宋体" w:eastAsia="宋体" w:cs="宋体"/>
                <w:szCs w:val="24"/>
              </w:rPr>
              <w:t>每发生1次扣3分</w:t>
            </w:r>
          </w:p>
        </w:tc>
      </w:tr>
      <w:tr w14:paraId="148807DC">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8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2268231"/>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929CA86">
            <w:pPr>
              <w:pStyle w:val="5"/>
              <w:widowControl/>
              <w:wordWrap w:val="0"/>
              <w:spacing w:beforeAutospacing="1" w:afterAutospacing="1"/>
              <w:rPr>
                <w:szCs w:val="24"/>
              </w:rPr>
            </w:pPr>
            <w:r>
              <w:rPr>
                <w:rFonts w:ascii="Times New Roman" w:hAnsi="Times New Roman" w:eastAsia="微软雅黑" w:cs="Times New Roman"/>
                <w:szCs w:val="24"/>
              </w:rPr>
              <w:t>2.</w:t>
            </w:r>
            <w:r>
              <w:rPr>
                <w:rFonts w:ascii="cursive" w:hAnsi="cursive" w:eastAsia="cursive" w:cs="cursive"/>
                <w:szCs w:val="24"/>
              </w:rPr>
              <w:t>招标代理机构无正当理由不及时公示中标候选人和中标结果，不及时发放中标通知书的。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FB3954"/>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97EDA57"/>
        </w:tc>
      </w:tr>
      <w:tr w14:paraId="56C8386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009"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8C98041"/>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5BED70">
            <w:pPr>
              <w:pStyle w:val="5"/>
              <w:widowControl/>
              <w:wordWrap w:val="0"/>
              <w:spacing w:beforeAutospacing="1" w:afterAutospacing="1"/>
              <w:rPr>
                <w:rFonts w:ascii="Times New Roman" w:hAnsi="Times New Roman" w:eastAsia="微软雅黑" w:cs="Times New Roman"/>
                <w:szCs w:val="24"/>
              </w:rPr>
            </w:pPr>
            <w:r>
              <w:rPr>
                <w:rFonts w:hint="eastAsia" w:ascii="Times New Roman" w:hAnsi="Times New Roman" w:eastAsia="微软雅黑" w:cs="Times New Roman"/>
                <w:szCs w:val="24"/>
              </w:rPr>
              <w:t>3</w:t>
            </w:r>
            <w:r>
              <w:rPr>
                <w:rFonts w:ascii="Times New Roman" w:hAnsi="Times New Roman" w:eastAsia="微软雅黑" w:cs="Times New Roman"/>
                <w:szCs w:val="24"/>
              </w:rPr>
              <w:t>.</w:t>
            </w:r>
            <w:r>
              <w:rPr>
                <w:rFonts w:ascii="cursive" w:hAnsi="cursive" w:eastAsia="cursive" w:cs="cursive"/>
                <w:szCs w:val="24"/>
              </w:rPr>
              <w:t>招标代理机构对投标人、潜在投标人或者其他利害关系人在法定时间内递交的符合要求的书面异议材料予以拒收的。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EEDAE2F"/>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BE839A9"/>
        </w:tc>
      </w:tr>
      <w:tr w14:paraId="2D454CEF">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791"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975F377"/>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523A8DA">
            <w:pPr>
              <w:widowControl/>
              <w:wordWrap w:val="0"/>
              <w:spacing w:beforeAutospacing="1" w:afterAutospacing="1"/>
              <w:rPr>
                <w:rFonts w:ascii="Times New Roman" w:hAnsi="Times New Roman" w:eastAsia="微软雅黑" w:cs="Times New Roman"/>
                <w:sz w:val="24"/>
                <w:szCs w:val="24"/>
              </w:rPr>
            </w:pPr>
            <w:r>
              <w:rPr>
                <w:rFonts w:hint="eastAsia" w:ascii="Times New Roman" w:hAnsi="Times New Roman" w:eastAsia="微软雅黑" w:cs="Times New Roman"/>
                <w:sz w:val="24"/>
                <w:szCs w:val="24"/>
              </w:rPr>
              <w:t>4</w:t>
            </w:r>
            <w:r>
              <w:rPr>
                <w:rFonts w:ascii="Times New Roman" w:hAnsi="Times New Roman" w:eastAsia="微软雅黑" w:cs="Times New Roman"/>
                <w:sz w:val="24"/>
                <w:szCs w:val="24"/>
              </w:rPr>
              <w:t>.</w:t>
            </w:r>
            <w:r>
              <w:rPr>
                <w:rFonts w:ascii="cursive" w:hAnsi="cursive" w:eastAsia="cursive" w:cs="cursive"/>
                <w:sz w:val="24"/>
                <w:szCs w:val="24"/>
              </w:rPr>
              <w:t>当年度在承接建设项目招标代理业务中有不规范行为，被下发整改通知书责令整改的。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2F0AB09"/>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BCE9F03"/>
        </w:tc>
      </w:tr>
      <w:tr w14:paraId="529890D1">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026"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361E2F4"/>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C8D8290">
            <w:pPr>
              <w:pStyle w:val="5"/>
              <w:widowControl/>
              <w:wordWrap w:val="0"/>
              <w:spacing w:beforeAutospacing="1" w:afterAutospacing="1"/>
              <w:rPr>
                <w:rFonts w:ascii="宋体" w:cs="宋体"/>
                <w:szCs w:val="24"/>
              </w:rPr>
            </w:pPr>
            <w:r>
              <w:rPr>
                <w:rFonts w:hint="eastAsia" w:ascii="宋体" w:cs="宋体"/>
                <w:szCs w:val="24"/>
              </w:rPr>
              <w:t>5</w:t>
            </w:r>
            <w:r>
              <w:rPr>
                <w:rFonts w:hint="eastAsia" w:ascii="宋体" w:eastAsia="宋体" w:cs="宋体"/>
                <w:szCs w:val="24"/>
              </w:rPr>
              <w:t>.</w:t>
            </w:r>
            <w:r>
              <w:rPr>
                <w:rFonts w:hint="eastAsia" w:ascii="宋体" w:cs="宋体"/>
                <w:szCs w:val="24"/>
              </w:rPr>
              <w:t>未</w:t>
            </w:r>
            <w:r>
              <w:rPr>
                <w:rFonts w:hint="eastAsia" w:ascii="宋体" w:eastAsia="宋体" w:cs="宋体"/>
                <w:szCs w:val="24"/>
              </w:rPr>
              <w:t>按《中华人民共和国招标投标法实施条例》第三十二条要求编制招标文件</w:t>
            </w:r>
            <w:r>
              <w:rPr>
                <w:rFonts w:hint="eastAsia" w:ascii="宋体" w:cs="宋体"/>
                <w:szCs w:val="24"/>
              </w:rPr>
              <w:t>，</w:t>
            </w:r>
            <w:r>
              <w:rPr>
                <w:rFonts w:hint="eastAsia" w:ascii="宋体" w:eastAsia="宋体" w:cs="宋体"/>
                <w:szCs w:val="24"/>
              </w:rPr>
              <w:t>采取补救措施予以纠正</w:t>
            </w:r>
            <w:r>
              <w:rPr>
                <w:rFonts w:hint="eastAsia" w:ascii="宋体" w:cs="宋体"/>
                <w:szCs w:val="24"/>
              </w:rPr>
              <w:t>的</w:t>
            </w:r>
            <w:r>
              <w:rPr>
                <w:rFonts w:hint="eastAsia" w:ascii="宋体" w:eastAsia="宋体" w:cs="宋体"/>
                <w:szCs w:val="24"/>
              </w:rPr>
              <w:t>。</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EFEAACA"/>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7D2BEEF"/>
        </w:tc>
      </w:tr>
      <w:tr w14:paraId="009507B8">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16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D3FA447"/>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C047912">
            <w:pPr>
              <w:pStyle w:val="5"/>
              <w:widowControl/>
              <w:wordWrap w:val="0"/>
              <w:spacing w:beforeAutospacing="1" w:afterAutospacing="1"/>
              <w:rPr>
                <w:rFonts w:ascii="Times New Roman" w:hAnsi="Times New Roman" w:eastAsia="微软雅黑" w:cs="Times New Roman"/>
                <w:szCs w:val="24"/>
              </w:rPr>
            </w:pPr>
            <w:r>
              <w:rPr>
                <w:rFonts w:hint="eastAsia" w:ascii="宋体" w:cs="宋体"/>
                <w:szCs w:val="24"/>
              </w:rPr>
              <w:t>6</w:t>
            </w:r>
            <w:r>
              <w:rPr>
                <w:rFonts w:hint="eastAsia" w:ascii="宋体" w:eastAsia="宋体" w:cs="宋体"/>
                <w:szCs w:val="24"/>
              </w:rPr>
              <w:t>．递交投标文件截止时间后，开标前，已经封存的投标文件出现因招标代理工作人员人为原因破损。（以交易中心视频为依据）</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60C3548"/>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47048D7"/>
        </w:tc>
      </w:tr>
      <w:tr w14:paraId="78452AD4">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278" w:hRule="atLeast"/>
          <w:tblCellSpacing w:w="0" w:type="dxa"/>
          <w:jc w:val="center"/>
        </w:trPr>
        <w:tc>
          <w:tcPr>
            <w:tcW w:w="1076"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F7F7FAC">
            <w:pPr>
              <w:pStyle w:val="5"/>
              <w:widowControl/>
              <w:wordWrap w:val="0"/>
              <w:spacing w:beforeAutospacing="1" w:afterAutospacing="1"/>
              <w:rPr>
                <w:rFonts w:ascii="cursive" w:hAnsi="cursive" w:eastAsia="cursive" w:cs="cursive"/>
                <w:color w:val="000000" w:themeColor="text1"/>
                <w:szCs w:val="24"/>
              </w:rPr>
            </w:pPr>
          </w:p>
          <w:p w14:paraId="498ADF31">
            <w:pPr>
              <w:pStyle w:val="5"/>
              <w:widowControl/>
              <w:wordWrap w:val="0"/>
              <w:spacing w:beforeAutospacing="1" w:afterAutospacing="1"/>
              <w:jc w:val="center"/>
              <w:rPr>
                <w:color w:val="000000" w:themeColor="text1"/>
                <w:szCs w:val="24"/>
              </w:rPr>
            </w:pPr>
            <w:r>
              <w:rPr>
                <w:rFonts w:ascii="cursive" w:hAnsi="cursive" w:eastAsia="cursive" w:cs="cursive"/>
                <w:b/>
                <w:bCs/>
                <w:color w:val="000000" w:themeColor="text1"/>
                <w:szCs w:val="24"/>
              </w:rPr>
              <w:t>（四）轻微不规范行为</w:t>
            </w: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AADC08E">
            <w:pPr>
              <w:pStyle w:val="5"/>
              <w:widowControl/>
              <w:wordWrap w:val="0"/>
              <w:spacing w:beforeAutospacing="1" w:afterAutospacing="1"/>
              <w:rPr>
                <w:color w:val="000000" w:themeColor="text1"/>
                <w:szCs w:val="24"/>
              </w:rPr>
            </w:pPr>
            <w:r>
              <w:rPr>
                <w:rFonts w:ascii="Times New Roman" w:hAnsi="Times New Roman" w:eastAsia="微软雅黑" w:cs="Times New Roman"/>
                <w:color w:val="000000" w:themeColor="text1"/>
                <w:szCs w:val="24"/>
              </w:rPr>
              <w:t>1</w:t>
            </w:r>
            <w:r>
              <w:rPr>
                <w:rFonts w:ascii="cursive" w:hAnsi="cursive" w:eastAsia="cursive" w:cs="cursive"/>
                <w:color w:val="000000" w:themeColor="text1"/>
                <w:szCs w:val="24"/>
              </w:rPr>
              <w:t>．招标文件（含招标公告、资格预审文件、由该招标代理机构编制的工程量清单）编制质量低劣（如必须填写内容不全、文件前后不一致、评标办法总分不为</w:t>
            </w:r>
            <w:r>
              <w:rPr>
                <w:rFonts w:ascii="Times New Roman" w:hAnsi="Times New Roman" w:eastAsia="微软雅黑" w:cs="Times New Roman"/>
                <w:color w:val="000000" w:themeColor="text1"/>
                <w:szCs w:val="24"/>
              </w:rPr>
              <w:t>100</w:t>
            </w:r>
            <w:r>
              <w:rPr>
                <w:rFonts w:ascii="cursive" w:hAnsi="cursive" w:eastAsia="cursive" w:cs="cursive"/>
                <w:color w:val="000000" w:themeColor="text1"/>
                <w:szCs w:val="24"/>
              </w:rPr>
              <w:t>分等），被主管部门审查发现的。</w:t>
            </w:r>
          </w:p>
        </w:tc>
        <w:tc>
          <w:tcPr>
            <w:tcW w:w="1020"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D54F202">
            <w:pPr>
              <w:pStyle w:val="5"/>
              <w:widowControl/>
              <w:wordWrap w:val="0"/>
              <w:spacing w:beforeAutospacing="1" w:afterAutospacing="1"/>
              <w:ind w:right="68"/>
              <w:rPr>
                <w:rFonts w:ascii="cursive" w:hAnsi="cursive" w:cs="cursive"/>
                <w:color w:val="000000" w:themeColor="text1"/>
                <w:szCs w:val="24"/>
              </w:rPr>
            </w:pPr>
          </w:p>
          <w:p w14:paraId="1437EF2C">
            <w:pPr>
              <w:pStyle w:val="5"/>
              <w:widowControl/>
              <w:wordWrap w:val="0"/>
              <w:spacing w:beforeAutospacing="1" w:afterAutospacing="1"/>
              <w:ind w:right="68"/>
              <w:rPr>
                <w:rFonts w:ascii="cursive" w:hAnsi="cursive" w:cs="cursive"/>
                <w:color w:val="000000" w:themeColor="text1"/>
                <w:szCs w:val="24"/>
              </w:rPr>
            </w:pPr>
            <w:r>
              <w:rPr>
                <w:rFonts w:hint="eastAsia" w:ascii="cursive" w:hAnsi="cursive" w:cs="cursive"/>
                <w:color w:val="000000" w:themeColor="text1"/>
                <w:szCs w:val="24"/>
              </w:rPr>
              <w:t>各级</w:t>
            </w:r>
            <w:r>
              <w:rPr>
                <w:rFonts w:ascii="cursive" w:hAnsi="cursive" w:eastAsia="cursive" w:cs="cursive"/>
                <w:color w:val="000000" w:themeColor="text1"/>
                <w:szCs w:val="24"/>
              </w:rPr>
              <w:t>住房城乡建设主管部门</w:t>
            </w:r>
            <w:r>
              <w:rPr>
                <w:rFonts w:hint="eastAsia" w:ascii="cursive" w:hAnsi="cursive" w:cs="cursive"/>
                <w:color w:val="000000" w:themeColor="text1"/>
                <w:szCs w:val="24"/>
              </w:rPr>
              <w:t>、行业监管部门或、市政管办、各级交易中心</w:t>
            </w:r>
          </w:p>
          <w:p w14:paraId="5C2F65BF">
            <w:pPr>
              <w:pStyle w:val="5"/>
              <w:widowControl/>
              <w:wordWrap w:val="0"/>
              <w:spacing w:beforeAutospacing="1" w:afterAutospacing="1"/>
              <w:ind w:left="-28" w:right="11"/>
              <w:rPr>
                <w:rFonts w:eastAsia="宋体"/>
                <w:color w:val="000000" w:themeColor="text1"/>
                <w:szCs w:val="24"/>
              </w:rPr>
            </w:pPr>
          </w:p>
        </w:tc>
        <w:tc>
          <w:tcPr>
            <w:tcW w:w="821" w:type="dxa"/>
            <w:vMerge w:val="restart"/>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339D6DF">
            <w:pPr>
              <w:pStyle w:val="5"/>
              <w:widowControl/>
              <w:wordWrap w:val="0"/>
              <w:spacing w:beforeAutospacing="1" w:afterAutospacing="1"/>
              <w:rPr>
                <w:color w:val="000000" w:themeColor="text1"/>
                <w:szCs w:val="24"/>
              </w:rPr>
            </w:pPr>
            <w:r>
              <w:rPr>
                <w:rFonts w:ascii="cursive" w:hAnsi="cursive" w:eastAsia="cursive" w:cs="cursive"/>
                <w:color w:val="000000" w:themeColor="text1"/>
                <w:szCs w:val="24"/>
              </w:rPr>
              <w:t>每发生</w:t>
            </w:r>
            <w:r>
              <w:rPr>
                <w:rFonts w:ascii="Times New Roman" w:hAnsi="Times New Roman" w:eastAsia="微软雅黑" w:cs="Times New Roman"/>
                <w:color w:val="000000" w:themeColor="text1"/>
                <w:szCs w:val="24"/>
              </w:rPr>
              <w:t>1</w:t>
            </w:r>
            <w:r>
              <w:rPr>
                <w:rFonts w:ascii="cursive" w:hAnsi="cursive" w:eastAsia="cursive" w:cs="cursive"/>
                <w:color w:val="000000" w:themeColor="text1"/>
                <w:szCs w:val="24"/>
              </w:rPr>
              <w:t>次扣</w:t>
            </w:r>
            <w:r>
              <w:rPr>
                <w:rFonts w:hint="eastAsia" w:ascii="Times New Roman" w:hAnsi="Times New Roman" w:eastAsia="微软雅黑" w:cs="Times New Roman"/>
                <w:color w:val="000000" w:themeColor="text1"/>
                <w:szCs w:val="24"/>
              </w:rPr>
              <w:t>1</w:t>
            </w:r>
            <w:r>
              <w:rPr>
                <w:rFonts w:ascii="cursive" w:hAnsi="cursive" w:eastAsia="cursive" w:cs="cursive"/>
                <w:color w:val="000000" w:themeColor="text1"/>
                <w:szCs w:val="24"/>
              </w:rPr>
              <w:t>分</w:t>
            </w:r>
          </w:p>
        </w:tc>
      </w:tr>
      <w:tr w14:paraId="594D2DB7">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65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82C0452">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2F24E60">
            <w:pPr>
              <w:pStyle w:val="5"/>
              <w:widowControl/>
              <w:wordWrap w:val="0"/>
              <w:spacing w:beforeAutospacing="1" w:afterAutospacing="1"/>
              <w:rPr>
                <w:color w:val="000000" w:themeColor="text1"/>
                <w:szCs w:val="24"/>
              </w:rPr>
            </w:pPr>
            <w:r>
              <w:rPr>
                <w:rFonts w:ascii="Times New Roman" w:hAnsi="Times New Roman" w:eastAsia="微软雅黑" w:cs="Times New Roman"/>
                <w:color w:val="000000" w:themeColor="text1"/>
                <w:szCs w:val="24"/>
              </w:rPr>
              <w:t>2.</w:t>
            </w:r>
            <w:r>
              <w:rPr>
                <w:rFonts w:ascii="cursive" w:hAnsi="cursive" w:eastAsia="cursive" w:cs="cursive"/>
                <w:color w:val="000000" w:themeColor="text1"/>
                <w:szCs w:val="24"/>
              </w:rPr>
              <w:t>因中标候选人公示、中标结果公告、中标通知书内容缺失或错误被主管部门连续</w:t>
            </w:r>
            <w:r>
              <w:rPr>
                <w:rFonts w:ascii="Times New Roman" w:hAnsi="Times New Roman" w:eastAsia="微软雅黑" w:cs="Times New Roman"/>
                <w:color w:val="000000" w:themeColor="text1"/>
                <w:szCs w:val="24"/>
              </w:rPr>
              <w:t>2</w:t>
            </w:r>
            <w:r>
              <w:rPr>
                <w:rFonts w:ascii="cursive" w:hAnsi="cursive" w:eastAsia="cursive" w:cs="cursive"/>
                <w:color w:val="000000" w:themeColor="text1"/>
                <w:szCs w:val="24"/>
              </w:rPr>
              <w:t>次以上退回的。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30E037A">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14D8F06">
            <w:pPr>
              <w:rPr>
                <w:color w:val="000000" w:themeColor="text1"/>
              </w:rPr>
            </w:pPr>
          </w:p>
        </w:tc>
      </w:tr>
      <w:tr w14:paraId="73C077DC">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887"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021F07E">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B894C3D">
            <w:pPr>
              <w:pStyle w:val="5"/>
              <w:widowControl/>
              <w:wordWrap w:val="0"/>
              <w:spacing w:beforeAutospacing="1" w:afterAutospacing="1"/>
              <w:rPr>
                <w:rFonts w:ascii="宋体" w:eastAsia="宋体" w:cs="宋体"/>
                <w:color w:val="000000" w:themeColor="text1"/>
                <w:szCs w:val="24"/>
              </w:rPr>
            </w:pPr>
            <w:r>
              <w:rPr>
                <w:rFonts w:hint="eastAsia" w:ascii="宋体" w:eastAsia="宋体" w:cs="宋体"/>
                <w:color w:val="000000" w:themeColor="text1"/>
                <w:szCs w:val="24"/>
              </w:rPr>
              <w:t>3.答疑澄清文件、由该招标代理机构编制的工程量清单、工程量清单补遗、招标控制价质量低劣（如不按批注修改澄清文件、修改评标办法不重新生成电子招标文件、清单控制价不按近期信息价编制、发布内容不满足法定时限要求等），被主管部门在事中事后审查发现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2CE6198">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F06F207">
            <w:pPr>
              <w:rPr>
                <w:color w:val="000000" w:themeColor="text1"/>
              </w:rPr>
            </w:pPr>
          </w:p>
        </w:tc>
      </w:tr>
      <w:tr w14:paraId="19D8D05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876"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61A9FD8">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5276B9B">
            <w:pPr>
              <w:widowControl/>
              <w:rPr>
                <w:rFonts w:ascii="宋体" w:eastAsia="宋体" w:cs="宋体"/>
                <w:color w:val="000000" w:themeColor="text1"/>
                <w:kern w:val="0"/>
                <w:szCs w:val="24"/>
              </w:rPr>
            </w:pPr>
            <w:r>
              <w:rPr>
                <w:rFonts w:hint="eastAsia" w:ascii="宋体" w:cs="宋体"/>
                <w:color w:val="000000" w:themeColor="text1"/>
                <w:sz w:val="24"/>
                <w:szCs w:val="24"/>
              </w:rPr>
              <w:t>4</w:t>
            </w:r>
            <w:r>
              <w:rPr>
                <w:rFonts w:hint="eastAsia" w:ascii="宋体" w:eastAsia="宋体" w:cs="宋体"/>
                <w:color w:val="000000" w:themeColor="text1"/>
                <w:sz w:val="24"/>
                <w:szCs w:val="24"/>
              </w:rPr>
              <w:t>.未及时使用管理系统进行备案（招标文件，含招标公告、控制价、补遗澄清，招标书面情况报告）被下发抽查意见书的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8F8171C">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5870F2C">
            <w:pPr>
              <w:rPr>
                <w:color w:val="000000" w:themeColor="text1"/>
              </w:rPr>
            </w:pPr>
          </w:p>
        </w:tc>
      </w:tr>
      <w:tr w14:paraId="3B682017">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92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1FEE521">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4F1768F">
            <w:pPr>
              <w:widowControl/>
              <w:spacing w:line="320" w:lineRule="exact"/>
              <w:rPr>
                <w:rFonts w:ascii="宋体" w:eastAsia="宋体" w:cs="宋体"/>
                <w:color w:val="000000" w:themeColor="text1"/>
                <w:kern w:val="0"/>
                <w:szCs w:val="24"/>
              </w:rPr>
            </w:pPr>
            <w:r>
              <w:rPr>
                <w:rFonts w:hint="eastAsia" w:ascii="宋体" w:cs="宋体"/>
                <w:color w:val="000000" w:themeColor="text1"/>
                <w:sz w:val="24"/>
                <w:szCs w:val="24"/>
              </w:rPr>
              <w:t>5</w:t>
            </w:r>
            <w:r>
              <w:rPr>
                <w:rFonts w:hint="eastAsia" w:ascii="宋体" w:eastAsia="宋体" w:cs="宋体"/>
                <w:color w:val="000000" w:themeColor="text1"/>
                <w:sz w:val="24"/>
                <w:szCs w:val="24"/>
              </w:rPr>
              <w:t>. 编制的招标文件中含有违反国家对投标保证金、履约保证金、最低投标限价、最高投标限价、要求施工单位垫资等要约内容规定的。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0CC1812">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DE3338F">
            <w:pPr>
              <w:rPr>
                <w:color w:val="000000" w:themeColor="text1"/>
              </w:rPr>
            </w:pPr>
          </w:p>
        </w:tc>
      </w:tr>
      <w:tr w14:paraId="7258585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CBCC6C">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D9AF4D6">
            <w:pPr>
              <w:widowControl/>
              <w:rPr>
                <w:rFonts w:ascii="宋体" w:eastAsia="宋体" w:cs="宋体"/>
                <w:color w:val="000000" w:themeColor="text1"/>
                <w:kern w:val="0"/>
                <w:szCs w:val="24"/>
              </w:rPr>
            </w:pPr>
            <w:r>
              <w:rPr>
                <w:rFonts w:hint="eastAsia" w:ascii="宋体" w:cs="宋体"/>
                <w:color w:val="000000" w:themeColor="text1"/>
                <w:kern w:val="0"/>
              </w:rPr>
              <w:t>6</w:t>
            </w:r>
            <w:r>
              <w:rPr>
                <w:rFonts w:hint="eastAsia" w:ascii="宋体" w:eastAsia="宋体" w:cs="宋体"/>
                <w:color w:val="000000" w:themeColor="text1"/>
                <w:sz w:val="24"/>
                <w:szCs w:val="24"/>
              </w:rPr>
              <w:t>.被授权的招标代理人员未按时出席开标会影响正常开标的。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3B66685">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5EC799D">
            <w:pPr>
              <w:rPr>
                <w:color w:val="000000" w:themeColor="text1"/>
              </w:rPr>
            </w:pPr>
          </w:p>
        </w:tc>
      </w:tr>
      <w:tr w14:paraId="5709625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1CA534A">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6557C7B">
            <w:pPr>
              <w:pStyle w:val="5"/>
              <w:widowControl/>
              <w:wordWrap w:val="0"/>
              <w:spacing w:beforeAutospacing="1" w:afterAutospacing="1"/>
              <w:rPr>
                <w:rFonts w:ascii="宋体" w:eastAsia="宋体" w:cs="宋体"/>
                <w:color w:val="000000" w:themeColor="text1"/>
                <w:szCs w:val="24"/>
              </w:rPr>
            </w:pPr>
            <w:r>
              <w:rPr>
                <w:rFonts w:hint="eastAsia" w:ascii="宋体" w:cs="宋体"/>
                <w:color w:val="000000" w:themeColor="text1"/>
                <w:kern w:val="0"/>
              </w:rPr>
              <w:t>7</w:t>
            </w:r>
            <w:r>
              <w:rPr>
                <w:rFonts w:hint="eastAsia" w:ascii="宋体" w:eastAsia="宋体" w:cs="宋体"/>
                <w:color w:val="000000" w:themeColor="text1"/>
                <w:kern w:val="0"/>
              </w:rPr>
              <w:t>.违反交易中心相关管理规定的。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71A3248">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6D00BDF">
            <w:pPr>
              <w:rPr>
                <w:color w:val="000000" w:themeColor="text1"/>
              </w:rPr>
            </w:pPr>
          </w:p>
        </w:tc>
      </w:tr>
      <w:tr w14:paraId="229ED1CA">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364"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4E96324">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F34E65A">
            <w:pPr>
              <w:pStyle w:val="5"/>
              <w:widowControl/>
              <w:wordWrap w:val="0"/>
              <w:spacing w:beforeAutospacing="1" w:afterAutospacing="1"/>
              <w:rPr>
                <w:rFonts w:ascii="宋体" w:eastAsia="宋体" w:cs="宋体"/>
                <w:color w:val="000000" w:themeColor="text1"/>
                <w:szCs w:val="24"/>
              </w:rPr>
            </w:pPr>
            <w:r>
              <w:rPr>
                <w:rFonts w:hint="eastAsia" w:ascii="宋体" w:cs="宋体"/>
                <w:color w:val="000000" w:themeColor="text1"/>
                <w:szCs w:val="24"/>
              </w:rPr>
              <w:t>8.</w:t>
            </w:r>
            <w:r>
              <w:rPr>
                <w:rFonts w:hint="eastAsia" w:ascii="宋体" w:eastAsia="宋体" w:cs="宋体"/>
                <w:color w:val="000000" w:themeColor="text1"/>
                <w:szCs w:val="24"/>
              </w:rPr>
              <w:t>招投标情况书面报告内容不符合主管部门要求。</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DC2FA8E">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1BBB6E6">
            <w:pPr>
              <w:rPr>
                <w:color w:val="000000" w:themeColor="text1"/>
              </w:rPr>
            </w:pPr>
          </w:p>
        </w:tc>
      </w:tr>
      <w:tr w14:paraId="55C0BB50">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587"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6EA4AECB">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7D9D091">
            <w:pPr>
              <w:pStyle w:val="5"/>
              <w:widowControl/>
              <w:wordWrap w:val="0"/>
              <w:spacing w:beforeAutospacing="1" w:afterAutospacing="1"/>
              <w:rPr>
                <w:rFonts w:ascii="宋体" w:eastAsia="宋体" w:cs="宋体"/>
                <w:color w:val="000000" w:themeColor="text1"/>
                <w:szCs w:val="24"/>
              </w:rPr>
            </w:pPr>
            <w:r>
              <w:rPr>
                <w:rFonts w:hint="eastAsia" w:ascii="宋体" w:cs="宋体"/>
                <w:color w:val="000000" w:themeColor="text1"/>
                <w:szCs w:val="24"/>
              </w:rPr>
              <w:t>9.</w:t>
            </w:r>
            <w:r>
              <w:rPr>
                <w:rFonts w:hint="eastAsia" w:ascii="宋体" w:eastAsia="宋体" w:cs="宋体"/>
                <w:color w:val="000000" w:themeColor="text1"/>
                <w:szCs w:val="24"/>
              </w:rPr>
              <w:t>因招标代理原因无法解密电子投标文件，严重影响开标的。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20CB02E1">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47E93F74">
            <w:pPr>
              <w:rPr>
                <w:color w:val="000000" w:themeColor="text1"/>
              </w:rPr>
            </w:pPr>
          </w:p>
        </w:tc>
      </w:tr>
      <w:tr w14:paraId="7C184D2E">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rHeight w:val="1203" w:hRule="atLeast"/>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A7C6D1D">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12AF7C09">
            <w:pPr>
              <w:pStyle w:val="5"/>
              <w:widowControl/>
              <w:wordWrap w:val="0"/>
              <w:spacing w:beforeAutospacing="1"/>
              <w:rPr>
                <w:rFonts w:ascii="宋体" w:cs="宋体"/>
                <w:color w:val="000000" w:themeColor="text1"/>
                <w:kern w:val="0"/>
              </w:rPr>
            </w:pPr>
            <w:r>
              <w:rPr>
                <w:rFonts w:hint="eastAsia" w:ascii="宋体" w:eastAsia="宋体" w:cs="宋体"/>
                <w:color w:val="000000" w:themeColor="text1"/>
                <w:szCs w:val="24"/>
              </w:rPr>
              <w:t>10.发出的招标公告、资格预审公告、资格预审文件、招标文件及其澄清文件、资格预审结果通知、中标通知等数据电文未按要求进行电子签名并进行电子存档的；</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04CEF8B">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E9867B6">
            <w:pPr>
              <w:rPr>
                <w:color w:val="000000" w:themeColor="text1"/>
              </w:rPr>
            </w:pPr>
          </w:p>
        </w:tc>
      </w:tr>
      <w:tr w14:paraId="5DCF17AC">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05" w:type="dxa"/>
            <w:left w:w="105" w:type="dxa"/>
            <w:bottom w:w="105" w:type="dxa"/>
            <w:right w:w="105" w:type="dxa"/>
          </w:tblCellMar>
        </w:tblPrEx>
        <w:trPr>
          <w:tblCellSpacing w:w="0" w:type="dxa"/>
          <w:jc w:val="center"/>
        </w:trPr>
        <w:tc>
          <w:tcPr>
            <w:tcW w:w="1076"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36151964">
            <w:pPr>
              <w:rPr>
                <w:color w:val="000000" w:themeColor="text1"/>
              </w:rPr>
            </w:pPr>
          </w:p>
        </w:tc>
        <w:tc>
          <w:tcPr>
            <w:tcW w:w="5711" w:type="dxa"/>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07EE2AA9">
            <w:pPr>
              <w:pStyle w:val="5"/>
              <w:widowControl/>
              <w:wordWrap w:val="0"/>
              <w:spacing w:beforeAutospacing="1" w:afterAutospacing="1"/>
              <w:rPr>
                <w:rFonts w:ascii="宋体" w:eastAsia="宋体" w:cs="宋体"/>
                <w:color w:val="000000" w:themeColor="text1"/>
                <w:szCs w:val="24"/>
              </w:rPr>
            </w:pPr>
            <w:r>
              <w:rPr>
                <w:rFonts w:hint="eastAsia" w:ascii="宋体" w:cs="宋体"/>
                <w:color w:val="000000" w:themeColor="text1"/>
                <w:kern w:val="0"/>
              </w:rPr>
              <w:t>11.</w:t>
            </w:r>
            <w:r>
              <w:rPr>
                <w:rFonts w:hint="eastAsia" w:ascii="宋体" w:eastAsia="宋体" w:cs="宋体"/>
                <w:color w:val="000000" w:themeColor="text1"/>
                <w:kern w:val="0"/>
              </w:rPr>
              <w:t xml:space="preserve"> 被其他行政监督部门认定的轻微不规范行为。</w:t>
            </w:r>
          </w:p>
        </w:tc>
        <w:tc>
          <w:tcPr>
            <w:tcW w:w="1020"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76FF0BC2">
            <w:pPr>
              <w:rPr>
                <w:color w:val="000000" w:themeColor="text1"/>
              </w:rPr>
            </w:pPr>
          </w:p>
        </w:tc>
        <w:tc>
          <w:tcPr>
            <w:tcW w:w="821" w:type="dxa"/>
            <w:vMerge w:val="continue"/>
            <w:tcBorders>
              <w:top w:val="single" w:color="auto" w:sz="4" w:space="0"/>
              <w:left w:val="single" w:color="auto" w:sz="4" w:space="0"/>
              <w:bottom w:val="single" w:color="auto" w:sz="4" w:space="0"/>
              <w:right w:val="single" w:color="auto" w:sz="4" w:space="0"/>
            </w:tcBorders>
            <w:tcMar>
              <w:top w:w="75" w:type="dxa"/>
              <w:left w:w="120" w:type="dxa"/>
              <w:bottom w:w="75" w:type="dxa"/>
              <w:right w:w="120" w:type="dxa"/>
            </w:tcMar>
            <w:vAlign w:val="center"/>
          </w:tcPr>
          <w:p w14:paraId="5A8A28FA">
            <w:pPr>
              <w:rPr>
                <w:color w:val="000000" w:themeColor="text1"/>
              </w:rPr>
            </w:pPr>
          </w:p>
        </w:tc>
      </w:tr>
    </w:tbl>
    <w:p w14:paraId="02608F1C">
      <w:pPr>
        <w:jc w:val="left"/>
        <w:rPr>
          <w:rFonts w:ascii="宋体" w:eastAsia="宋体" w:cs="宋体"/>
          <w:color w:val="525353"/>
          <w:sz w:val="32"/>
          <w:szCs w:val="32"/>
        </w:rPr>
      </w:pPr>
    </w:p>
    <w:p w14:paraId="536E4A32">
      <w:pPr>
        <w:jc w:val="left"/>
        <w:rPr>
          <w:rFonts w:ascii="宋体" w:eastAsia="宋体" w:cs="宋体"/>
          <w:color w:val="525353"/>
          <w:sz w:val="32"/>
          <w:szCs w:val="32"/>
        </w:rPr>
      </w:pPr>
    </w:p>
    <w:p w14:paraId="1591693E">
      <w:pPr>
        <w:jc w:val="left"/>
        <w:rPr>
          <w:rFonts w:ascii="宋体" w:eastAsia="宋体" w:cs="宋体"/>
          <w:color w:val="525353"/>
          <w:sz w:val="32"/>
          <w:szCs w:val="32"/>
        </w:rPr>
      </w:pPr>
    </w:p>
    <w:p w14:paraId="682A1EA9">
      <w:pPr>
        <w:jc w:val="left"/>
        <w:rPr>
          <w:rFonts w:ascii="宋体" w:eastAsia="宋体" w:cs="宋体"/>
          <w:color w:val="525353"/>
          <w:sz w:val="32"/>
          <w:szCs w:val="32"/>
        </w:rPr>
      </w:pPr>
    </w:p>
    <w:p w14:paraId="5179C3C6">
      <w:pPr>
        <w:jc w:val="left"/>
        <w:rPr>
          <w:rFonts w:ascii="黑体" w:eastAsia="黑体"/>
          <w:sz w:val="32"/>
          <w:szCs w:val="32"/>
        </w:rPr>
      </w:pPr>
      <w:r>
        <w:rPr>
          <w:rFonts w:hint="eastAsia" w:ascii="Times New Roman" w:hAnsi="Times New Roman" w:eastAsia="黑体" w:cs="Times New Roman"/>
          <w:sz w:val="32"/>
          <w:szCs w:val="32"/>
        </w:rPr>
        <w:t xml:space="preserve">附件3  </w:t>
      </w:r>
    </w:p>
    <w:p w14:paraId="7B394863">
      <w:pPr>
        <w:jc w:val="center"/>
        <w:rPr>
          <w:rFonts w:ascii="黑体" w:eastAsia="黑体"/>
          <w:color w:val="000000"/>
          <w:sz w:val="32"/>
          <w:szCs w:val="32"/>
        </w:rPr>
      </w:pPr>
      <w:r>
        <w:rPr>
          <w:rFonts w:hint="eastAsia" w:ascii="黑体" w:eastAsia="黑体"/>
          <w:color w:val="000000"/>
          <w:sz w:val="32"/>
          <w:szCs w:val="32"/>
        </w:rPr>
        <w:t>业务质量考评专项检查表</w:t>
      </w:r>
    </w:p>
    <w:p w14:paraId="2A9A5B67">
      <w:pPr>
        <w:spacing w:line="320" w:lineRule="exact"/>
        <w:rPr>
          <w:rFonts w:eastAsia="宋体"/>
          <w:sz w:val="24"/>
          <w:szCs w:val="24"/>
          <w:u w:val="single"/>
        </w:rPr>
      </w:pPr>
      <w:r>
        <w:rPr>
          <w:rFonts w:hint="eastAsia"/>
          <w:sz w:val="24"/>
          <w:szCs w:val="24"/>
        </w:rPr>
        <w:t>市县（区）  检查日期：</w:t>
      </w:r>
      <w:r>
        <w:rPr>
          <w:sz w:val="24"/>
          <w:szCs w:val="24"/>
        </w:rPr>
        <w:t>年月</w:t>
      </w:r>
      <w:r>
        <w:rPr>
          <w:rFonts w:hint="eastAsia"/>
          <w:sz w:val="24"/>
          <w:szCs w:val="24"/>
        </w:rPr>
        <w:t xml:space="preserve"> 日</w:t>
      </w:r>
    </w:p>
    <w:tbl>
      <w:tblPr>
        <w:tblStyle w:val="6"/>
        <w:tblW w:w="11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7"/>
        <w:gridCol w:w="839"/>
        <w:gridCol w:w="1880"/>
        <w:gridCol w:w="104"/>
        <w:gridCol w:w="18"/>
        <w:gridCol w:w="1145"/>
        <w:gridCol w:w="447"/>
        <w:gridCol w:w="2245"/>
        <w:gridCol w:w="1784"/>
      </w:tblGrid>
      <w:tr w14:paraId="14E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1" w:type="dxa"/>
            <w:vMerge w:val="restart"/>
            <w:vAlign w:val="center"/>
          </w:tcPr>
          <w:p w14:paraId="3BA8F920">
            <w:pPr>
              <w:jc w:val="center"/>
              <w:rPr>
                <w:rFonts w:ascii="黑体" w:eastAsia="黑体"/>
                <w:sz w:val="24"/>
                <w:szCs w:val="24"/>
              </w:rPr>
            </w:pPr>
            <w:r>
              <w:rPr>
                <w:rFonts w:hint="eastAsia" w:ascii="黑体" w:eastAsia="黑体"/>
                <w:sz w:val="24"/>
                <w:szCs w:val="24"/>
              </w:rPr>
              <w:t>项目基本情况</w:t>
            </w:r>
          </w:p>
        </w:tc>
        <w:tc>
          <w:tcPr>
            <w:tcW w:w="1807" w:type="dxa"/>
            <w:vAlign w:val="center"/>
          </w:tcPr>
          <w:p w14:paraId="158B11AE">
            <w:pPr>
              <w:jc w:val="center"/>
              <w:rPr>
                <w:sz w:val="24"/>
                <w:szCs w:val="24"/>
              </w:rPr>
            </w:pPr>
            <w:r>
              <w:rPr>
                <w:sz w:val="24"/>
                <w:szCs w:val="24"/>
              </w:rPr>
              <w:t>项目名称</w:t>
            </w:r>
          </w:p>
        </w:tc>
        <w:tc>
          <w:tcPr>
            <w:tcW w:w="2841" w:type="dxa"/>
            <w:gridSpan w:val="4"/>
            <w:vAlign w:val="center"/>
          </w:tcPr>
          <w:p w14:paraId="39CB30DD">
            <w:pPr>
              <w:jc w:val="center"/>
              <w:rPr>
                <w:sz w:val="24"/>
                <w:szCs w:val="24"/>
              </w:rPr>
            </w:pPr>
          </w:p>
        </w:tc>
        <w:tc>
          <w:tcPr>
            <w:tcW w:w="1592" w:type="dxa"/>
            <w:gridSpan w:val="2"/>
            <w:vAlign w:val="center"/>
          </w:tcPr>
          <w:p w14:paraId="3120283F">
            <w:pPr>
              <w:jc w:val="center"/>
              <w:rPr>
                <w:sz w:val="24"/>
                <w:szCs w:val="24"/>
              </w:rPr>
            </w:pPr>
            <w:r>
              <w:rPr>
                <w:sz w:val="24"/>
                <w:szCs w:val="24"/>
              </w:rPr>
              <w:t>招标人名称</w:t>
            </w:r>
          </w:p>
        </w:tc>
        <w:tc>
          <w:tcPr>
            <w:tcW w:w="4029" w:type="dxa"/>
            <w:gridSpan w:val="2"/>
            <w:vAlign w:val="center"/>
          </w:tcPr>
          <w:p w14:paraId="61ACE596">
            <w:pPr>
              <w:spacing w:line="360" w:lineRule="exact"/>
              <w:jc w:val="center"/>
              <w:rPr>
                <w:sz w:val="24"/>
                <w:szCs w:val="24"/>
              </w:rPr>
            </w:pPr>
          </w:p>
        </w:tc>
      </w:tr>
      <w:tr w14:paraId="27F1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Merge w:val="continue"/>
            <w:vAlign w:val="center"/>
          </w:tcPr>
          <w:p w14:paraId="6E1F42F2"/>
        </w:tc>
        <w:tc>
          <w:tcPr>
            <w:tcW w:w="1807" w:type="dxa"/>
            <w:vAlign w:val="center"/>
          </w:tcPr>
          <w:p w14:paraId="51548F6F">
            <w:pPr>
              <w:jc w:val="center"/>
              <w:rPr>
                <w:sz w:val="24"/>
                <w:szCs w:val="24"/>
              </w:rPr>
            </w:pPr>
            <w:r>
              <w:rPr>
                <w:rFonts w:hint="eastAsia"/>
                <w:sz w:val="24"/>
                <w:szCs w:val="24"/>
              </w:rPr>
              <w:t>招标代理机构</w:t>
            </w:r>
          </w:p>
        </w:tc>
        <w:tc>
          <w:tcPr>
            <w:tcW w:w="8462" w:type="dxa"/>
            <w:gridSpan w:val="8"/>
            <w:vAlign w:val="center"/>
          </w:tcPr>
          <w:p w14:paraId="0942B75F">
            <w:pPr>
              <w:spacing w:line="360" w:lineRule="exact"/>
              <w:jc w:val="left"/>
              <w:rPr>
                <w:sz w:val="24"/>
                <w:szCs w:val="24"/>
              </w:rPr>
            </w:pPr>
          </w:p>
        </w:tc>
      </w:tr>
      <w:tr w14:paraId="2FA3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10BBE74F"/>
        </w:tc>
        <w:tc>
          <w:tcPr>
            <w:tcW w:w="1807" w:type="dxa"/>
            <w:vAlign w:val="center"/>
          </w:tcPr>
          <w:p w14:paraId="57BA242A">
            <w:pPr>
              <w:spacing w:line="360" w:lineRule="exact"/>
              <w:jc w:val="center"/>
              <w:rPr>
                <w:sz w:val="24"/>
                <w:szCs w:val="24"/>
              </w:rPr>
            </w:pPr>
            <w:r>
              <w:rPr>
                <w:rFonts w:hint="eastAsia"/>
                <w:sz w:val="24"/>
                <w:szCs w:val="24"/>
              </w:rPr>
              <w:t>项目总投资</w:t>
            </w:r>
          </w:p>
        </w:tc>
        <w:tc>
          <w:tcPr>
            <w:tcW w:w="2841" w:type="dxa"/>
            <w:gridSpan w:val="4"/>
            <w:vAlign w:val="center"/>
          </w:tcPr>
          <w:p w14:paraId="0A9981C1">
            <w:pPr>
              <w:spacing w:line="360" w:lineRule="exact"/>
              <w:rPr>
                <w:sz w:val="24"/>
                <w:szCs w:val="24"/>
              </w:rPr>
            </w:pPr>
          </w:p>
        </w:tc>
        <w:tc>
          <w:tcPr>
            <w:tcW w:w="1592" w:type="dxa"/>
            <w:gridSpan w:val="2"/>
            <w:vAlign w:val="center"/>
          </w:tcPr>
          <w:p w14:paraId="00757F70">
            <w:pPr>
              <w:spacing w:line="360" w:lineRule="exact"/>
              <w:jc w:val="center"/>
              <w:rPr>
                <w:sz w:val="24"/>
                <w:szCs w:val="24"/>
              </w:rPr>
            </w:pPr>
            <w:r>
              <w:rPr>
                <w:rFonts w:hint="eastAsia"/>
                <w:sz w:val="24"/>
                <w:szCs w:val="24"/>
              </w:rPr>
              <w:t>资金来源</w:t>
            </w:r>
          </w:p>
        </w:tc>
        <w:tc>
          <w:tcPr>
            <w:tcW w:w="4029" w:type="dxa"/>
            <w:gridSpan w:val="2"/>
            <w:vAlign w:val="center"/>
          </w:tcPr>
          <w:p w14:paraId="6E767A4D">
            <w:pPr>
              <w:spacing w:line="360" w:lineRule="exact"/>
              <w:rPr>
                <w:sz w:val="24"/>
                <w:szCs w:val="24"/>
              </w:rPr>
            </w:pPr>
          </w:p>
        </w:tc>
      </w:tr>
      <w:tr w14:paraId="1B86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1" w:type="dxa"/>
            <w:vAlign w:val="center"/>
          </w:tcPr>
          <w:p w14:paraId="02597BDB">
            <w:pPr>
              <w:spacing w:line="240" w:lineRule="exact"/>
              <w:jc w:val="center"/>
              <w:rPr>
                <w:rFonts w:ascii="黑体" w:eastAsia="黑体"/>
                <w:sz w:val="24"/>
                <w:szCs w:val="24"/>
              </w:rPr>
            </w:pPr>
            <w:r>
              <w:rPr>
                <w:rFonts w:hint="eastAsia" w:ascii="黑体" w:eastAsia="黑体"/>
                <w:sz w:val="24"/>
                <w:szCs w:val="24"/>
              </w:rPr>
              <w:t>代理合同</w:t>
            </w:r>
          </w:p>
        </w:tc>
        <w:tc>
          <w:tcPr>
            <w:tcW w:w="6240" w:type="dxa"/>
            <w:gridSpan w:val="7"/>
            <w:vAlign w:val="center"/>
          </w:tcPr>
          <w:p w14:paraId="5553C469">
            <w:pPr>
              <w:spacing w:line="360" w:lineRule="exact"/>
              <w:rPr>
                <w:sz w:val="24"/>
                <w:szCs w:val="24"/>
              </w:rPr>
            </w:pPr>
            <w:r>
              <w:rPr>
                <w:sz w:val="24"/>
                <w:szCs w:val="24"/>
              </w:rPr>
              <w:t>是否</w:t>
            </w:r>
            <w:r>
              <w:rPr>
                <w:rFonts w:hint="eastAsia"/>
                <w:sz w:val="24"/>
                <w:szCs w:val="24"/>
              </w:rPr>
              <w:t>签订代理合同：□是□否</w:t>
            </w:r>
          </w:p>
        </w:tc>
        <w:tc>
          <w:tcPr>
            <w:tcW w:w="4029" w:type="dxa"/>
            <w:gridSpan w:val="2"/>
            <w:vAlign w:val="center"/>
          </w:tcPr>
          <w:p w14:paraId="1CC79473">
            <w:pPr>
              <w:spacing w:line="360" w:lineRule="exact"/>
              <w:rPr>
                <w:sz w:val="24"/>
                <w:szCs w:val="24"/>
              </w:rPr>
            </w:pPr>
            <w:r>
              <w:rPr>
                <w:sz w:val="24"/>
                <w:szCs w:val="24"/>
              </w:rPr>
              <w:t>合同代理酬金</w:t>
            </w:r>
            <w:r>
              <w:rPr>
                <w:rFonts w:hint="eastAsia"/>
                <w:sz w:val="24"/>
                <w:szCs w:val="24"/>
              </w:rPr>
              <w:t>：</w:t>
            </w:r>
            <w:r>
              <w:rPr>
                <w:sz w:val="24"/>
                <w:szCs w:val="24"/>
              </w:rPr>
              <w:t>万元</w:t>
            </w:r>
          </w:p>
        </w:tc>
      </w:tr>
      <w:tr w14:paraId="481B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Align w:val="center"/>
          </w:tcPr>
          <w:p w14:paraId="3BF6C7D6">
            <w:pPr>
              <w:jc w:val="center"/>
              <w:rPr>
                <w:rFonts w:ascii="黑体" w:eastAsia="黑体"/>
                <w:sz w:val="24"/>
                <w:szCs w:val="24"/>
              </w:rPr>
            </w:pPr>
            <w:r>
              <w:rPr>
                <w:rFonts w:hint="eastAsia" w:ascii="黑体" w:eastAsia="黑体"/>
                <w:sz w:val="24"/>
                <w:szCs w:val="24"/>
              </w:rPr>
              <w:t>招标方式</w:t>
            </w:r>
          </w:p>
        </w:tc>
        <w:tc>
          <w:tcPr>
            <w:tcW w:w="4648" w:type="dxa"/>
            <w:gridSpan w:val="5"/>
            <w:vAlign w:val="center"/>
          </w:tcPr>
          <w:p w14:paraId="6ED7C9F5">
            <w:pPr>
              <w:spacing w:line="360" w:lineRule="exact"/>
              <w:rPr>
                <w:sz w:val="24"/>
                <w:szCs w:val="24"/>
              </w:rPr>
            </w:pPr>
            <w:r>
              <w:rPr>
                <w:rFonts w:hint="eastAsia"/>
                <w:sz w:val="24"/>
                <w:szCs w:val="24"/>
              </w:rPr>
              <w:t>□公开招标      □邀请招标</w:t>
            </w:r>
          </w:p>
        </w:tc>
        <w:tc>
          <w:tcPr>
            <w:tcW w:w="5621" w:type="dxa"/>
            <w:gridSpan w:val="4"/>
            <w:vAlign w:val="center"/>
          </w:tcPr>
          <w:p w14:paraId="756503EE">
            <w:pPr>
              <w:spacing w:line="360" w:lineRule="exact"/>
              <w:rPr>
                <w:sz w:val="24"/>
                <w:szCs w:val="24"/>
              </w:rPr>
            </w:pPr>
            <w:r>
              <w:rPr>
                <w:rFonts w:hint="eastAsia"/>
                <w:sz w:val="24"/>
                <w:szCs w:val="24"/>
              </w:rPr>
              <w:t>是否与核准方式一致：□是   □否</w:t>
            </w:r>
          </w:p>
        </w:tc>
      </w:tr>
      <w:tr w14:paraId="41AD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1" w:type="dxa"/>
            <w:vMerge w:val="restart"/>
            <w:vAlign w:val="center"/>
          </w:tcPr>
          <w:p w14:paraId="75E25737">
            <w:pPr>
              <w:jc w:val="center"/>
              <w:rPr>
                <w:rFonts w:ascii="黑体" w:eastAsia="黑体"/>
                <w:sz w:val="24"/>
                <w:szCs w:val="24"/>
              </w:rPr>
            </w:pPr>
            <w:r>
              <w:rPr>
                <w:rFonts w:hint="eastAsia" w:ascii="黑体" w:eastAsia="黑体"/>
                <w:sz w:val="24"/>
                <w:szCs w:val="24"/>
              </w:rPr>
              <w:t>招标公告</w:t>
            </w:r>
          </w:p>
        </w:tc>
        <w:tc>
          <w:tcPr>
            <w:tcW w:w="4648" w:type="dxa"/>
            <w:gridSpan w:val="5"/>
            <w:vAlign w:val="center"/>
          </w:tcPr>
          <w:p w14:paraId="6806B960">
            <w:pPr>
              <w:spacing w:line="360" w:lineRule="exact"/>
              <w:rPr>
                <w:sz w:val="24"/>
                <w:szCs w:val="24"/>
              </w:rPr>
            </w:pPr>
            <w:r>
              <w:rPr>
                <w:rFonts w:hint="eastAsia"/>
                <w:sz w:val="24"/>
                <w:szCs w:val="24"/>
              </w:rPr>
              <w:t>公告发布时间：□少于5日□不少于5日</w:t>
            </w:r>
          </w:p>
        </w:tc>
        <w:tc>
          <w:tcPr>
            <w:tcW w:w="5621" w:type="dxa"/>
            <w:gridSpan w:val="4"/>
            <w:vAlign w:val="center"/>
          </w:tcPr>
          <w:p w14:paraId="0B6EBA9C">
            <w:pPr>
              <w:spacing w:line="360" w:lineRule="exact"/>
              <w:rPr>
                <w:sz w:val="24"/>
                <w:szCs w:val="24"/>
              </w:rPr>
            </w:pPr>
          </w:p>
        </w:tc>
      </w:tr>
      <w:tr w14:paraId="760F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11" w:type="dxa"/>
            <w:vMerge w:val="continue"/>
            <w:vAlign w:val="center"/>
          </w:tcPr>
          <w:p w14:paraId="0BBC3732"/>
        </w:tc>
        <w:tc>
          <w:tcPr>
            <w:tcW w:w="10269" w:type="dxa"/>
            <w:gridSpan w:val="9"/>
            <w:vAlign w:val="center"/>
          </w:tcPr>
          <w:p w14:paraId="2266E404">
            <w:pPr>
              <w:spacing w:line="360" w:lineRule="exact"/>
              <w:rPr>
                <w:sz w:val="24"/>
                <w:szCs w:val="24"/>
              </w:rPr>
            </w:pPr>
            <w:r>
              <w:rPr>
                <w:rFonts w:hint="eastAsia"/>
                <w:sz w:val="24"/>
                <w:szCs w:val="24"/>
              </w:rPr>
              <w:t>公告发布的媒介：□中国招标投标公共服务平台□广西壮族自治区招标投标公共服务平台</w:t>
            </w:r>
          </w:p>
          <w:p w14:paraId="78FFC910">
            <w:pPr>
              <w:spacing w:line="360" w:lineRule="exact"/>
              <w:rPr>
                <w:sz w:val="24"/>
                <w:szCs w:val="24"/>
                <w:u w:val="single"/>
              </w:rPr>
            </w:pPr>
            <w:r>
              <w:rPr>
                <w:rFonts w:hint="eastAsia"/>
                <w:sz w:val="24"/>
                <w:szCs w:val="24"/>
              </w:rPr>
              <w:t>□</w:t>
            </w:r>
            <w:r>
              <w:rPr>
                <w:sz w:val="24"/>
                <w:szCs w:val="24"/>
              </w:rPr>
              <w:t>柳州市公共资源交易</w:t>
            </w:r>
            <w:r>
              <w:rPr>
                <w:rFonts w:hint="eastAsia"/>
                <w:sz w:val="24"/>
                <w:szCs w:val="24"/>
              </w:rPr>
              <w:t xml:space="preserve">中心网站      □其他 </w:t>
            </w:r>
          </w:p>
        </w:tc>
      </w:tr>
      <w:tr w14:paraId="3142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1" w:type="dxa"/>
            <w:vMerge w:val="continue"/>
            <w:vAlign w:val="center"/>
          </w:tcPr>
          <w:p w14:paraId="5CECF69F"/>
        </w:tc>
        <w:tc>
          <w:tcPr>
            <w:tcW w:w="10269" w:type="dxa"/>
            <w:gridSpan w:val="9"/>
            <w:tcBorders>
              <w:top w:val="nil"/>
            </w:tcBorders>
            <w:vAlign w:val="center"/>
          </w:tcPr>
          <w:p w14:paraId="33FE56AE">
            <w:pPr>
              <w:spacing w:line="360" w:lineRule="exact"/>
              <w:jc w:val="left"/>
              <w:rPr>
                <w:sz w:val="24"/>
                <w:szCs w:val="24"/>
              </w:rPr>
            </w:pPr>
            <w:r>
              <w:rPr>
                <w:rFonts w:hint="eastAsia"/>
                <w:sz w:val="24"/>
                <w:szCs w:val="24"/>
              </w:rPr>
              <w:t>是否存在排斥潜在投标人条款：□是□否</w:t>
            </w:r>
          </w:p>
          <w:p w14:paraId="005B9F67">
            <w:pPr>
              <w:spacing w:line="360" w:lineRule="exact"/>
              <w:jc w:val="left"/>
              <w:rPr>
                <w:sz w:val="24"/>
                <w:szCs w:val="24"/>
              </w:rPr>
            </w:pPr>
            <w:r>
              <w:rPr>
                <w:rFonts w:hint="eastAsia"/>
                <w:sz w:val="24"/>
                <w:szCs w:val="24"/>
              </w:rPr>
              <w:t>（□企业注册地  □过高资质要求  □特定地域业绩及奖项  □其他）</w:t>
            </w:r>
          </w:p>
        </w:tc>
      </w:tr>
      <w:tr w14:paraId="6A8D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vAlign w:val="center"/>
          </w:tcPr>
          <w:p w14:paraId="2D4BC463">
            <w:pPr>
              <w:jc w:val="center"/>
              <w:rPr>
                <w:rFonts w:ascii="黑体" w:eastAsia="黑体"/>
                <w:sz w:val="24"/>
                <w:szCs w:val="24"/>
              </w:rPr>
            </w:pPr>
            <w:r>
              <w:rPr>
                <w:rFonts w:hint="eastAsia" w:ascii="黑体" w:eastAsia="黑体"/>
                <w:sz w:val="24"/>
                <w:szCs w:val="24"/>
              </w:rPr>
              <w:t>招标文件</w:t>
            </w:r>
          </w:p>
        </w:tc>
        <w:tc>
          <w:tcPr>
            <w:tcW w:w="10269" w:type="dxa"/>
            <w:gridSpan w:val="9"/>
            <w:vAlign w:val="center"/>
          </w:tcPr>
          <w:p w14:paraId="10AE4CD8">
            <w:pPr>
              <w:spacing w:line="360" w:lineRule="exact"/>
              <w:jc w:val="left"/>
              <w:rPr>
                <w:sz w:val="24"/>
                <w:szCs w:val="24"/>
              </w:rPr>
            </w:pPr>
            <w:r>
              <w:rPr>
                <w:rFonts w:hint="eastAsia"/>
                <w:sz w:val="24"/>
                <w:szCs w:val="24"/>
              </w:rPr>
              <w:t>使用的标准文本：□区招标文件范本   □柳州市招标文件范本  □其他</w:t>
            </w:r>
          </w:p>
        </w:tc>
      </w:tr>
      <w:tr w14:paraId="7E8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33191F47"/>
        </w:tc>
        <w:tc>
          <w:tcPr>
            <w:tcW w:w="6240" w:type="dxa"/>
            <w:gridSpan w:val="7"/>
            <w:vAlign w:val="center"/>
          </w:tcPr>
          <w:p w14:paraId="731E6778">
            <w:pPr>
              <w:spacing w:line="360" w:lineRule="exact"/>
              <w:jc w:val="left"/>
              <w:rPr>
                <w:sz w:val="24"/>
                <w:szCs w:val="24"/>
              </w:rPr>
            </w:pPr>
            <w:r>
              <w:rPr>
                <w:rFonts w:hint="eastAsia"/>
                <w:sz w:val="24"/>
                <w:szCs w:val="24"/>
              </w:rPr>
              <w:t>标准文件使用情况： □完全使用  □部分使用  □不使用</w:t>
            </w:r>
          </w:p>
        </w:tc>
        <w:tc>
          <w:tcPr>
            <w:tcW w:w="4029" w:type="dxa"/>
            <w:gridSpan w:val="2"/>
            <w:vAlign w:val="center"/>
          </w:tcPr>
          <w:p w14:paraId="72E2F85F">
            <w:pPr>
              <w:spacing w:line="360" w:lineRule="exact"/>
              <w:jc w:val="left"/>
              <w:rPr>
                <w:sz w:val="24"/>
                <w:szCs w:val="24"/>
              </w:rPr>
            </w:pPr>
            <w:r>
              <w:rPr>
                <w:rFonts w:hint="eastAsia"/>
                <w:sz w:val="24"/>
                <w:szCs w:val="24"/>
              </w:rPr>
              <w:t>评标办法是否合理： □是  □否</w:t>
            </w:r>
          </w:p>
        </w:tc>
      </w:tr>
      <w:tr w14:paraId="130D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082385A4"/>
        </w:tc>
        <w:tc>
          <w:tcPr>
            <w:tcW w:w="6240" w:type="dxa"/>
            <w:gridSpan w:val="7"/>
            <w:vAlign w:val="center"/>
          </w:tcPr>
          <w:p w14:paraId="726F678B">
            <w:pPr>
              <w:spacing w:line="360" w:lineRule="exact"/>
              <w:rPr>
                <w:sz w:val="24"/>
                <w:szCs w:val="24"/>
              </w:rPr>
            </w:pPr>
            <w:r>
              <w:rPr>
                <w:sz w:val="24"/>
                <w:szCs w:val="24"/>
              </w:rPr>
              <w:t>投标保证金收取额度是否</w:t>
            </w:r>
            <w:r>
              <w:rPr>
                <w:rFonts w:hint="eastAsia"/>
                <w:sz w:val="24"/>
                <w:szCs w:val="24"/>
              </w:rPr>
              <w:t>超过2%或超过50万：</w:t>
            </w:r>
            <w:r>
              <w:rPr>
                <w:sz w:val="24"/>
                <w:szCs w:val="24"/>
              </w:rPr>
              <w:sym w:font="Wingdings 2" w:char="00A3"/>
            </w:r>
            <w:r>
              <w:rPr>
                <w:sz w:val="24"/>
                <w:szCs w:val="24"/>
              </w:rPr>
              <w:t>是</w:t>
            </w:r>
            <w:r>
              <w:rPr>
                <w:rFonts w:hint="eastAsia"/>
                <w:sz w:val="24"/>
                <w:szCs w:val="24"/>
              </w:rPr>
              <w:t xml:space="preserve"> □</w:t>
            </w:r>
            <w:r>
              <w:rPr>
                <w:sz w:val="24"/>
                <w:szCs w:val="24"/>
              </w:rPr>
              <w:t>否</w:t>
            </w:r>
          </w:p>
        </w:tc>
        <w:tc>
          <w:tcPr>
            <w:tcW w:w="4029" w:type="dxa"/>
            <w:gridSpan w:val="2"/>
            <w:vAlign w:val="center"/>
          </w:tcPr>
          <w:p w14:paraId="13215B2E">
            <w:pPr>
              <w:spacing w:line="360" w:lineRule="exact"/>
              <w:rPr>
                <w:sz w:val="24"/>
                <w:szCs w:val="24"/>
              </w:rPr>
            </w:pPr>
            <w:r>
              <w:rPr>
                <w:rFonts w:hint="eastAsia"/>
                <w:sz w:val="24"/>
                <w:szCs w:val="24"/>
              </w:rPr>
              <w:t>投标保证金是否接受保函：□是□否</w:t>
            </w:r>
          </w:p>
        </w:tc>
      </w:tr>
      <w:tr w14:paraId="3582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7B8FC9EB"/>
        </w:tc>
        <w:tc>
          <w:tcPr>
            <w:tcW w:w="6240" w:type="dxa"/>
            <w:gridSpan w:val="7"/>
            <w:vAlign w:val="center"/>
          </w:tcPr>
          <w:p w14:paraId="1F5C1F9E">
            <w:pPr>
              <w:spacing w:line="360" w:lineRule="exact"/>
              <w:rPr>
                <w:sz w:val="24"/>
                <w:szCs w:val="24"/>
              </w:rPr>
            </w:pPr>
            <w:r>
              <w:rPr>
                <w:rFonts w:hint="eastAsia"/>
                <w:sz w:val="24"/>
                <w:szCs w:val="24"/>
              </w:rPr>
              <w:t>履约保证金收取额度是否超过10%：□是    □否</w:t>
            </w:r>
          </w:p>
        </w:tc>
        <w:tc>
          <w:tcPr>
            <w:tcW w:w="4029" w:type="dxa"/>
            <w:gridSpan w:val="2"/>
            <w:vAlign w:val="center"/>
          </w:tcPr>
          <w:p w14:paraId="7CA61DE3">
            <w:pPr>
              <w:spacing w:line="360" w:lineRule="exact"/>
              <w:rPr>
                <w:sz w:val="24"/>
                <w:szCs w:val="24"/>
              </w:rPr>
            </w:pPr>
            <w:r>
              <w:rPr>
                <w:rFonts w:hint="eastAsia"/>
                <w:sz w:val="24"/>
                <w:szCs w:val="24"/>
              </w:rPr>
              <w:t>履约保证金是否接受保函：□是□否</w:t>
            </w:r>
          </w:p>
        </w:tc>
      </w:tr>
      <w:tr w14:paraId="1A3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0E3E1C39"/>
        </w:tc>
        <w:tc>
          <w:tcPr>
            <w:tcW w:w="6240" w:type="dxa"/>
            <w:gridSpan w:val="7"/>
            <w:vAlign w:val="center"/>
          </w:tcPr>
          <w:p w14:paraId="57878110">
            <w:pPr>
              <w:spacing w:line="360" w:lineRule="exact"/>
              <w:rPr>
                <w:sz w:val="24"/>
                <w:szCs w:val="24"/>
              </w:rPr>
            </w:pPr>
            <w:r>
              <w:rPr>
                <w:rFonts w:hint="eastAsia"/>
                <w:sz w:val="24"/>
                <w:szCs w:val="24"/>
              </w:rPr>
              <w:t xml:space="preserve">质量保证金是否超过3%： □是  □否 </w:t>
            </w:r>
          </w:p>
        </w:tc>
        <w:tc>
          <w:tcPr>
            <w:tcW w:w="4029" w:type="dxa"/>
            <w:gridSpan w:val="2"/>
            <w:vAlign w:val="center"/>
          </w:tcPr>
          <w:p w14:paraId="7878B140">
            <w:pPr>
              <w:spacing w:line="360" w:lineRule="exact"/>
              <w:rPr>
                <w:sz w:val="24"/>
                <w:szCs w:val="24"/>
              </w:rPr>
            </w:pPr>
            <w:r>
              <w:rPr>
                <w:rFonts w:hint="eastAsia"/>
                <w:sz w:val="24"/>
                <w:szCs w:val="24"/>
              </w:rPr>
              <w:t>质量保证金是否接受保函：</w:t>
            </w:r>
            <w:r>
              <w:rPr>
                <w:sz w:val="24"/>
                <w:szCs w:val="24"/>
              </w:rPr>
              <w:sym w:font="Wingdings 2" w:char="00A3"/>
            </w:r>
            <w:r>
              <w:rPr>
                <w:rFonts w:hint="eastAsia"/>
                <w:sz w:val="24"/>
                <w:szCs w:val="24"/>
              </w:rPr>
              <w:t>是□否</w:t>
            </w:r>
          </w:p>
        </w:tc>
      </w:tr>
      <w:tr w14:paraId="230A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148E3834"/>
        </w:tc>
        <w:tc>
          <w:tcPr>
            <w:tcW w:w="4630" w:type="dxa"/>
            <w:gridSpan w:val="4"/>
            <w:vAlign w:val="center"/>
          </w:tcPr>
          <w:p w14:paraId="366367EC">
            <w:pPr>
              <w:spacing w:line="360" w:lineRule="exact"/>
              <w:rPr>
                <w:sz w:val="24"/>
                <w:szCs w:val="24"/>
              </w:rPr>
            </w:pPr>
            <w:r>
              <w:rPr>
                <w:rFonts w:hint="eastAsia"/>
                <w:sz w:val="24"/>
                <w:szCs w:val="24"/>
              </w:rPr>
              <w:t>招标文件、招标控制价是否加盖公章：</w:t>
            </w:r>
          </w:p>
          <w:p w14:paraId="3F93AC9D">
            <w:pPr>
              <w:spacing w:line="360" w:lineRule="exact"/>
              <w:rPr>
                <w:sz w:val="24"/>
                <w:szCs w:val="24"/>
              </w:rPr>
            </w:pPr>
            <w:r>
              <w:rPr>
                <w:rFonts w:hint="eastAsia"/>
                <w:sz w:val="24"/>
                <w:szCs w:val="24"/>
              </w:rPr>
              <w:t>□</w:t>
            </w:r>
            <w:r>
              <w:rPr>
                <w:sz w:val="24"/>
                <w:szCs w:val="24"/>
              </w:rPr>
              <w:t>是</w:t>
            </w:r>
            <w:r>
              <w:rPr>
                <w:rFonts w:hint="eastAsia"/>
                <w:sz w:val="24"/>
                <w:szCs w:val="24"/>
              </w:rPr>
              <w:t xml:space="preserve">  □</w:t>
            </w:r>
            <w:r>
              <w:rPr>
                <w:sz w:val="24"/>
                <w:szCs w:val="24"/>
              </w:rPr>
              <w:t>否</w:t>
            </w:r>
          </w:p>
        </w:tc>
        <w:tc>
          <w:tcPr>
            <w:tcW w:w="5639" w:type="dxa"/>
            <w:gridSpan w:val="5"/>
            <w:vAlign w:val="center"/>
          </w:tcPr>
          <w:p w14:paraId="2F24FB2B">
            <w:pPr>
              <w:spacing w:line="360" w:lineRule="exact"/>
              <w:rPr>
                <w:sz w:val="24"/>
                <w:szCs w:val="24"/>
              </w:rPr>
            </w:pPr>
            <w:r>
              <w:rPr>
                <w:rFonts w:hint="eastAsia"/>
                <w:sz w:val="24"/>
                <w:szCs w:val="24"/>
              </w:rPr>
              <w:t>招标控制价是否加盖注册造价工程师执业章：</w:t>
            </w:r>
          </w:p>
          <w:p w14:paraId="4D481EA0">
            <w:pPr>
              <w:spacing w:line="360" w:lineRule="exact"/>
              <w:rPr>
                <w:sz w:val="24"/>
                <w:szCs w:val="24"/>
              </w:rPr>
            </w:pPr>
            <w:r>
              <w:rPr>
                <w:rFonts w:hint="eastAsia"/>
                <w:sz w:val="24"/>
                <w:szCs w:val="24"/>
              </w:rPr>
              <w:t>□</w:t>
            </w:r>
            <w:r>
              <w:rPr>
                <w:sz w:val="24"/>
                <w:szCs w:val="24"/>
              </w:rPr>
              <w:t>是</w:t>
            </w:r>
            <w:r>
              <w:rPr>
                <w:rFonts w:hint="eastAsia"/>
                <w:sz w:val="24"/>
                <w:szCs w:val="24"/>
              </w:rPr>
              <w:t>□</w:t>
            </w:r>
            <w:r>
              <w:rPr>
                <w:sz w:val="24"/>
                <w:szCs w:val="24"/>
              </w:rPr>
              <w:t>否</w:t>
            </w:r>
          </w:p>
        </w:tc>
      </w:tr>
      <w:tr w14:paraId="51B2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vAlign w:val="center"/>
          </w:tcPr>
          <w:p w14:paraId="61DB9351"/>
        </w:tc>
        <w:tc>
          <w:tcPr>
            <w:tcW w:w="10269" w:type="dxa"/>
            <w:gridSpan w:val="9"/>
            <w:vAlign w:val="center"/>
          </w:tcPr>
          <w:p w14:paraId="64F85B95">
            <w:pPr>
              <w:spacing w:line="360" w:lineRule="exact"/>
              <w:rPr>
                <w:sz w:val="24"/>
                <w:szCs w:val="24"/>
              </w:rPr>
            </w:pPr>
            <w:r>
              <w:rPr>
                <w:rFonts w:hint="eastAsia"/>
                <w:sz w:val="24"/>
                <w:szCs w:val="24"/>
              </w:rPr>
              <w:t>工程总承包项目招标文件是否明确招标需求（包括明确建设规模和建设标准）：□是  □否</w:t>
            </w:r>
          </w:p>
        </w:tc>
      </w:tr>
      <w:tr w14:paraId="7C3E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vAlign w:val="center"/>
          </w:tcPr>
          <w:p w14:paraId="16799495"/>
        </w:tc>
        <w:tc>
          <w:tcPr>
            <w:tcW w:w="10269" w:type="dxa"/>
            <w:gridSpan w:val="9"/>
            <w:vAlign w:val="center"/>
          </w:tcPr>
          <w:p w14:paraId="63313993">
            <w:pPr>
              <w:spacing w:line="360" w:lineRule="exact"/>
              <w:rPr>
                <w:sz w:val="24"/>
                <w:szCs w:val="24"/>
              </w:rPr>
            </w:pPr>
            <w:r>
              <w:rPr>
                <w:rFonts w:hint="eastAsia"/>
                <w:sz w:val="24"/>
                <w:szCs w:val="24"/>
              </w:rPr>
              <w:t>是否存在设定明显超出招标项目具体特点和实际需要的过高的资质资格、技术、商务条件或者业绩、奖项要求等问题：□是  □否</w:t>
            </w:r>
          </w:p>
        </w:tc>
      </w:tr>
      <w:tr w14:paraId="403F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vAlign w:val="center"/>
          </w:tcPr>
          <w:p w14:paraId="1863F2E4"/>
        </w:tc>
        <w:tc>
          <w:tcPr>
            <w:tcW w:w="10269" w:type="dxa"/>
            <w:gridSpan w:val="9"/>
            <w:vAlign w:val="center"/>
          </w:tcPr>
          <w:p w14:paraId="12823645">
            <w:pPr>
              <w:spacing w:line="360" w:lineRule="exact"/>
              <w:rPr>
                <w:sz w:val="24"/>
                <w:szCs w:val="24"/>
              </w:rPr>
            </w:pPr>
            <w:r>
              <w:rPr>
                <w:rFonts w:hint="eastAsia"/>
                <w:sz w:val="24"/>
                <w:szCs w:val="24"/>
              </w:rPr>
              <w:t>是否违法将国家已经明令取消的资质资格作为投标条件、加分条件、中标条件；在国家已经明令取消资质资格的领域，将其他资质资格作为投标条件、加分条件、中标条件：□是  □否</w:t>
            </w:r>
          </w:p>
        </w:tc>
      </w:tr>
      <w:tr w14:paraId="5D75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dxa"/>
            <w:vMerge w:val="restart"/>
            <w:vAlign w:val="center"/>
          </w:tcPr>
          <w:p w14:paraId="2213FC73">
            <w:pPr>
              <w:jc w:val="center"/>
              <w:rPr>
                <w:rFonts w:ascii="黑体" w:eastAsia="黑体"/>
                <w:sz w:val="24"/>
                <w:szCs w:val="24"/>
              </w:rPr>
            </w:pPr>
            <w:r>
              <w:rPr>
                <w:rFonts w:hint="eastAsia" w:ascii="黑体" w:eastAsia="黑体"/>
                <w:sz w:val="24"/>
                <w:szCs w:val="24"/>
              </w:rPr>
              <w:t>开标评标</w:t>
            </w:r>
          </w:p>
        </w:tc>
        <w:tc>
          <w:tcPr>
            <w:tcW w:w="4648" w:type="dxa"/>
            <w:gridSpan w:val="5"/>
            <w:vAlign w:val="center"/>
          </w:tcPr>
          <w:p w14:paraId="6A5585F1">
            <w:pPr>
              <w:spacing w:line="360" w:lineRule="exact"/>
              <w:rPr>
                <w:sz w:val="24"/>
                <w:szCs w:val="24"/>
              </w:rPr>
            </w:pPr>
            <w:r>
              <w:rPr>
                <w:rFonts w:hint="eastAsia"/>
                <w:sz w:val="24"/>
                <w:szCs w:val="24"/>
              </w:rPr>
              <w:t>是否采用电子招投标：□是  □否</w:t>
            </w:r>
          </w:p>
        </w:tc>
        <w:tc>
          <w:tcPr>
            <w:tcW w:w="5621" w:type="dxa"/>
            <w:gridSpan w:val="4"/>
            <w:vAlign w:val="center"/>
          </w:tcPr>
          <w:p w14:paraId="18ACA76C">
            <w:pPr>
              <w:spacing w:line="360" w:lineRule="exact"/>
              <w:rPr>
                <w:sz w:val="24"/>
                <w:szCs w:val="24"/>
              </w:rPr>
            </w:pPr>
            <w:r>
              <w:rPr>
                <w:rFonts w:hint="eastAsia"/>
                <w:sz w:val="24"/>
                <w:szCs w:val="24"/>
              </w:rPr>
              <w:t>是否进入公共资源交易中心集中交易：□是  □否</w:t>
            </w:r>
          </w:p>
        </w:tc>
      </w:tr>
      <w:tr w14:paraId="6EAA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dxa"/>
            <w:vMerge w:val="continue"/>
            <w:vAlign w:val="center"/>
          </w:tcPr>
          <w:p w14:paraId="4C61C5E3"/>
        </w:tc>
        <w:tc>
          <w:tcPr>
            <w:tcW w:w="10269" w:type="dxa"/>
            <w:gridSpan w:val="9"/>
            <w:vAlign w:val="center"/>
          </w:tcPr>
          <w:p w14:paraId="7DAA2BC2">
            <w:pPr>
              <w:spacing w:line="360" w:lineRule="exact"/>
              <w:rPr>
                <w:sz w:val="24"/>
                <w:szCs w:val="24"/>
              </w:rPr>
            </w:pPr>
            <w:r>
              <w:rPr>
                <w:rFonts w:hint="eastAsia"/>
                <w:sz w:val="24"/>
                <w:szCs w:val="24"/>
              </w:rPr>
              <w:t>□施工总承包项目：</w:t>
            </w:r>
          </w:p>
          <w:p w14:paraId="275C1DBA">
            <w:pPr>
              <w:spacing w:line="360" w:lineRule="exact"/>
              <w:rPr>
                <w:sz w:val="24"/>
                <w:szCs w:val="24"/>
              </w:rPr>
            </w:pPr>
            <w:r>
              <w:rPr>
                <w:rFonts w:hint="eastAsia"/>
                <w:sz w:val="24"/>
                <w:szCs w:val="24"/>
              </w:rPr>
              <w:t>招标文件开始发出之日起至投标人提交投标文件截止之日止，是否少于20日： □</w:t>
            </w:r>
            <w:r>
              <w:rPr>
                <w:sz w:val="24"/>
                <w:szCs w:val="24"/>
              </w:rPr>
              <w:t>是</w:t>
            </w:r>
            <w:r>
              <w:rPr>
                <w:rFonts w:hint="eastAsia"/>
                <w:sz w:val="24"/>
                <w:szCs w:val="24"/>
              </w:rPr>
              <w:t xml:space="preserve">    □</w:t>
            </w:r>
            <w:r>
              <w:rPr>
                <w:sz w:val="24"/>
                <w:szCs w:val="24"/>
              </w:rPr>
              <w:t>否</w:t>
            </w:r>
          </w:p>
          <w:p w14:paraId="4BBA5862">
            <w:pPr>
              <w:spacing w:line="360" w:lineRule="exact"/>
              <w:rPr>
                <w:sz w:val="24"/>
                <w:szCs w:val="24"/>
              </w:rPr>
            </w:pPr>
            <w:r>
              <w:rPr>
                <w:rFonts w:hint="eastAsia"/>
                <w:sz w:val="24"/>
                <w:szCs w:val="24"/>
              </w:rPr>
              <w:t>□工程总承包项目：</w:t>
            </w:r>
          </w:p>
          <w:p w14:paraId="5B4869D9">
            <w:pPr>
              <w:spacing w:line="360" w:lineRule="exact"/>
              <w:rPr>
                <w:sz w:val="24"/>
                <w:szCs w:val="24"/>
              </w:rPr>
            </w:pPr>
            <w:r>
              <w:rPr>
                <w:rFonts w:hint="eastAsia"/>
                <w:sz w:val="24"/>
                <w:szCs w:val="24"/>
              </w:rPr>
              <w:t>在可行性研究报告完成后方案设计完成前进行招标的，招标文件开始发出之日起至投标人提交投标文件截止之日至，是否少于25日：□是  □否</w:t>
            </w:r>
          </w:p>
          <w:p w14:paraId="0B0EF0DA">
            <w:pPr>
              <w:spacing w:line="360" w:lineRule="exact"/>
              <w:rPr>
                <w:sz w:val="24"/>
                <w:szCs w:val="24"/>
              </w:rPr>
            </w:pPr>
            <w:r>
              <w:rPr>
                <w:rFonts w:hint="eastAsia"/>
                <w:sz w:val="24"/>
                <w:szCs w:val="24"/>
              </w:rPr>
              <w:t>在方案设计完成后开始进行招标的，招标文件开始发出之日起至投标人提交投标文件截止之日至，是否少于30日：□是  □否</w:t>
            </w:r>
          </w:p>
          <w:p w14:paraId="5FC3BC60">
            <w:pPr>
              <w:spacing w:line="360" w:lineRule="exact"/>
              <w:rPr>
                <w:sz w:val="24"/>
                <w:szCs w:val="24"/>
              </w:rPr>
            </w:pPr>
          </w:p>
        </w:tc>
      </w:tr>
      <w:tr w14:paraId="0BD4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1" w:type="dxa"/>
            <w:vMerge w:val="continue"/>
            <w:vAlign w:val="center"/>
          </w:tcPr>
          <w:p w14:paraId="42AD5DDF"/>
        </w:tc>
        <w:tc>
          <w:tcPr>
            <w:tcW w:w="1807" w:type="dxa"/>
            <w:vAlign w:val="center"/>
          </w:tcPr>
          <w:p w14:paraId="42D3F64B">
            <w:pPr>
              <w:spacing w:line="360" w:lineRule="exact"/>
              <w:jc w:val="center"/>
              <w:rPr>
                <w:sz w:val="24"/>
                <w:szCs w:val="24"/>
              </w:rPr>
            </w:pPr>
            <w:r>
              <w:rPr>
                <w:sz w:val="24"/>
                <w:szCs w:val="24"/>
              </w:rPr>
              <w:t>开标评标地点</w:t>
            </w:r>
          </w:p>
        </w:tc>
        <w:tc>
          <w:tcPr>
            <w:tcW w:w="2841" w:type="dxa"/>
            <w:gridSpan w:val="4"/>
            <w:vAlign w:val="center"/>
          </w:tcPr>
          <w:p w14:paraId="53063E69">
            <w:pPr>
              <w:spacing w:line="360" w:lineRule="exact"/>
              <w:jc w:val="right"/>
              <w:rPr>
                <w:sz w:val="24"/>
                <w:szCs w:val="24"/>
              </w:rPr>
            </w:pPr>
          </w:p>
        </w:tc>
        <w:tc>
          <w:tcPr>
            <w:tcW w:w="5621" w:type="dxa"/>
            <w:gridSpan w:val="4"/>
            <w:vAlign w:val="center"/>
          </w:tcPr>
          <w:p w14:paraId="06B88657">
            <w:pPr>
              <w:spacing w:line="360" w:lineRule="exact"/>
              <w:ind w:firstLine="240" w:firstLineChars="100"/>
              <w:rPr>
                <w:sz w:val="24"/>
                <w:szCs w:val="24"/>
              </w:rPr>
            </w:pPr>
            <w:r>
              <w:rPr>
                <w:rFonts w:hint="eastAsia"/>
                <w:sz w:val="24"/>
                <w:szCs w:val="24"/>
              </w:rPr>
              <w:t>开标时是否刷卡：  □</w:t>
            </w:r>
            <w:r>
              <w:rPr>
                <w:sz w:val="24"/>
                <w:szCs w:val="24"/>
              </w:rPr>
              <w:t>是</w:t>
            </w:r>
            <w:r>
              <w:rPr>
                <w:rFonts w:hint="eastAsia"/>
                <w:sz w:val="24"/>
                <w:szCs w:val="24"/>
              </w:rPr>
              <w:t xml:space="preserve">    □</w:t>
            </w:r>
            <w:r>
              <w:rPr>
                <w:sz w:val="24"/>
                <w:szCs w:val="24"/>
              </w:rPr>
              <w:t>否</w:t>
            </w:r>
          </w:p>
        </w:tc>
      </w:tr>
      <w:tr w14:paraId="0566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11" w:type="dxa"/>
            <w:vMerge w:val="continue"/>
            <w:vAlign w:val="center"/>
          </w:tcPr>
          <w:p w14:paraId="4E966BF8"/>
        </w:tc>
        <w:tc>
          <w:tcPr>
            <w:tcW w:w="1807" w:type="dxa"/>
            <w:vAlign w:val="center"/>
          </w:tcPr>
          <w:p w14:paraId="3F2AA5B4">
            <w:pPr>
              <w:spacing w:line="280" w:lineRule="exact"/>
              <w:jc w:val="center"/>
              <w:rPr>
                <w:sz w:val="24"/>
                <w:szCs w:val="24"/>
              </w:rPr>
            </w:pPr>
            <w:r>
              <w:rPr>
                <w:rFonts w:hint="eastAsia"/>
                <w:sz w:val="24"/>
                <w:szCs w:val="24"/>
              </w:rPr>
              <w:t>招标代理是否入诚信库上岗</w:t>
            </w:r>
          </w:p>
        </w:tc>
        <w:tc>
          <w:tcPr>
            <w:tcW w:w="8462" w:type="dxa"/>
            <w:gridSpan w:val="8"/>
            <w:vAlign w:val="center"/>
          </w:tcPr>
          <w:p w14:paraId="7AD4D6D6">
            <w:pPr>
              <w:spacing w:line="360" w:lineRule="exact"/>
              <w:ind w:firstLine="240" w:firstLineChars="100"/>
              <w:rPr>
                <w:sz w:val="24"/>
                <w:szCs w:val="24"/>
              </w:rPr>
            </w:pPr>
            <w:r>
              <w:rPr>
                <w:rFonts w:hint="eastAsia"/>
                <w:sz w:val="24"/>
                <w:szCs w:val="24"/>
              </w:rPr>
              <w:t>□是  □否</w:t>
            </w:r>
          </w:p>
        </w:tc>
      </w:tr>
      <w:tr w14:paraId="7A7F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vAlign w:val="center"/>
          </w:tcPr>
          <w:p w14:paraId="12761289"/>
        </w:tc>
        <w:tc>
          <w:tcPr>
            <w:tcW w:w="1807" w:type="dxa"/>
            <w:vMerge w:val="restart"/>
            <w:vAlign w:val="center"/>
          </w:tcPr>
          <w:p w14:paraId="7C87CBED">
            <w:pPr>
              <w:spacing w:line="360" w:lineRule="exact"/>
              <w:jc w:val="center"/>
              <w:rPr>
                <w:sz w:val="24"/>
                <w:szCs w:val="24"/>
              </w:rPr>
            </w:pPr>
            <w:r>
              <w:rPr>
                <w:sz w:val="24"/>
                <w:szCs w:val="24"/>
              </w:rPr>
              <w:t>评标委员会</w:t>
            </w:r>
          </w:p>
        </w:tc>
        <w:tc>
          <w:tcPr>
            <w:tcW w:w="2841" w:type="dxa"/>
            <w:gridSpan w:val="4"/>
            <w:vAlign w:val="center"/>
          </w:tcPr>
          <w:p w14:paraId="76988A65">
            <w:pPr>
              <w:spacing w:line="360" w:lineRule="exact"/>
              <w:rPr>
                <w:sz w:val="24"/>
                <w:szCs w:val="24"/>
              </w:rPr>
            </w:pPr>
            <w:r>
              <w:rPr>
                <w:rFonts w:hint="eastAsia"/>
                <w:sz w:val="24"/>
                <w:szCs w:val="24"/>
              </w:rPr>
              <w:t>抽取方式：□语音□人工</w:t>
            </w:r>
          </w:p>
        </w:tc>
        <w:tc>
          <w:tcPr>
            <w:tcW w:w="5621" w:type="dxa"/>
            <w:gridSpan w:val="4"/>
            <w:vAlign w:val="center"/>
          </w:tcPr>
          <w:p w14:paraId="5A560640">
            <w:pPr>
              <w:spacing w:line="360" w:lineRule="exact"/>
              <w:rPr>
                <w:sz w:val="24"/>
                <w:szCs w:val="24"/>
              </w:rPr>
            </w:pPr>
            <w:r>
              <w:rPr>
                <w:sz w:val="24"/>
                <w:szCs w:val="24"/>
              </w:rPr>
              <w:t>抽取地点：</w:t>
            </w:r>
            <w:r>
              <w:rPr>
                <w:rFonts w:hint="eastAsia"/>
                <w:sz w:val="24"/>
                <w:szCs w:val="24"/>
              </w:rPr>
              <w:t>□</w:t>
            </w:r>
            <w:r>
              <w:rPr>
                <w:sz w:val="24"/>
                <w:szCs w:val="24"/>
              </w:rPr>
              <w:t xml:space="preserve">交易中心  </w:t>
            </w:r>
            <w:r>
              <w:rPr>
                <w:rFonts w:hint="eastAsia"/>
                <w:sz w:val="24"/>
                <w:szCs w:val="24"/>
              </w:rPr>
              <w:t>□</w:t>
            </w:r>
            <w:r>
              <w:rPr>
                <w:sz w:val="24"/>
                <w:szCs w:val="24"/>
              </w:rPr>
              <w:t>其他</w:t>
            </w:r>
          </w:p>
        </w:tc>
      </w:tr>
      <w:tr w14:paraId="1268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vAlign w:val="center"/>
          </w:tcPr>
          <w:p w14:paraId="5753E0E2"/>
        </w:tc>
        <w:tc>
          <w:tcPr>
            <w:tcW w:w="1807" w:type="dxa"/>
            <w:vMerge w:val="continue"/>
            <w:vAlign w:val="center"/>
          </w:tcPr>
          <w:p w14:paraId="6107EA25"/>
        </w:tc>
        <w:tc>
          <w:tcPr>
            <w:tcW w:w="8462" w:type="dxa"/>
            <w:gridSpan w:val="8"/>
            <w:vAlign w:val="center"/>
          </w:tcPr>
          <w:p w14:paraId="5B3D9D41">
            <w:pPr>
              <w:spacing w:line="360" w:lineRule="exact"/>
              <w:rPr>
                <w:sz w:val="24"/>
                <w:szCs w:val="24"/>
              </w:rPr>
            </w:pPr>
            <w:r>
              <w:rPr>
                <w:rFonts w:hint="eastAsia"/>
                <w:sz w:val="24"/>
                <w:szCs w:val="24"/>
              </w:rPr>
              <w:t>□施工总承包项目</w:t>
            </w:r>
          </w:p>
          <w:p w14:paraId="3BB85428">
            <w:pPr>
              <w:spacing w:line="360" w:lineRule="exact"/>
              <w:rPr>
                <w:sz w:val="24"/>
                <w:szCs w:val="24"/>
              </w:rPr>
            </w:pPr>
            <w:r>
              <w:rPr>
                <w:sz w:val="24"/>
                <w:szCs w:val="24"/>
              </w:rPr>
              <w:t>人员组成：</w:t>
            </w:r>
            <w:r>
              <w:rPr>
                <w:rFonts w:hint="eastAsia"/>
                <w:sz w:val="24"/>
                <w:szCs w:val="24"/>
              </w:rPr>
              <w:t>评标委员会总人数</w:t>
            </w:r>
            <w:r>
              <w:rPr>
                <w:sz w:val="24"/>
                <w:szCs w:val="24"/>
              </w:rPr>
              <w:t>人，</w:t>
            </w:r>
            <w:r>
              <w:rPr>
                <w:rFonts w:hint="eastAsia"/>
                <w:sz w:val="24"/>
                <w:szCs w:val="24"/>
              </w:rPr>
              <w:t>其中招标人</w:t>
            </w:r>
            <w:r>
              <w:rPr>
                <w:sz w:val="24"/>
                <w:szCs w:val="24"/>
              </w:rPr>
              <w:t>代表人，</w:t>
            </w:r>
            <w:r>
              <w:rPr>
                <w:rFonts w:hint="eastAsia"/>
                <w:sz w:val="24"/>
                <w:szCs w:val="24"/>
              </w:rPr>
              <w:t>技术</w:t>
            </w:r>
            <w:r>
              <w:rPr>
                <w:sz w:val="24"/>
                <w:szCs w:val="24"/>
              </w:rPr>
              <w:t>专家人，</w:t>
            </w:r>
            <w:r>
              <w:rPr>
                <w:rFonts w:hint="eastAsia"/>
                <w:sz w:val="24"/>
                <w:szCs w:val="24"/>
              </w:rPr>
              <w:t>经济专家人。</w:t>
            </w:r>
          </w:p>
          <w:p w14:paraId="53C0AD19">
            <w:pPr>
              <w:spacing w:line="360" w:lineRule="exact"/>
              <w:rPr>
                <w:sz w:val="24"/>
                <w:szCs w:val="24"/>
              </w:rPr>
            </w:pPr>
            <w:r>
              <w:rPr>
                <w:rFonts w:hint="eastAsia"/>
                <w:sz w:val="24"/>
                <w:szCs w:val="24"/>
              </w:rPr>
              <w:t>随机抽取的技术、经济专家合计人数是否超过成员总数三分之二：□</w:t>
            </w:r>
            <w:r>
              <w:rPr>
                <w:sz w:val="24"/>
                <w:szCs w:val="24"/>
              </w:rPr>
              <w:t>是</w:t>
            </w:r>
            <w:r>
              <w:rPr>
                <w:rFonts w:hint="eastAsia"/>
                <w:sz w:val="24"/>
                <w:szCs w:val="24"/>
              </w:rPr>
              <w:t xml:space="preserve"> □</w:t>
            </w:r>
            <w:r>
              <w:rPr>
                <w:sz w:val="24"/>
                <w:szCs w:val="24"/>
              </w:rPr>
              <w:t>否</w:t>
            </w:r>
          </w:p>
          <w:p w14:paraId="71A8D70E">
            <w:pPr>
              <w:spacing w:line="360" w:lineRule="exact"/>
              <w:rPr>
                <w:sz w:val="24"/>
                <w:szCs w:val="24"/>
              </w:rPr>
            </w:pPr>
            <w:r>
              <w:rPr>
                <w:rFonts w:hint="eastAsia"/>
                <w:sz w:val="24"/>
                <w:szCs w:val="24"/>
              </w:rPr>
              <w:t>采用清单计价的施工招标，经济专家是否超过成员总数的二分之一：□</w:t>
            </w:r>
            <w:r>
              <w:rPr>
                <w:sz w:val="24"/>
                <w:szCs w:val="24"/>
              </w:rPr>
              <w:t>是</w:t>
            </w:r>
            <w:r>
              <w:rPr>
                <w:rFonts w:hint="eastAsia"/>
                <w:sz w:val="24"/>
                <w:szCs w:val="24"/>
              </w:rPr>
              <w:t xml:space="preserve"> □</w:t>
            </w:r>
            <w:r>
              <w:rPr>
                <w:sz w:val="24"/>
                <w:szCs w:val="24"/>
              </w:rPr>
              <w:t>否</w:t>
            </w:r>
          </w:p>
          <w:p w14:paraId="436307B4">
            <w:pPr>
              <w:spacing w:line="360" w:lineRule="exact"/>
              <w:rPr>
                <w:sz w:val="24"/>
                <w:szCs w:val="24"/>
              </w:rPr>
            </w:pPr>
            <w:r>
              <w:rPr>
                <w:rFonts w:hint="eastAsia"/>
                <w:sz w:val="24"/>
                <w:szCs w:val="24"/>
              </w:rPr>
              <w:t>□工程总承包项目</w:t>
            </w:r>
          </w:p>
          <w:p w14:paraId="22E93918">
            <w:pPr>
              <w:spacing w:line="360" w:lineRule="exact"/>
              <w:rPr>
                <w:sz w:val="24"/>
                <w:szCs w:val="24"/>
              </w:rPr>
            </w:pPr>
            <w:r>
              <w:rPr>
                <w:rFonts w:hint="eastAsia"/>
                <w:sz w:val="24"/>
                <w:szCs w:val="24"/>
              </w:rPr>
              <w:t>评标委员会总人数，其中招标人代表人，建筑人，总平规划人，</w:t>
            </w:r>
          </w:p>
          <w:p w14:paraId="1A21E3F3">
            <w:pPr>
              <w:spacing w:line="360" w:lineRule="exact"/>
              <w:rPr>
                <w:sz w:val="24"/>
                <w:szCs w:val="24"/>
              </w:rPr>
            </w:pPr>
            <w:r>
              <w:rPr>
                <w:rFonts w:hint="eastAsia"/>
                <w:sz w:val="24"/>
                <w:szCs w:val="24"/>
              </w:rPr>
              <w:t>施工技术人，经济人，其他人。</w:t>
            </w:r>
          </w:p>
          <w:p w14:paraId="262EC193">
            <w:pPr>
              <w:spacing w:line="360" w:lineRule="exact"/>
              <w:rPr>
                <w:sz w:val="24"/>
                <w:szCs w:val="24"/>
              </w:rPr>
            </w:pPr>
            <w:r>
              <w:rPr>
                <w:rFonts w:hint="eastAsia"/>
                <w:sz w:val="24"/>
                <w:szCs w:val="24"/>
              </w:rPr>
              <w:t>是否包含设计、施工、经济等方面的专家：□是  □否</w:t>
            </w:r>
          </w:p>
          <w:p w14:paraId="7A7F502D">
            <w:pPr>
              <w:spacing w:line="360" w:lineRule="exact"/>
              <w:rPr>
                <w:sz w:val="24"/>
                <w:szCs w:val="24"/>
              </w:rPr>
            </w:pPr>
            <w:r>
              <w:rPr>
                <w:rFonts w:hint="eastAsia"/>
                <w:sz w:val="24"/>
                <w:szCs w:val="24"/>
              </w:rPr>
              <w:t>招标金额为5000万元及以上的，评标委员会是否为9人以上单数：□是 □否</w:t>
            </w:r>
          </w:p>
        </w:tc>
      </w:tr>
      <w:tr w14:paraId="0AF8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vAlign w:val="center"/>
          </w:tcPr>
          <w:p w14:paraId="55E3B5AA"/>
        </w:tc>
        <w:tc>
          <w:tcPr>
            <w:tcW w:w="10269" w:type="dxa"/>
            <w:gridSpan w:val="9"/>
            <w:vAlign w:val="center"/>
          </w:tcPr>
          <w:p w14:paraId="61B3C530">
            <w:pPr>
              <w:spacing w:line="360" w:lineRule="exact"/>
              <w:rPr>
                <w:sz w:val="24"/>
                <w:szCs w:val="24"/>
              </w:rPr>
            </w:pPr>
            <w:r>
              <w:rPr>
                <w:rFonts w:hint="eastAsia"/>
                <w:sz w:val="24"/>
                <w:szCs w:val="24"/>
              </w:rPr>
              <w:t>评标开始前是否与评标专家做好投标文件、开标资料等移交签收手续：□是  □否</w:t>
            </w:r>
          </w:p>
        </w:tc>
      </w:tr>
      <w:tr w14:paraId="6438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vAlign w:val="center"/>
          </w:tcPr>
          <w:p w14:paraId="50399190"/>
        </w:tc>
        <w:tc>
          <w:tcPr>
            <w:tcW w:w="10269" w:type="dxa"/>
            <w:gridSpan w:val="9"/>
            <w:vAlign w:val="center"/>
          </w:tcPr>
          <w:p w14:paraId="7C791036">
            <w:pPr>
              <w:spacing w:line="360" w:lineRule="exact"/>
              <w:rPr>
                <w:sz w:val="24"/>
                <w:szCs w:val="24"/>
              </w:rPr>
            </w:pPr>
            <w:r>
              <w:rPr>
                <w:rFonts w:hint="eastAsia"/>
                <w:sz w:val="24"/>
                <w:szCs w:val="24"/>
              </w:rPr>
              <w:t>是否存在评标专家打分畸高或畸低，且无法说明正当理由的问题：□是□否</w:t>
            </w:r>
          </w:p>
        </w:tc>
      </w:tr>
      <w:tr w14:paraId="7FAB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1" w:type="dxa"/>
            <w:vMerge w:val="restart"/>
            <w:vAlign w:val="center"/>
          </w:tcPr>
          <w:p w14:paraId="28725CF9">
            <w:pPr>
              <w:jc w:val="center"/>
              <w:rPr>
                <w:rFonts w:ascii="黑体" w:eastAsia="黑体"/>
                <w:sz w:val="24"/>
                <w:szCs w:val="24"/>
              </w:rPr>
            </w:pPr>
            <w:r>
              <w:rPr>
                <w:rFonts w:hint="eastAsia" w:ascii="黑体" w:eastAsia="黑体"/>
                <w:sz w:val="24"/>
                <w:szCs w:val="24"/>
              </w:rPr>
              <w:t>定标</w:t>
            </w:r>
          </w:p>
        </w:tc>
        <w:tc>
          <w:tcPr>
            <w:tcW w:w="5793" w:type="dxa"/>
            <w:gridSpan w:val="6"/>
            <w:vAlign w:val="center"/>
          </w:tcPr>
          <w:p w14:paraId="7ECFCABE">
            <w:pPr>
              <w:spacing w:line="360" w:lineRule="exact"/>
              <w:rPr>
                <w:sz w:val="24"/>
                <w:szCs w:val="24"/>
              </w:rPr>
            </w:pPr>
            <w:r>
              <w:rPr>
                <w:rFonts w:hint="eastAsia"/>
                <w:sz w:val="24"/>
                <w:szCs w:val="24"/>
              </w:rPr>
              <w:t xml:space="preserve">是否在收到评标报告之日起3日内公示： </w:t>
            </w:r>
            <w:r>
              <w:rPr>
                <w:sz w:val="24"/>
                <w:szCs w:val="24"/>
              </w:rPr>
              <w:sym w:font="Wingdings 2" w:char="00A3"/>
            </w:r>
            <w:r>
              <w:rPr>
                <w:sz w:val="24"/>
                <w:szCs w:val="24"/>
              </w:rPr>
              <w:t>是</w:t>
            </w:r>
            <w:r>
              <w:rPr>
                <w:rFonts w:hint="eastAsia"/>
                <w:sz w:val="24"/>
                <w:szCs w:val="24"/>
              </w:rPr>
              <w:t>□</w:t>
            </w:r>
            <w:r>
              <w:rPr>
                <w:sz w:val="24"/>
                <w:szCs w:val="24"/>
              </w:rPr>
              <w:t>否</w:t>
            </w:r>
          </w:p>
        </w:tc>
        <w:tc>
          <w:tcPr>
            <w:tcW w:w="4476" w:type="dxa"/>
            <w:gridSpan w:val="3"/>
            <w:vAlign w:val="center"/>
          </w:tcPr>
          <w:p w14:paraId="033B9015">
            <w:pPr>
              <w:spacing w:line="360" w:lineRule="exact"/>
              <w:rPr>
                <w:sz w:val="24"/>
                <w:szCs w:val="24"/>
              </w:rPr>
            </w:pPr>
            <w:r>
              <w:rPr>
                <w:rFonts w:hint="eastAsia"/>
                <w:sz w:val="24"/>
                <w:szCs w:val="24"/>
              </w:rPr>
              <w:t>公示期是否少于3日：□</w:t>
            </w:r>
            <w:r>
              <w:rPr>
                <w:sz w:val="24"/>
                <w:szCs w:val="24"/>
              </w:rPr>
              <w:t>是</w:t>
            </w:r>
            <w:r>
              <w:rPr>
                <w:rFonts w:hint="eastAsia"/>
                <w:sz w:val="24"/>
                <w:szCs w:val="24"/>
              </w:rPr>
              <w:t xml:space="preserve">    □</w:t>
            </w:r>
            <w:r>
              <w:rPr>
                <w:sz w:val="24"/>
                <w:szCs w:val="24"/>
              </w:rPr>
              <w:t>否</w:t>
            </w:r>
          </w:p>
        </w:tc>
      </w:tr>
      <w:tr w14:paraId="572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20FCD1FA"/>
        </w:tc>
        <w:tc>
          <w:tcPr>
            <w:tcW w:w="10269" w:type="dxa"/>
            <w:gridSpan w:val="9"/>
            <w:vAlign w:val="center"/>
          </w:tcPr>
          <w:p w14:paraId="772E536C">
            <w:pPr>
              <w:spacing w:line="360" w:lineRule="exact"/>
              <w:rPr>
                <w:sz w:val="24"/>
                <w:szCs w:val="24"/>
              </w:rPr>
            </w:pPr>
            <w:r>
              <w:rPr>
                <w:rFonts w:hint="eastAsia"/>
                <w:sz w:val="24"/>
                <w:szCs w:val="24"/>
              </w:rPr>
              <w:t>项目是否按照《关于进一步推进招标投标监管制度改革的通知》（柳建管字[2018]1号）（2018年1月1日起实施）要求公示中标候选人内容：□</w:t>
            </w:r>
            <w:r>
              <w:rPr>
                <w:sz w:val="24"/>
                <w:szCs w:val="24"/>
              </w:rPr>
              <w:t>是</w:t>
            </w:r>
            <w:r>
              <w:rPr>
                <w:rFonts w:hint="eastAsia"/>
                <w:sz w:val="24"/>
                <w:szCs w:val="24"/>
              </w:rPr>
              <w:t xml:space="preserve">    □</w:t>
            </w:r>
            <w:r>
              <w:rPr>
                <w:sz w:val="24"/>
                <w:szCs w:val="24"/>
              </w:rPr>
              <w:t>否</w:t>
            </w:r>
          </w:p>
        </w:tc>
      </w:tr>
      <w:tr w14:paraId="6C3F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051F3209"/>
        </w:tc>
        <w:tc>
          <w:tcPr>
            <w:tcW w:w="4526" w:type="dxa"/>
            <w:gridSpan w:val="3"/>
            <w:vAlign w:val="center"/>
          </w:tcPr>
          <w:p w14:paraId="64D90054">
            <w:pPr>
              <w:spacing w:line="360" w:lineRule="exact"/>
              <w:rPr>
                <w:sz w:val="24"/>
                <w:szCs w:val="24"/>
              </w:rPr>
            </w:pPr>
            <w:r>
              <w:rPr>
                <w:rFonts w:hint="eastAsia"/>
                <w:sz w:val="24"/>
                <w:szCs w:val="24"/>
              </w:rPr>
              <w:t>公示内容是否齐全：  □</w:t>
            </w:r>
            <w:r>
              <w:rPr>
                <w:sz w:val="24"/>
                <w:szCs w:val="24"/>
              </w:rPr>
              <w:t>是</w:t>
            </w:r>
            <w:r>
              <w:rPr>
                <w:rFonts w:hint="eastAsia"/>
                <w:sz w:val="24"/>
                <w:szCs w:val="24"/>
              </w:rPr>
              <w:t xml:space="preserve">    □</w:t>
            </w:r>
            <w:r>
              <w:rPr>
                <w:sz w:val="24"/>
                <w:szCs w:val="24"/>
              </w:rPr>
              <w:t>否</w:t>
            </w:r>
          </w:p>
        </w:tc>
        <w:tc>
          <w:tcPr>
            <w:tcW w:w="5743" w:type="dxa"/>
            <w:gridSpan w:val="6"/>
            <w:vAlign w:val="center"/>
          </w:tcPr>
          <w:p w14:paraId="582014FA">
            <w:pPr>
              <w:spacing w:line="360" w:lineRule="exact"/>
              <w:rPr>
                <w:sz w:val="24"/>
                <w:szCs w:val="24"/>
              </w:rPr>
            </w:pPr>
            <w:r>
              <w:rPr>
                <w:rFonts w:hint="eastAsia"/>
                <w:sz w:val="24"/>
                <w:szCs w:val="24"/>
              </w:rPr>
              <w:t>中标价、中标候选人是否与评标报告一致：</w:t>
            </w:r>
            <w:r>
              <w:rPr>
                <w:sz w:val="24"/>
                <w:szCs w:val="24"/>
              </w:rPr>
              <w:sym w:font="Wingdings 2" w:char="00A3"/>
            </w:r>
            <w:r>
              <w:rPr>
                <w:sz w:val="24"/>
                <w:szCs w:val="24"/>
              </w:rPr>
              <w:t>是</w:t>
            </w:r>
            <w:r>
              <w:rPr>
                <w:rFonts w:hint="eastAsia"/>
                <w:sz w:val="24"/>
                <w:szCs w:val="24"/>
              </w:rPr>
              <w:t xml:space="preserve"> □</w:t>
            </w:r>
            <w:r>
              <w:rPr>
                <w:sz w:val="24"/>
                <w:szCs w:val="24"/>
              </w:rPr>
              <w:t>否</w:t>
            </w:r>
          </w:p>
        </w:tc>
      </w:tr>
      <w:tr w14:paraId="7CDB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vAlign w:val="center"/>
          </w:tcPr>
          <w:p w14:paraId="7CEFA38A"/>
        </w:tc>
        <w:tc>
          <w:tcPr>
            <w:tcW w:w="10269" w:type="dxa"/>
            <w:gridSpan w:val="9"/>
            <w:vAlign w:val="center"/>
          </w:tcPr>
          <w:p w14:paraId="0A2A7280">
            <w:pPr>
              <w:spacing w:line="360" w:lineRule="exact"/>
              <w:rPr>
                <w:sz w:val="24"/>
                <w:szCs w:val="24"/>
              </w:rPr>
            </w:pPr>
            <w:r>
              <w:rPr>
                <w:rFonts w:hint="eastAsia"/>
                <w:sz w:val="24"/>
                <w:szCs w:val="24"/>
              </w:rPr>
              <w:t>是否发布中标公告：</w:t>
            </w:r>
            <w:r>
              <w:rPr>
                <w:rFonts w:hint="eastAsia" w:ascii="Arial Unicode MS" w:eastAsia="Arial Unicode MS" w:cs="Arial Unicode MS"/>
                <w:sz w:val="24"/>
                <w:szCs w:val="24"/>
              </w:rPr>
              <w:t>□是    □否</w:t>
            </w:r>
          </w:p>
        </w:tc>
      </w:tr>
      <w:tr w14:paraId="765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vAlign w:val="center"/>
          </w:tcPr>
          <w:p w14:paraId="3FEEBB3D">
            <w:pPr>
              <w:jc w:val="center"/>
              <w:rPr>
                <w:rFonts w:ascii="黑体" w:eastAsia="黑体"/>
                <w:sz w:val="24"/>
                <w:szCs w:val="24"/>
              </w:rPr>
            </w:pPr>
            <w:r>
              <w:rPr>
                <w:rFonts w:hint="eastAsia" w:ascii="黑体" w:eastAsia="黑体"/>
                <w:sz w:val="24"/>
                <w:szCs w:val="24"/>
              </w:rPr>
              <w:t>书面报告</w:t>
            </w:r>
          </w:p>
        </w:tc>
        <w:tc>
          <w:tcPr>
            <w:tcW w:w="4648" w:type="dxa"/>
            <w:gridSpan w:val="5"/>
            <w:vAlign w:val="center"/>
          </w:tcPr>
          <w:p w14:paraId="43AEA8DB">
            <w:pPr>
              <w:spacing w:line="360" w:lineRule="exact"/>
              <w:rPr>
                <w:sz w:val="24"/>
                <w:szCs w:val="24"/>
              </w:rPr>
            </w:pPr>
            <w:r>
              <w:rPr>
                <w:rFonts w:hint="eastAsia"/>
                <w:sz w:val="24"/>
                <w:szCs w:val="24"/>
              </w:rPr>
              <w:t>是否递交招投标情况书面报告：□</w:t>
            </w:r>
            <w:r>
              <w:rPr>
                <w:sz w:val="24"/>
                <w:szCs w:val="24"/>
              </w:rPr>
              <w:t>是</w:t>
            </w:r>
            <w:r>
              <w:rPr>
                <w:rFonts w:hint="eastAsia"/>
                <w:sz w:val="24"/>
                <w:szCs w:val="24"/>
              </w:rPr>
              <w:t xml:space="preserve"> □</w:t>
            </w:r>
            <w:r>
              <w:rPr>
                <w:sz w:val="24"/>
                <w:szCs w:val="24"/>
              </w:rPr>
              <w:t>否</w:t>
            </w:r>
          </w:p>
        </w:tc>
        <w:tc>
          <w:tcPr>
            <w:tcW w:w="5621" w:type="dxa"/>
            <w:gridSpan w:val="4"/>
            <w:vAlign w:val="center"/>
          </w:tcPr>
          <w:p w14:paraId="2F6402CC">
            <w:pPr>
              <w:spacing w:line="360" w:lineRule="exact"/>
              <w:rPr>
                <w:sz w:val="24"/>
                <w:szCs w:val="24"/>
              </w:rPr>
            </w:pPr>
            <w:r>
              <w:rPr>
                <w:rFonts w:hint="eastAsia"/>
                <w:sz w:val="24"/>
                <w:szCs w:val="24"/>
              </w:rPr>
              <w:t>书面报告内容及资料是否完整：  □</w:t>
            </w:r>
            <w:r>
              <w:rPr>
                <w:sz w:val="24"/>
                <w:szCs w:val="24"/>
              </w:rPr>
              <w:t>是</w:t>
            </w:r>
            <w:r>
              <w:rPr>
                <w:rFonts w:hint="eastAsia"/>
                <w:sz w:val="24"/>
                <w:szCs w:val="24"/>
              </w:rPr>
              <w:t xml:space="preserve">    □</w:t>
            </w:r>
            <w:r>
              <w:rPr>
                <w:sz w:val="24"/>
                <w:szCs w:val="24"/>
              </w:rPr>
              <w:t>否</w:t>
            </w:r>
          </w:p>
        </w:tc>
      </w:tr>
      <w:tr w14:paraId="4038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vAlign w:val="center"/>
          </w:tcPr>
          <w:p w14:paraId="49CD8725"/>
        </w:tc>
        <w:tc>
          <w:tcPr>
            <w:tcW w:w="10269" w:type="dxa"/>
            <w:gridSpan w:val="9"/>
            <w:vAlign w:val="center"/>
          </w:tcPr>
          <w:p w14:paraId="26D3A60E">
            <w:pPr>
              <w:spacing w:line="360" w:lineRule="exact"/>
              <w:rPr>
                <w:sz w:val="24"/>
                <w:szCs w:val="24"/>
              </w:rPr>
            </w:pPr>
            <w:r>
              <w:rPr>
                <w:rFonts w:hint="eastAsia"/>
                <w:sz w:val="24"/>
                <w:szCs w:val="24"/>
              </w:rPr>
              <w:t>是否在中标通知书发出之日起15日内递交书面报告：  □</w:t>
            </w:r>
            <w:r>
              <w:rPr>
                <w:sz w:val="24"/>
                <w:szCs w:val="24"/>
              </w:rPr>
              <w:t>是</w:t>
            </w:r>
            <w:r>
              <w:rPr>
                <w:rFonts w:hint="eastAsia"/>
                <w:sz w:val="24"/>
                <w:szCs w:val="24"/>
              </w:rPr>
              <w:t xml:space="preserve">      □</w:t>
            </w:r>
            <w:r>
              <w:rPr>
                <w:sz w:val="24"/>
                <w:szCs w:val="24"/>
              </w:rPr>
              <w:t>否</w:t>
            </w:r>
          </w:p>
        </w:tc>
      </w:tr>
      <w:tr w14:paraId="7B63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vAlign w:val="center"/>
          </w:tcPr>
          <w:p w14:paraId="42C10E4B"/>
        </w:tc>
        <w:tc>
          <w:tcPr>
            <w:tcW w:w="10269" w:type="dxa"/>
            <w:gridSpan w:val="9"/>
            <w:vAlign w:val="center"/>
          </w:tcPr>
          <w:p w14:paraId="0B565CF6">
            <w:pPr>
              <w:spacing w:line="360" w:lineRule="exact"/>
              <w:rPr>
                <w:sz w:val="24"/>
                <w:szCs w:val="24"/>
              </w:rPr>
            </w:pPr>
            <w:r>
              <w:rPr>
                <w:sz w:val="24"/>
                <w:szCs w:val="24"/>
              </w:rPr>
              <w:t>中标通知书</w:t>
            </w:r>
            <w:r>
              <w:rPr>
                <w:rFonts w:hint="eastAsia"/>
                <w:sz w:val="24"/>
                <w:szCs w:val="24"/>
              </w:rPr>
              <w:t>是否加盖招标人公章：□</w:t>
            </w:r>
            <w:r>
              <w:rPr>
                <w:sz w:val="24"/>
                <w:szCs w:val="24"/>
              </w:rPr>
              <w:t>是</w:t>
            </w:r>
            <w:r>
              <w:rPr>
                <w:rFonts w:hint="eastAsia"/>
                <w:sz w:val="24"/>
                <w:szCs w:val="24"/>
              </w:rPr>
              <w:t xml:space="preserve">    □</w:t>
            </w:r>
            <w:r>
              <w:rPr>
                <w:sz w:val="24"/>
                <w:szCs w:val="24"/>
              </w:rPr>
              <w:t>否</w:t>
            </w:r>
          </w:p>
        </w:tc>
      </w:tr>
      <w:tr w14:paraId="5048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Align w:val="center"/>
          </w:tcPr>
          <w:p w14:paraId="10A5D409">
            <w:pPr>
              <w:jc w:val="center"/>
              <w:rPr>
                <w:rFonts w:ascii="黑体" w:eastAsia="黑体"/>
                <w:sz w:val="24"/>
                <w:szCs w:val="24"/>
              </w:rPr>
            </w:pPr>
            <w:r>
              <w:rPr>
                <w:rFonts w:hint="eastAsia" w:ascii="黑体" w:eastAsia="黑体"/>
                <w:sz w:val="24"/>
                <w:szCs w:val="24"/>
              </w:rPr>
              <w:t>档案管理</w:t>
            </w:r>
          </w:p>
        </w:tc>
        <w:tc>
          <w:tcPr>
            <w:tcW w:w="2646" w:type="dxa"/>
            <w:gridSpan w:val="2"/>
            <w:vAlign w:val="center"/>
          </w:tcPr>
          <w:p w14:paraId="2068A397">
            <w:pPr>
              <w:spacing w:line="360" w:lineRule="exact"/>
              <w:rPr>
                <w:sz w:val="24"/>
                <w:szCs w:val="24"/>
              </w:rPr>
            </w:pPr>
            <w:r>
              <w:rPr>
                <w:rFonts w:hint="eastAsia"/>
                <w:sz w:val="24"/>
                <w:szCs w:val="24"/>
              </w:rPr>
              <w:t>招标档案资料是否备案</w:t>
            </w:r>
          </w:p>
        </w:tc>
        <w:tc>
          <w:tcPr>
            <w:tcW w:w="2002" w:type="dxa"/>
            <w:gridSpan w:val="3"/>
            <w:vAlign w:val="center"/>
          </w:tcPr>
          <w:p w14:paraId="77AE0A52">
            <w:pPr>
              <w:spacing w:line="360" w:lineRule="exact"/>
              <w:rPr>
                <w:sz w:val="24"/>
                <w:szCs w:val="24"/>
              </w:rPr>
            </w:pPr>
            <w:r>
              <w:rPr>
                <w:rFonts w:hint="eastAsia"/>
                <w:sz w:val="24"/>
                <w:szCs w:val="24"/>
              </w:rPr>
              <w:t>□</w:t>
            </w:r>
            <w:r>
              <w:rPr>
                <w:sz w:val="24"/>
                <w:szCs w:val="24"/>
              </w:rPr>
              <w:t>是</w:t>
            </w:r>
            <w:r>
              <w:rPr>
                <w:rFonts w:hint="eastAsia"/>
                <w:sz w:val="24"/>
                <w:szCs w:val="24"/>
              </w:rPr>
              <w:t xml:space="preserve"> □</w:t>
            </w:r>
            <w:r>
              <w:rPr>
                <w:sz w:val="24"/>
                <w:szCs w:val="24"/>
              </w:rPr>
              <w:t>否</w:t>
            </w:r>
          </w:p>
        </w:tc>
        <w:tc>
          <w:tcPr>
            <w:tcW w:w="3837" w:type="dxa"/>
            <w:gridSpan w:val="3"/>
            <w:vAlign w:val="center"/>
          </w:tcPr>
          <w:p w14:paraId="2397C06D">
            <w:pPr>
              <w:spacing w:line="360" w:lineRule="exact"/>
              <w:rPr>
                <w:sz w:val="24"/>
                <w:szCs w:val="24"/>
              </w:rPr>
            </w:pPr>
            <w:r>
              <w:rPr>
                <w:rFonts w:hint="eastAsia"/>
                <w:sz w:val="24"/>
                <w:szCs w:val="24"/>
              </w:rPr>
              <w:t>招标档案资料是否齐全并及时归档</w:t>
            </w:r>
          </w:p>
        </w:tc>
        <w:tc>
          <w:tcPr>
            <w:tcW w:w="1784" w:type="dxa"/>
            <w:vAlign w:val="center"/>
          </w:tcPr>
          <w:p w14:paraId="273A843E">
            <w:pPr>
              <w:spacing w:line="360" w:lineRule="exact"/>
              <w:rPr>
                <w:sz w:val="24"/>
                <w:szCs w:val="24"/>
              </w:rPr>
            </w:pPr>
            <w:r>
              <w:rPr>
                <w:rFonts w:hint="eastAsia"/>
                <w:sz w:val="24"/>
                <w:szCs w:val="24"/>
              </w:rPr>
              <w:t>□</w:t>
            </w:r>
            <w:r>
              <w:rPr>
                <w:sz w:val="24"/>
                <w:szCs w:val="24"/>
              </w:rPr>
              <w:t>是</w:t>
            </w:r>
            <w:r>
              <w:rPr>
                <w:rFonts w:hint="eastAsia"/>
                <w:sz w:val="24"/>
                <w:szCs w:val="24"/>
              </w:rPr>
              <w:t xml:space="preserve"> □</w:t>
            </w:r>
            <w:r>
              <w:rPr>
                <w:sz w:val="24"/>
                <w:szCs w:val="24"/>
              </w:rPr>
              <w:t>否</w:t>
            </w:r>
          </w:p>
        </w:tc>
      </w:tr>
      <w:tr w14:paraId="3839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11" w:type="dxa"/>
            <w:vAlign w:val="center"/>
          </w:tcPr>
          <w:p w14:paraId="0778797F">
            <w:pPr>
              <w:jc w:val="center"/>
              <w:rPr>
                <w:rFonts w:ascii="黑体" w:eastAsia="黑体"/>
                <w:sz w:val="24"/>
                <w:szCs w:val="24"/>
              </w:rPr>
            </w:pPr>
            <w:r>
              <w:rPr>
                <w:rFonts w:hint="eastAsia" w:ascii="黑体" w:eastAsia="黑体"/>
                <w:sz w:val="24"/>
                <w:szCs w:val="24"/>
              </w:rPr>
              <w:t>存在问题</w:t>
            </w:r>
          </w:p>
        </w:tc>
        <w:tc>
          <w:tcPr>
            <w:tcW w:w="10269" w:type="dxa"/>
            <w:gridSpan w:val="9"/>
            <w:vAlign w:val="center"/>
          </w:tcPr>
          <w:p w14:paraId="76539800">
            <w:pPr>
              <w:spacing w:line="360" w:lineRule="exact"/>
              <w:rPr>
                <w:sz w:val="24"/>
                <w:szCs w:val="24"/>
              </w:rPr>
            </w:pPr>
          </w:p>
        </w:tc>
      </w:tr>
    </w:tbl>
    <w:p w14:paraId="200E43A0">
      <w:pPr>
        <w:widowControl/>
        <w:spacing w:line="480" w:lineRule="exact"/>
        <w:rPr>
          <w:sz w:val="24"/>
        </w:rPr>
      </w:pPr>
      <w:r>
        <w:rPr>
          <w:rFonts w:hint="eastAsia"/>
          <w:sz w:val="24"/>
        </w:rPr>
        <w:t>成果文件不符合上述要求的，每项扣3分。</w:t>
      </w:r>
    </w:p>
    <w:p w14:paraId="3AE93928">
      <w:pPr>
        <w:widowControl/>
        <w:spacing w:line="480" w:lineRule="exact"/>
        <w:rPr>
          <w:rFonts w:ascii="Times New Roman" w:hAnsi="Times New Roman" w:eastAsia="黑体" w:cs="Times New Roman"/>
          <w:sz w:val="32"/>
          <w:szCs w:val="32"/>
        </w:rPr>
      </w:pPr>
      <w:r>
        <w:rPr>
          <w:rFonts w:hint="eastAsia"/>
          <w:sz w:val="24"/>
        </w:rPr>
        <w:t>专家组签字：</w:t>
      </w:r>
    </w:p>
    <w:p w14:paraId="49B79421">
      <w:pPr>
        <w:widowControl/>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附件4</w:t>
      </w:r>
    </w:p>
    <w:p w14:paraId="1607BD14">
      <w:pPr>
        <w:pStyle w:val="5"/>
        <w:widowControl/>
        <w:spacing w:beforeAutospacing="1" w:line="499" w:lineRule="atLeast"/>
        <w:jc w:val="center"/>
        <w:rPr>
          <w:rFonts w:ascii="黑体" w:eastAsia="黑体"/>
          <w:color w:val="000000"/>
          <w:sz w:val="32"/>
          <w:szCs w:val="32"/>
        </w:rPr>
      </w:pPr>
      <w:r>
        <w:rPr>
          <w:rFonts w:hint="eastAsia" w:ascii="黑体" w:eastAsia="黑体"/>
          <w:color w:val="000000"/>
          <w:sz w:val="32"/>
          <w:szCs w:val="32"/>
        </w:rPr>
        <w:t>招标单位对代理机构“一标一评”评价表</w:t>
      </w:r>
    </w:p>
    <w:tbl>
      <w:tblPr>
        <w:tblStyle w:val="6"/>
        <w:tblW w:w="886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6"/>
        <w:gridCol w:w="456"/>
        <w:gridCol w:w="974"/>
        <w:gridCol w:w="3064"/>
        <w:gridCol w:w="3060"/>
        <w:gridCol w:w="735"/>
      </w:tblGrid>
      <w:tr w14:paraId="016F32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blHeader/>
        </w:trPr>
        <w:tc>
          <w:tcPr>
            <w:tcW w:w="576" w:type="dxa"/>
            <w:vMerge w:val="restart"/>
            <w:tcBorders>
              <w:top w:val="single" w:color="auto" w:sz="4" w:space="0"/>
            </w:tcBorders>
            <w:vAlign w:val="center"/>
          </w:tcPr>
          <w:p w14:paraId="550CF996">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项目</w:t>
            </w:r>
          </w:p>
        </w:tc>
        <w:tc>
          <w:tcPr>
            <w:tcW w:w="456" w:type="dxa"/>
            <w:vMerge w:val="restart"/>
            <w:tcBorders>
              <w:top w:val="single" w:color="auto" w:sz="4" w:space="0"/>
            </w:tcBorders>
            <w:vAlign w:val="center"/>
          </w:tcPr>
          <w:p w14:paraId="13245041">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分值</w:t>
            </w:r>
          </w:p>
        </w:tc>
        <w:tc>
          <w:tcPr>
            <w:tcW w:w="974" w:type="dxa"/>
            <w:vMerge w:val="restart"/>
            <w:tcBorders>
              <w:top w:val="single" w:color="auto" w:sz="4" w:space="0"/>
            </w:tcBorders>
            <w:vAlign w:val="center"/>
          </w:tcPr>
          <w:p w14:paraId="56AD10AE">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子  项</w:t>
            </w:r>
          </w:p>
        </w:tc>
        <w:tc>
          <w:tcPr>
            <w:tcW w:w="6859" w:type="dxa"/>
            <w:gridSpan w:val="3"/>
            <w:tcBorders>
              <w:top w:val="single" w:color="auto" w:sz="4" w:space="0"/>
              <w:bottom w:val="single" w:color="auto" w:sz="4" w:space="0"/>
            </w:tcBorders>
            <w:vAlign w:val="center"/>
          </w:tcPr>
          <w:p w14:paraId="27B07316">
            <w:pPr>
              <w:widowControl/>
              <w:jc w:val="center"/>
              <w:rPr>
                <w:rFonts w:ascii="黑体" w:eastAsia="黑体" w:cs="宋体"/>
                <w:b/>
                <w:color w:val="000000"/>
                <w:kern w:val="0"/>
                <w:sz w:val="20"/>
                <w:szCs w:val="20"/>
              </w:rPr>
            </w:pPr>
            <w:r>
              <w:rPr>
                <w:rFonts w:hint="eastAsia" w:ascii="黑体" w:eastAsia="黑体" w:cs="宋体"/>
                <w:b/>
                <w:color w:val="000000"/>
                <w:kern w:val="0"/>
                <w:sz w:val="20"/>
                <w:szCs w:val="20"/>
              </w:rPr>
              <w:t>评    价   标  准  及  得  分</w:t>
            </w:r>
          </w:p>
        </w:tc>
      </w:tr>
      <w:tr w14:paraId="2CFDE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blHeader/>
        </w:trPr>
        <w:tc>
          <w:tcPr>
            <w:tcW w:w="576" w:type="dxa"/>
            <w:vMerge w:val="continue"/>
            <w:tcBorders>
              <w:bottom w:val="single" w:color="auto" w:sz="4" w:space="0"/>
            </w:tcBorders>
            <w:vAlign w:val="center"/>
          </w:tcPr>
          <w:p w14:paraId="0A91E261"/>
        </w:tc>
        <w:tc>
          <w:tcPr>
            <w:tcW w:w="456" w:type="dxa"/>
            <w:vMerge w:val="continue"/>
            <w:vAlign w:val="center"/>
          </w:tcPr>
          <w:p w14:paraId="67D3D76A"/>
        </w:tc>
        <w:tc>
          <w:tcPr>
            <w:tcW w:w="974" w:type="dxa"/>
            <w:vMerge w:val="continue"/>
            <w:vAlign w:val="center"/>
          </w:tcPr>
          <w:p w14:paraId="7C891345"/>
        </w:tc>
        <w:tc>
          <w:tcPr>
            <w:tcW w:w="3064" w:type="dxa"/>
            <w:tcBorders>
              <w:top w:val="single" w:color="auto" w:sz="4" w:space="0"/>
              <w:right w:val="single" w:color="auto" w:sz="4" w:space="0"/>
            </w:tcBorders>
            <w:vAlign w:val="center"/>
          </w:tcPr>
          <w:p w14:paraId="10D369EC">
            <w:pPr>
              <w:widowControl/>
              <w:jc w:val="center"/>
              <w:rPr>
                <w:rFonts w:ascii="宋体" w:cs="宋体"/>
                <w:color w:val="000000"/>
                <w:kern w:val="0"/>
                <w:szCs w:val="21"/>
              </w:rPr>
            </w:pPr>
            <w:r>
              <w:rPr>
                <w:rFonts w:hint="eastAsia" w:ascii="宋体" w:cs="宋体"/>
                <w:color w:val="000000"/>
                <w:kern w:val="0"/>
                <w:szCs w:val="21"/>
              </w:rPr>
              <w:t>评价说明</w:t>
            </w:r>
          </w:p>
        </w:tc>
        <w:tc>
          <w:tcPr>
            <w:tcW w:w="3060" w:type="dxa"/>
            <w:tcBorders>
              <w:top w:val="single" w:color="auto" w:sz="4" w:space="0"/>
              <w:left w:val="single" w:color="auto" w:sz="4" w:space="0"/>
              <w:right w:val="single" w:color="auto" w:sz="4" w:space="0"/>
            </w:tcBorders>
            <w:vAlign w:val="center"/>
          </w:tcPr>
          <w:p w14:paraId="743C3272">
            <w:pPr>
              <w:widowControl/>
              <w:jc w:val="center"/>
              <w:rPr>
                <w:rFonts w:ascii="宋体" w:cs="宋体"/>
                <w:color w:val="000000"/>
                <w:kern w:val="0"/>
                <w:szCs w:val="21"/>
              </w:rPr>
            </w:pPr>
            <w:r>
              <w:rPr>
                <w:rFonts w:hint="eastAsia" w:ascii="宋体" w:cs="宋体"/>
                <w:color w:val="000000"/>
                <w:kern w:val="0"/>
                <w:szCs w:val="21"/>
              </w:rPr>
              <w:t>评价标准</w:t>
            </w:r>
          </w:p>
        </w:tc>
        <w:tc>
          <w:tcPr>
            <w:tcW w:w="735" w:type="dxa"/>
            <w:tcBorders>
              <w:top w:val="single" w:color="auto" w:sz="4" w:space="0"/>
              <w:left w:val="single" w:color="auto" w:sz="4" w:space="0"/>
            </w:tcBorders>
            <w:vAlign w:val="center"/>
          </w:tcPr>
          <w:p w14:paraId="2AE26B73">
            <w:pPr>
              <w:widowControl/>
              <w:jc w:val="center"/>
              <w:rPr>
                <w:rFonts w:ascii="宋体" w:cs="宋体"/>
                <w:color w:val="000000"/>
                <w:kern w:val="0"/>
                <w:szCs w:val="21"/>
              </w:rPr>
            </w:pPr>
            <w:r>
              <w:rPr>
                <w:rFonts w:hint="eastAsia" w:ascii="宋体" w:cs="宋体"/>
                <w:color w:val="000000"/>
                <w:kern w:val="0"/>
                <w:szCs w:val="21"/>
              </w:rPr>
              <w:t>得分</w:t>
            </w:r>
          </w:p>
        </w:tc>
      </w:tr>
      <w:tr w14:paraId="7AA778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blHeader/>
        </w:trPr>
        <w:tc>
          <w:tcPr>
            <w:tcW w:w="576" w:type="dxa"/>
            <w:vMerge w:val="restart"/>
            <w:tcBorders>
              <w:top w:val="single" w:color="auto" w:sz="4" w:space="0"/>
            </w:tcBorders>
            <w:vAlign w:val="center"/>
          </w:tcPr>
          <w:p w14:paraId="4545B1EA">
            <w:pPr>
              <w:spacing w:line="276" w:lineRule="auto"/>
              <w:rPr>
                <w:rFonts w:ascii="Times New Roman" w:hAnsi="Times New Roman" w:cs="Times New Roman"/>
                <w:sz w:val="24"/>
              </w:rPr>
            </w:pPr>
            <w:r>
              <w:rPr>
                <w:rFonts w:hint="eastAsia" w:ascii="Times New Roman" w:hAnsi="Times New Roman" w:cs="Times New Roman"/>
                <w:sz w:val="24"/>
              </w:rPr>
              <w:t>企</w:t>
            </w:r>
          </w:p>
          <w:p w14:paraId="54639F32">
            <w:pPr>
              <w:spacing w:line="276" w:lineRule="auto"/>
              <w:rPr>
                <w:rFonts w:ascii="Times New Roman" w:hAnsi="Times New Roman" w:cs="Times New Roman"/>
                <w:sz w:val="24"/>
              </w:rPr>
            </w:pPr>
            <w:r>
              <w:rPr>
                <w:rFonts w:hint="eastAsia" w:ascii="Times New Roman" w:hAnsi="Times New Roman" w:cs="Times New Roman"/>
                <w:sz w:val="24"/>
              </w:rPr>
              <w:t>业</w:t>
            </w:r>
          </w:p>
          <w:p w14:paraId="7F5F91B5">
            <w:pPr>
              <w:spacing w:line="276" w:lineRule="auto"/>
              <w:rPr>
                <w:rFonts w:ascii="Times New Roman" w:hAnsi="Times New Roman" w:cs="Times New Roman"/>
                <w:sz w:val="24"/>
              </w:rPr>
            </w:pPr>
            <w:r>
              <w:rPr>
                <w:rFonts w:hint="eastAsia" w:ascii="Times New Roman" w:hAnsi="Times New Roman" w:cs="Times New Roman"/>
                <w:sz w:val="24"/>
              </w:rPr>
              <w:t>履</w:t>
            </w:r>
          </w:p>
          <w:p w14:paraId="37E58864">
            <w:pPr>
              <w:spacing w:line="276" w:lineRule="auto"/>
              <w:rPr>
                <w:rFonts w:ascii="Times New Roman" w:hAnsi="Times New Roman" w:cs="Times New Roman"/>
                <w:sz w:val="24"/>
              </w:rPr>
            </w:pPr>
            <w:r>
              <w:rPr>
                <w:rFonts w:hint="eastAsia" w:ascii="Times New Roman" w:hAnsi="Times New Roman" w:cs="Times New Roman"/>
                <w:sz w:val="24"/>
              </w:rPr>
              <w:t>约</w:t>
            </w:r>
          </w:p>
          <w:p w14:paraId="7CE10976">
            <w:pPr>
              <w:spacing w:line="276" w:lineRule="auto"/>
              <w:rPr>
                <w:rFonts w:ascii="Times New Roman" w:hAnsi="Times New Roman" w:cs="Times New Roman"/>
                <w:sz w:val="24"/>
              </w:rPr>
            </w:pPr>
            <w:r>
              <w:rPr>
                <w:rFonts w:hint="eastAsia" w:ascii="Times New Roman" w:hAnsi="Times New Roman" w:cs="Times New Roman"/>
                <w:sz w:val="24"/>
              </w:rPr>
              <w:t>情</w:t>
            </w:r>
          </w:p>
          <w:p w14:paraId="7D5EEAD6">
            <w:pPr>
              <w:spacing w:line="276" w:lineRule="auto"/>
              <w:rPr>
                <w:rFonts w:ascii="Times New Roman" w:hAnsi="Times New Roman" w:cs="Times New Roman"/>
                <w:sz w:val="24"/>
              </w:rPr>
            </w:pPr>
            <w:r>
              <w:rPr>
                <w:rFonts w:hint="eastAsia" w:ascii="Times New Roman" w:hAnsi="Times New Roman" w:cs="Times New Roman"/>
                <w:sz w:val="24"/>
              </w:rPr>
              <w:t>况</w:t>
            </w:r>
          </w:p>
          <w:p w14:paraId="3CF3CD80">
            <w:pPr>
              <w:spacing w:line="276" w:lineRule="auto"/>
              <w:rPr>
                <w:rFonts w:ascii="Times New Roman" w:hAnsi="Times New Roman" w:cs="Times New Roman"/>
                <w:sz w:val="24"/>
              </w:rPr>
            </w:pPr>
            <w:r>
              <w:rPr>
                <w:rFonts w:hint="eastAsia" w:ascii="Times New Roman" w:hAnsi="Times New Roman" w:cs="Times New Roman"/>
                <w:sz w:val="24"/>
              </w:rPr>
              <w:t>（</w:t>
            </w:r>
          </w:p>
          <w:p w14:paraId="550AB91A">
            <w:pPr>
              <w:spacing w:line="276" w:lineRule="auto"/>
              <w:rPr>
                <w:rFonts w:ascii="Times New Roman" w:hAnsi="Times New Roman" w:cs="Times New Roman"/>
                <w:sz w:val="24"/>
              </w:rPr>
            </w:pPr>
            <w:r>
              <w:rPr>
                <w:rFonts w:hint="eastAsia" w:ascii="Times New Roman" w:hAnsi="Times New Roman" w:cs="Times New Roman"/>
                <w:sz w:val="24"/>
              </w:rPr>
              <w:t>100分</w:t>
            </w:r>
          </w:p>
          <w:p w14:paraId="02B02723">
            <w:pPr>
              <w:spacing w:line="276" w:lineRule="auto"/>
              <w:rPr>
                <w:rFonts w:ascii="Times New Roman" w:hAnsi="Times New Roman" w:cs="Times New Roman"/>
                <w:sz w:val="24"/>
              </w:rPr>
            </w:pPr>
            <w:r>
              <w:rPr>
                <w:rFonts w:hint="eastAsia" w:ascii="Times New Roman" w:hAnsi="Times New Roman" w:cs="Times New Roman"/>
                <w:sz w:val="24"/>
              </w:rPr>
              <w:t>）</w:t>
            </w:r>
          </w:p>
        </w:tc>
        <w:tc>
          <w:tcPr>
            <w:tcW w:w="456" w:type="dxa"/>
            <w:vMerge w:val="restart"/>
            <w:vAlign w:val="center"/>
          </w:tcPr>
          <w:p w14:paraId="43A7D9EF">
            <w:pPr>
              <w:spacing w:line="276" w:lineRule="auto"/>
              <w:rPr>
                <w:rFonts w:ascii="Times New Roman" w:hAnsi="Times New Roman" w:cs="Times New Roman"/>
                <w:sz w:val="24"/>
              </w:rPr>
            </w:pPr>
            <w:r>
              <w:rPr>
                <w:rFonts w:hint="eastAsia" w:ascii="Times New Roman" w:hAnsi="Times New Roman" w:cs="Times New Roman"/>
                <w:sz w:val="24"/>
              </w:rPr>
              <w:t>10</w:t>
            </w:r>
          </w:p>
        </w:tc>
        <w:tc>
          <w:tcPr>
            <w:tcW w:w="974" w:type="dxa"/>
            <w:vMerge w:val="restart"/>
            <w:vAlign w:val="center"/>
          </w:tcPr>
          <w:p w14:paraId="074BA392">
            <w:pPr>
              <w:spacing w:line="276" w:lineRule="auto"/>
              <w:rPr>
                <w:rFonts w:ascii="Times New Roman" w:hAnsi="Times New Roman" w:cs="Times New Roman"/>
                <w:sz w:val="24"/>
              </w:rPr>
            </w:pPr>
          </w:p>
          <w:p w14:paraId="676E3E32">
            <w:pPr>
              <w:spacing w:line="276" w:lineRule="auto"/>
              <w:rPr>
                <w:rFonts w:ascii="Times New Roman" w:hAnsi="Times New Roman" w:cs="Times New Roman"/>
                <w:sz w:val="24"/>
              </w:rPr>
            </w:pPr>
            <w:r>
              <w:rPr>
                <w:rFonts w:hint="eastAsia" w:ascii="Times New Roman" w:hAnsi="Times New Roman" w:cs="Times New Roman"/>
                <w:sz w:val="24"/>
              </w:rPr>
              <w:t>招标资料备案</w:t>
            </w:r>
          </w:p>
          <w:p w14:paraId="20799E09">
            <w:pPr>
              <w:spacing w:line="276" w:lineRule="auto"/>
              <w:rPr>
                <w:rFonts w:ascii="Times New Roman" w:hAnsi="Times New Roman" w:cs="Times New Roman"/>
                <w:sz w:val="24"/>
              </w:rPr>
            </w:pPr>
          </w:p>
        </w:tc>
        <w:tc>
          <w:tcPr>
            <w:tcW w:w="3064" w:type="dxa"/>
            <w:vMerge w:val="restart"/>
            <w:tcBorders>
              <w:right w:val="single" w:color="auto" w:sz="4" w:space="0"/>
            </w:tcBorders>
            <w:vAlign w:val="center"/>
          </w:tcPr>
          <w:p w14:paraId="70E45479">
            <w:pPr>
              <w:spacing w:line="276" w:lineRule="auto"/>
              <w:rPr>
                <w:rFonts w:ascii="Times New Roman" w:hAnsi="Times New Roman" w:cs="Times New Roman"/>
                <w:sz w:val="24"/>
              </w:rPr>
            </w:pPr>
            <w:r>
              <w:rPr>
                <w:rFonts w:hint="eastAsia" w:ascii="Times New Roman" w:hAnsi="Times New Roman" w:cs="Times New Roman"/>
                <w:sz w:val="24"/>
              </w:rPr>
              <w:t>是否严格按照国家法律、法规及委托协议有关规定及时完成招标文件、预算控制价的编制和备案</w:t>
            </w:r>
          </w:p>
        </w:tc>
        <w:tc>
          <w:tcPr>
            <w:tcW w:w="3060" w:type="dxa"/>
            <w:tcBorders>
              <w:top w:val="single" w:color="auto" w:sz="4" w:space="0"/>
              <w:right w:val="single" w:color="auto" w:sz="4" w:space="0"/>
            </w:tcBorders>
            <w:vAlign w:val="center"/>
          </w:tcPr>
          <w:p w14:paraId="5B58FEAB">
            <w:pPr>
              <w:spacing w:line="276" w:lineRule="auto"/>
              <w:rPr>
                <w:rFonts w:ascii="Times New Roman" w:hAnsi="Times New Roman" w:cs="Times New Roman"/>
                <w:sz w:val="24"/>
              </w:rPr>
            </w:pPr>
            <w:r>
              <w:rPr>
                <w:rFonts w:hint="eastAsia" w:ascii="Times New Roman" w:hAnsi="Times New Roman" w:cs="Times New Roman"/>
                <w:sz w:val="24"/>
              </w:rPr>
              <w:t>是</w:t>
            </w:r>
          </w:p>
        </w:tc>
        <w:tc>
          <w:tcPr>
            <w:tcW w:w="735" w:type="dxa"/>
            <w:tcBorders>
              <w:top w:val="single" w:color="auto" w:sz="4" w:space="0"/>
            </w:tcBorders>
            <w:vAlign w:val="center"/>
          </w:tcPr>
          <w:p w14:paraId="03C6C0C3">
            <w:pPr>
              <w:spacing w:line="276" w:lineRule="auto"/>
              <w:rPr>
                <w:rFonts w:ascii="Times New Roman" w:hAnsi="Times New Roman" w:cs="Times New Roman"/>
                <w:sz w:val="24"/>
              </w:rPr>
            </w:pPr>
            <w:r>
              <w:rPr>
                <w:rFonts w:hint="eastAsia" w:ascii="Times New Roman" w:hAnsi="Times New Roman" w:cs="Times New Roman"/>
                <w:sz w:val="24"/>
              </w:rPr>
              <w:t>10</w:t>
            </w:r>
          </w:p>
        </w:tc>
      </w:tr>
      <w:tr w14:paraId="6CE4F5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blHeader/>
        </w:trPr>
        <w:tc>
          <w:tcPr>
            <w:tcW w:w="576" w:type="dxa"/>
            <w:vMerge w:val="continue"/>
            <w:vAlign w:val="center"/>
          </w:tcPr>
          <w:p w14:paraId="4CCEBF38">
            <w:pPr>
              <w:spacing w:line="276" w:lineRule="auto"/>
              <w:rPr>
                <w:rFonts w:ascii="Times New Roman" w:hAnsi="Times New Roman" w:cs="Times New Roman"/>
                <w:sz w:val="24"/>
              </w:rPr>
            </w:pPr>
          </w:p>
        </w:tc>
        <w:tc>
          <w:tcPr>
            <w:tcW w:w="456" w:type="dxa"/>
            <w:vMerge w:val="continue"/>
            <w:vAlign w:val="center"/>
          </w:tcPr>
          <w:p w14:paraId="0D040222">
            <w:pPr>
              <w:spacing w:line="276" w:lineRule="auto"/>
              <w:rPr>
                <w:rFonts w:ascii="Times New Roman" w:hAnsi="Times New Roman" w:cs="Times New Roman"/>
                <w:sz w:val="24"/>
              </w:rPr>
            </w:pPr>
          </w:p>
        </w:tc>
        <w:tc>
          <w:tcPr>
            <w:tcW w:w="974" w:type="dxa"/>
            <w:vMerge w:val="continue"/>
            <w:vAlign w:val="center"/>
          </w:tcPr>
          <w:p w14:paraId="71CD888E">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259FC581">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14:paraId="4E93B10B">
            <w:pPr>
              <w:spacing w:line="276" w:lineRule="auto"/>
              <w:rPr>
                <w:rFonts w:ascii="Times New Roman" w:hAnsi="Times New Roman" w:cs="Times New Roman"/>
                <w:sz w:val="24"/>
              </w:rPr>
            </w:pPr>
            <w:r>
              <w:rPr>
                <w:rFonts w:hint="eastAsia" w:ascii="Times New Roman" w:hAnsi="Times New Roman" w:cs="Times New Roman"/>
                <w:sz w:val="24"/>
              </w:rPr>
              <w:t>否（因招标代理机构原因）</w:t>
            </w:r>
          </w:p>
        </w:tc>
        <w:tc>
          <w:tcPr>
            <w:tcW w:w="735" w:type="dxa"/>
            <w:tcBorders>
              <w:top w:val="single" w:color="auto" w:sz="4" w:space="0"/>
            </w:tcBorders>
            <w:vAlign w:val="center"/>
          </w:tcPr>
          <w:p w14:paraId="4699771F">
            <w:pPr>
              <w:spacing w:line="276" w:lineRule="auto"/>
              <w:rPr>
                <w:rFonts w:ascii="Times New Roman" w:hAnsi="Times New Roman" w:cs="Times New Roman"/>
                <w:sz w:val="24"/>
              </w:rPr>
            </w:pPr>
            <w:r>
              <w:rPr>
                <w:rFonts w:hint="eastAsia" w:ascii="Times New Roman" w:hAnsi="Times New Roman" w:cs="Times New Roman"/>
                <w:sz w:val="24"/>
              </w:rPr>
              <w:t>0</w:t>
            </w:r>
          </w:p>
        </w:tc>
      </w:tr>
      <w:tr w14:paraId="624E3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576" w:type="dxa"/>
            <w:vMerge w:val="continue"/>
            <w:vAlign w:val="center"/>
          </w:tcPr>
          <w:p w14:paraId="69416D86">
            <w:pPr>
              <w:spacing w:line="276" w:lineRule="auto"/>
              <w:rPr>
                <w:rFonts w:ascii="Times New Roman" w:hAnsi="Times New Roman" w:cs="Times New Roman"/>
                <w:sz w:val="24"/>
              </w:rPr>
            </w:pPr>
          </w:p>
        </w:tc>
        <w:tc>
          <w:tcPr>
            <w:tcW w:w="456" w:type="dxa"/>
            <w:vMerge w:val="restart"/>
            <w:vAlign w:val="center"/>
          </w:tcPr>
          <w:p w14:paraId="3B7EE9B0">
            <w:pPr>
              <w:spacing w:line="276" w:lineRule="auto"/>
              <w:rPr>
                <w:rFonts w:ascii="Times New Roman" w:hAnsi="Times New Roman" w:cs="Times New Roman"/>
                <w:sz w:val="24"/>
              </w:rPr>
            </w:pPr>
            <w:r>
              <w:rPr>
                <w:rFonts w:hint="eastAsia" w:ascii="Times New Roman" w:hAnsi="Times New Roman" w:cs="Times New Roman"/>
                <w:sz w:val="24"/>
              </w:rPr>
              <w:t>15</w:t>
            </w:r>
          </w:p>
        </w:tc>
        <w:tc>
          <w:tcPr>
            <w:tcW w:w="974" w:type="dxa"/>
            <w:vMerge w:val="restart"/>
            <w:vAlign w:val="center"/>
          </w:tcPr>
          <w:p w14:paraId="308AA3A7">
            <w:pPr>
              <w:spacing w:line="276" w:lineRule="auto"/>
              <w:rPr>
                <w:rFonts w:ascii="Times New Roman" w:hAnsi="Times New Roman" w:cs="Times New Roman"/>
                <w:sz w:val="24"/>
              </w:rPr>
            </w:pPr>
            <w:r>
              <w:rPr>
                <w:rFonts w:hint="eastAsia" w:ascii="Times New Roman" w:hAnsi="Times New Roman" w:cs="Times New Roman"/>
                <w:sz w:val="24"/>
              </w:rPr>
              <w:t>招标公告发布</w:t>
            </w:r>
          </w:p>
        </w:tc>
        <w:tc>
          <w:tcPr>
            <w:tcW w:w="3064" w:type="dxa"/>
            <w:vMerge w:val="restart"/>
            <w:tcBorders>
              <w:right w:val="single" w:color="auto" w:sz="4" w:space="0"/>
            </w:tcBorders>
            <w:vAlign w:val="center"/>
          </w:tcPr>
          <w:p w14:paraId="1B285D2A">
            <w:pPr>
              <w:spacing w:line="276" w:lineRule="auto"/>
              <w:rPr>
                <w:rFonts w:ascii="Times New Roman" w:hAnsi="Times New Roman" w:cs="Times New Roman"/>
                <w:sz w:val="24"/>
              </w:rPr>
            </w:pPr>
            <w:r>
              <w:rPr>
                <w:rFonts w:hint="eastAsia" w:ascii="Times New Roman" w:hAnsi="Times New Roman" w:cs="Times New Roman"/>
                <w:sz w:val="24"/>
              </w:rPr>
              <w:t>是否严格按照国家法律、法规及委托协议有关规定及时、准确发布招标公告</w:t>
            </w:r>
          </w:p>
        </w:tc>
        <w:tc>
          <w:tcPr>
            <w:tcW w:w="3060" w:type="dxa"/>
            <w:tcBorders>
              <w:top w:val="single" w:color="auto" w:sz="4" w:space="0"/>
              <w:bottom w:val="single" w:color="auto" w:sz="4" w:space="0"/>
              <w:right w:val="single" w:color="auto" w:sz="4" w:space="0"/>
            </w:tcBorders>
            <w:vAlign w:val="center"/>
          </w:tcPr>
          <w:p w14:paraId="5C54F053">
            <w:pPr>
              <w:spacing w:line="276" w:lineRule="auto"/>
              <w:rPr>
                <w:rFonts w:ascii="Times New Roman" w:hAnsi="Times New Roman" w:cs="Times New Roman"/>
                <w:sz w:val="24"/>
              </w:rPr>
            </w:pPr>
            <w:r>
              <w:rPr>
                <w:rFonts w:hint="eastAsia" w:ascii="Times New Roman" w:hAnsi="Times New Roman" w:cs="Times New Roman"/>
                <w:sz w:val="24"/>
              </w:rPr>
              <w:t>是</w:t>
            </w:r>
          </w:p>
        </w:tc>
        <w:tc>
          <w:tcPr>
            <w:tcW w:w="735" w:type="dxa"/>
            <w:tcBorders>
              <w:top w:val="single" w:color="auto" w:sz="4" w:space="0"/>
              <w:bottom w:val="single" w:color="auto" w:sz="4" w:space="0"/>
            </w:tcBorders>
            <w:vAlign w:val="center"/>
          </w:tcPr>
          <w:p w14:paraId="7ED6E7C7">
            <w:pPr>
              <w:spacing w:line="276" w:lineRule="auto"/>
              <w:rPr>
                <w:rFonts w:ascii="Times New Roman" w:hAnsi="Times New Roman" w:cs="Times New Roman"/>
                <w:sz w:val="24"/>
              </w:rPr>
            </w:pPr>
            <w:r>
              <w:rPr>
                <w:rFonts w:hint="eastAsia" w:ascii="Times New Roman" w:hAnsi="Times New Roman" w:cs="Times New Roman"/>
                <w:sz w:val="24"/>
              </w:rPr>
              <w:t>15</w:t>
            </w:r>
          </w:p>
        </w:tc>
      </w:tr>
      <w:tr w14:paraId="25D665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tblHeader/>
        </w:trPr>
        <w:tc>
          <w:tcPr>
            <w:tcW w:w="576" w:type="dxa"/>
            <w:vMerge w:val="continue"/>
            <w:vAlign w:val="center"/>
          </w:tcPr>
          <w:p w14:paraId="349D9898">
            <w:pPr>
              <w:spacing w:line="276" w:lineRule="auto"/>
              <w:rPr>
                <w:rFonts w:ascii="Times New Roman" w:hAnsi="Times New Roman" w:cs="Times New Roman"/>
                <w:sz w:val="24"/>
              </w:rPr>
            </w:pPr>
          </w:p>
        </w:tc>
        <w:tc>
          <w:tcPr>
            <w:tcW w:w="456" w:type="dxa"/>
            <w:vMerge w:val="continue"/>
            <w:vAlign w:val="center"/>
          </w:tcPr>
          <w:p w14:paraId="40253F06">
            <w:pPr>
              <w:spacing w:line="276" w:lineRule="auto"/>
              <w:rPr>
                <w:rFonts w:ascii="Times New Roman" w:hAnsi="Times New Roman" w:cs="Times New Roman"/>
                <w:sz w:val="24"/>
              </w:rPr>
            </w:pPr>
          </w:p>
        </w:tc>
        <w:tc>
          <w:tcPr>
            <w:tcW w:w="974" w:type="dxa"/>
            <w:vMerge w:val="continue"/>
            <w:vAlign w:val="center"/>
          </w:tcPr>
          <w:p w14:paraId="271747EA">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6E6A6B55">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14:paraId="48562631">
            <w:pPr>
              <w:spacing w:line="276" w:lineRule="auto"/>
              <w:rPr>
                <w:rFonts w:ascii="Times New Roman" w:hAnsi="Times New Roman" w:cs="Times New Roman"/>
                <w:sz w:val="24"/>
              </w:rPr>
            </w:pPr>
            <w:r>
              <w:rPr>
                <w:rFonts w:hint="eastAsia" w:ascii="Times New Roman" w:hAnsi="Times New Roman" w:cs="Times New Roman"/>
                <w:sz w:val="24"/>
              </w:rPr>
              <w:t>否（因招标代理机构原因）</w:t>
            </w:r>
          </w:p>
        </w:tc>
        <w:tc>
          <w:tcPr>
            <w:tcW w:w="735" w:type="dxa"/>
            <w:tcBorders>
              <w:top w:val="single" w:color="auto" w:sz="4" w:space="0"/>
            </w:tcBorders>
            <w:vAlign w:val="center"/>
          </w:tcPr>
          <w:p w14:paraId="0332940F">
            <w:pPr>
              <w:spacing w:line="276" w:lineRule="auto"/>
              <w:rPr>
                <w:rFonts w:ascii="Times New Roman" w:hAnsi="Times New Roman" w:cs="Times New Roman"/>
                <w:sz w:val="24"/>
              </w:rPr>
            </w:pPr>
            <w:r>
              <w:rPr>
                <w:rFonts w:hint="eastAsia" w:ascii="Times New Roman" w:hAnsi="Times New Roman" w:cs="Times New Roman"/>
                <w:sz w:val="24"/>
              </w:rPr>
              <w:t>0</w:t>
            </w:r>
          </w:p>
        </w:tc>
      </w:tr>
      <w:tr w14:paraId="2B469C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blHeader/>
        </w:trPr>
        <w:tc>
          <w:tcPr>
            <w:tcW w:w="576" w:type="dxa"/>
            <w:vMerge w:val="continue"/>
            <w:vAlign w:val="center"/>
          </w:tcPr>
          <w:p w14:paraId="439F87CF">
            <w:pPr>
              <w:spacing w:line="276" w:lineRule="auto"/>
              <w:rPr>
                <w:rFonts w:ascii="Times New Roman" w:hAnsi="Times New Roman" w:cs="Times New Roman"/>
                <w:sz w:val="24"/>
              </w:rPr>
            </w:pPr>
          </w:p>
        </w:tc>
        <w:tc>
          <w:tcPr>
            <w:tcW w:w="456" w:type="dxa"/>
            <w:vMerge w:val="restart"/>
            <w:vAlign w:val="center"/>
          </w:tcPr>
          <w:p w14:paraId="004F4C0F">
            <w:pPr>
              <w:spacing w:line="276" w:lineRule="auto"/>
              <w:rPr>
                <w:rFonts w:ascii="Times New Roman" w:hAnsi="Times New Roman" w:cs="Times New Roman"/>
                <w:sz w:val="24"/>
              </w:rPr>
            </w:pPr>
            <w:r>
              <w:rPr>
                <w:rFonts w:hint="eastAsia" w:ascii="Times New Roman" w:hAnsi="Times New Roman" w:cs="Times New Roman"/>
                <w:sz w:val="24"/>
              </w:rPr>
              <w:t>15</w:t>
            </w:r>
          </w:p>
        </w:tc>
        <w:tc>
          <w:tcPr>
            <w:tcW w:w="974" w:type="dxa"/>
            <w:vMerge w:val="restart"/>
            <w:vAlign w:val="center"/>
          </w:tcPr>
          <w:p w14:paraId="41077952">
            <w:pPr>
              <w:spacing w:line="276" w:lineRule="auto"/>
              <w:rPr>
                <w:rFonts w:ascii="Times New Roman" w:hAnsi="Times New Roman" w:cs="Times New Roman"/>
                <w:sz w:val="24"/>
              </w:rPr>
            </w:pPr>
            <w:r>
              <w:rPr>
                <w:rFonts w:hint="eastAsia" w:ascii="Times New Roman" w:hAnsi="Times New Roman" w:cs="Times New Roman"/>
                <w:sz w:val="24"/>
              </w:rPr>
              <w:t>中标通知书发出</w:t>
            </w:r>
          </w:p>
        </w:tc>
        <w:tc>
          <w:tcPr>
            <w:tcW w:w="3064" w:type="dxa"/>
            <w:vMerge w:val="restart"/>
            <w:tcBorders>
              <w:right w:val="single" w:color="auto" w:sz="4" w:space="0"/>
            </w:tcBorders>
            <w:vAlign w:val="center"/>
          </w:tcPr>
          <w:p w14:paraId="5B13C820">
            <w:pPr>
              <w:spacing w:line="276" w:lineRule="auto"/>
              <w:rPr>
                <w:rFonts w:ascii="Times New Roman" w:hAnsi="Times New Roman" w:cs="Times New Roman"/>
                <w:sz w:val="24"/>
              </w:rPr>
            </w:pPr>
            <w:r>
              <w:rPr>
                <w:rFonts w:hint="eastAsia" w:ascii="Times New Roman" w:hAnsi="Times New Roman" w:cs="Times New Roman"/>
                <w:sz w:val="24"/>
              </w:rPr>
              <w:t>是否严格按照国家法律、法规及委托协议有关规定及时、准确发出中标通知书</w:t>
            </w:r>
          </w:p>
        </w:tc>
        <w:tc>
          <w:tcPr>
            <w:tcW w:w="3060" w:type="dxa"/>
            <w:tcBorders>
              <w:top w:val="single" w:color="auto" w:sz="4" w:space="0"/>
              <w:bottom w:val="single" w:color="auto" w:sz="4" w:space="0"/>
              <w:right w:val="single" w:color="auto" w:sz="4" w:space="0"/>
            </w:tcBorders>
            <w:vAlign w:val="center"/>
          </w:tcPr>
          <w:p w14:paraId="2A6E158A">
            <w:pPr>
              <w:spacing w:line="276" w:lineRule="auto"/>
              <w:rPr>
                <w:rFonts w:ascii="Times New Roman" w:hAnsi="Times New Roman" w:cs="Times New Roman"/>
                <w:sz w:val="24"/>
              </w:rPr>
            </w:pPr>
            <w:r>
              <w:rPr>
                <w:rFonts w:hint="eastAsia" w:ascii="Times New Roman" w:hAnsi="Times New Roman" w:cs="Times New Roman"/>
                <w:sz w:val="24"/>
              </w:rPr>
              <w:t>是</w:t>
            </w:r>
          </w:p>
        </w:tc>
        <w:tc>
          <w:tcPr>
            <w:tcW w:w="735" w:type="dxa"/>
            <w:tcBorders>
              <w:top w:val="single" w:color="auto" w:sz="4" w:space="0"/>
              <w:bottom w:val="single" w:color="auto" w:sz="4" w:space="0"/>
            </w:tcBorders>
            <w:vAlign w:val="center"/>
          </w:tcPr>
          <w:p w14:paraId="5541EBBC">
            <w:pPr>
              <w:spacing w:line="276" w:lineRule="auto"/>
              <w:rPr>
                <w:rFonts w:ascii="Times New Roman" w:hAnsi="Times New Roman" w:cs="Times New Roman"/>
                <w:sz w:val="24"/>
              </w:rPr>
            </w:pPr>
            <w:r>
              <w:rPr>
                <w:rFonts w:hint="eastAsia" w:ascii="Times New Roman" w:hAnsi="Times New Roman" w:cs="Times New Roman"/>
                <w:sz w:val="24"/>
              </w:rPr>
              <w:t>15</w:t>
            </w:r>
          </w:p>
        </w:tc>
      </w:tr>
      <w:tr w14:paraId="0D229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blHeader/>
        </w:trPr>
        <w:tc>
          <w:tcPr>
            <w:tcW w:w="576" w:type="dxa"/>
            <w:vMerge w:val="continue"/>
            <w:vAlign w:val="center"/>
          </w:tcPr>
          <w:p w14:paraId="67286893">
            <w:pPr>
              <w:spacing w:line="276" w:lineRule="auto"/>
              <w:rPr>
                <w:rFonts w:ascii="Times New Roman" w:hAnsi="Times New Roman" w:cs="Times New Roman"/>
                <w:sz w:val="24"/>
              </w:rPr>
            </w:pPr>
          </w:p>
        </w:tc>
        <w:tc>
          <w:tcPr>
            <w:tcW w:w="456" w:type="dxa"/>
            <w:vMerge w:val="continue"/>
            <w:vAlign w:val="center"/>
          </w:tcPr>
          <w:p w14:paraId="4947E512">
            <w:pPr>
              <w:spacing w:line="276" w:lineRule="auto"/>
              <w:rPr>
                <w:rFonts w:ascii="Times New Roman" w:hAnsi="Times New Roman" w:cs="Times New Roman"/>
                <w:sz w:val="24"/>
              </w:rPr>
            </w:pPr>
          </w:p>
        </w:tc>
        <w:tc>
          <w:tcPr>
            <w:tcW w:w="974" w:type="dxa"/>
            <w:vMerge w:val="continue"/>
            <w:vAlign w:val="center"/>
          </w:tcPr>
          <w:p w14:paraId="59FFD128">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31AF4AD0">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14:paraId="7DAA64DF">
            <w:pPr>
              <w:spacing w:line="276" w:lineRule="auto"/>
              <w:rPr>
                <w:rFonts w:ascii="Times New Roman" w:hAnsi="Times New Roman" w:cs="Times New Roman"/>
                <w:sz w:val="24"/>
              </w:rPr>
            </w:pPr>
            <w:r>
              <w:rPr>
                <w:rFonts w:hint="eastAsia" w:ascii="Times New Roman" w:hAnsi="Times New Roman" w:cs="Times New Roman"/>
                <w:sz w:val="24"/>
              </w:rPr>
              <w:t>否（因招标代理机构原因）</w:t>
            </w:r>
          </w:p>
        </w:tc>
        <w:tc>
          <w:tcPr>
            <w:tcW w:w="735" w:type="dxa"/>
            <w:tcBorders>
              <w:top w:val="single" w:color="auto" w:sz="4" w:space="0"/>
            </w:tcBorders>
            <w:vAlign w:val="center"/>
          </w:tcPr>
          <w:p w14:paraId="3B4C85A4">
            <w:pPr>
              <w:spacing w:line="276" w:lineRule="auto"/>
              <w:rPr>
                <w:rFonts w:ascii="Times New Roman" w:hAnsi="Times New Roman" w:cs="Times New Roman"/>
                <w:sz w:val="24"/>
              </w:rPr>
            </w:pPr>
            <w:r>
              <w:rPr>
                <w:rFonts w:hint="eastAsia" w:ascii="Times New Roman" w:hAnsi="Times New Roman" w:cs="Times New Roman"/>
                <w:sz w:val="24"/>
              </w:rPr>
              <w:t>0</w:t>
            </w:r>
          </w:p>
        </w:tc>
      </w:tr>
      <w:tr w14:paraId="72D905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blHeader/>
        </w:trPr>
        <w:tc>
          <w:tcPr>
            <w:tcW w:w="576" w:type="dxa"/>
            <w:vMerge w:val="continue"/>
            <w:vAlign w:val="center"/>
          </w:tcPr>
          <w:p w14:paraId="07C7DF4B">
            <w:pPr>
              <w:spacing w:line="276" w:lineRule="auto"/>
              <w:rPr>
                <w:rFonts w:ascii="Times New Roman" w:hAnsi="Times New Roman" w:cs="Times New Roman"/>
                <w:sz w:val="24"/>
              </w:rPr>
            </w:pPr>
          </w:p>
        </w:tc>
        <w:tc>
          <w:tcPr>
            <w:tcW w:w="456" w:type="dxa"/>
            <w:vMerge w:val="restart"/>
            <w:vAlign w:val="center"/>
          </w:tcPr>
          <w:p w14:paraId="75F16140">
            <w:pPr>
              <w:spacing w:line="276" w:lineRule="auto"/>
              <w:rPr>
                <w:rFonts w:ascii="Times New Roman" w:hAnsi="Times New Roman" w:cs="Times New Roman"/>
                <w:sz w:val="24"/>
              </w:rPr>
            </w:pPr>
            <w:r>
              <w:rPr>
                <w:rFonts w:hint="eastAsia" w:ascii="Times New Roman" w:hAnsi="Times New Roman" w:cs="Times New Roman"/>
                <w:sz w:val="24"/>
              </w:rPr>
              <w:t>20</w:t>
            </w:r>
          </w:p>
        </w:tc>
        <w:tc>
          <w:tcPr>
            <w:tcW w:w="974" w:type="dxa"/>
            <w:vMerge w:val="restart"/>
            <w:vAlign w:val="center"/>
          </w:tcPr>
          <w:p w14:paraId="10E96B75">
            <w:pPr>
              <w:spacing w:line="276" w:lineRule="auto"/>
              <w:rPr>
                <w:rFonts w:ascii="Times New Roman" w:hAnsi="Times New Roman" w:cs="Times New Roman"/>
                <w:sz w:val="24"/>
              </w:rPr>
            </w:pPr>
            <w:r>
              <w:rPr>
                <w:rFonts w:hint="eastAsia" w:ascii="Times New Roman" w:hAnsi="Times New Roman" w:cs="Times New Roman"/>
                <w:sz w:val="24"/>
              </w:rPr>
              <w:t>招标文件编制质量</w:t>
            </w:r>
          </w:p>
        </w:tc>
        <w:tc>
          <w:tcPr>
            <w:tcW w:w="3064" w:type="dxa"/>
            <w:vMerge w:val="restart"/>
            <w:tcBorders>
              <w:right w:val="single" w:color="auto" w:sz="4" w:space="0"/>
            </w:tcBorders>
            <w:vAlign w:val="center"/>
          </w:tcPr>
          <w:p w14:paraId="52952524">
            <w:pPr>
              <w:spacing w:line="276" w:lineRule="auto"/>
              <w:rPr>
                <w:rFonts w:ascii="Times New Roman" w:hAnsi="Times New Roman" w:cs="Times New Roman"/>
                <w:sz w:val="24"/>
              </w:rPr>
            </w:pPr>
            <w:r>
              <w:rPr>
                <w:rFonts w:hint="eastAsia" w:ascii="Times New Roman" w:hAnsi="Times New Roman" w:cs="Times New Roman"/>
                <w:sz w:val="24"/>
              </w:rPr>
              <w:t>因招标代理机构原因，招标文件编制出现错误、缺漏造成招标活动受影响</w:t>
            </w:r>
          </w:p>
        </w:tc>
        <w:tc>
          <w:tcPr>
            <w:tcW w:w="3060" w:type="dxa"/>
            <w:tcBorders>
              <w:top w:val="single" w:color="auto" w:sz="4" w:space="0"/>
              <w:right w:val="single" w:color="auto" w:sz="4" w:space="0"/>
            </w:tcBorders>
            <w:vAlign w:val="center"/>
          </w:tcPr>
          <w:p w14:paraId="55AD929C">
            <w:pPr>
              <w:spacing w:line="276" w:lineRule="auto"/>
              <w:rPr>
                <w:rFonts w:ascii="Times New Roman" w:hAnsi="Times New Roman" w:cs="Times New Roman"/>
                <w:sz w:val="24"/>
              </w:rPr>
            </w:pPr>
            <w:r>
              <w:rPr>
                <w:rFonts w:hint="eastAsia" w:ascii="Times New Roman" w:hAnsi="Times New Roman" w:cs="Times New Roman"/>
                <w:sz w:val="24"/>
              </w:rPr>
              <w:t>无澄清公告的</w:t>
            </w:r>
          </w:p>
        </w:tc>
        <w:tc>
          <w:tcPr>
            <w:tcW w:w="735" w:type="dxa"/>
            <w:tcBorders>
              <w:top w:val="single" w:color="auto" w:sz="4" w:space="0"/>
            </w:tcBorders>
            <w:vAlign w:val="center"/>
          </w:tcPr>
          <w:p w14:paraId="075B98AB">
            <w:pPr>
              <w:spacing w:line="276" w:lineRule="auto"/>
              <w:rPr>
                <w:rFonts w:ascii="Times New Roman" w:hAnsi="Times New Roman" w:cs="Times New Roman"/>
                <w:sz w:val="24"/>
              </w:rPr>
            </w:pPr>
            <w:r>
              <w:rPr>
                <w:rFonts w:hint="eastAsia" w:ascii="Times New Roman" w:hAnsi="Times New Roman" w:cs="Times New Roman"/>
                <w:sz w:val="24"/>
              </w:rPr>
              <w:t>20</w:t>
            </w:r>
          </w:p>
        </w:tc>
      </w:tr>
      <w:tr w14:paraId="125B43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blHeader/>
        </w:trPr>
        <w:tc>
          <w:tcPr>
            <w:tcW w:w="576" w:type="dxa"/>
            <w:vMerge w:val="continue"/>
            <w:vAlign w:val="center"/>
          </w:tcPr>
          <w:p w14:paraId="02EF21D6">
            <w:pPr>
              <w:spacing w:line="276" w:lineRule="auto"/>
              <w:rPr>
                <w:rFonts w:ascii="Times New Roman" w:hAnsi="Times New Roman" w:cs="Times New Roman"/>
                <w:sz w:val="24"/>
              </w:rPr>
            </w:pPr>
          </w:p>
        </w:tc>
        <w:tc>
          <w:tcPr>
            <w:tcW w:w="456" w:type="dxa"/>
            <w:vMerge w:val="continue"/>
            <w:vAlign w:val="center"/>
          </w:tcPr>
          <w:p w14:paraId="09D4B08A">
            <w:pPr>
              <w:spacing w:line="276" w:lineRule="auto"/>
              <w:rPr>
                <w:rFonts w:ascii="Times New Roman" w:hAnsi="Times New Roman" w:cs="Times New Roman"/>
                <w:sz w:val="24"/>
              </w:rPr>
            </w:pPr>
          </w:p>
        </w:tc>
        <w:tc>
          <w:tcPr>
            <w:tcW w:w="974" w:type="dxa"/>
            <w:vMerge w:val="continue"/>
            <w:vAlign w:val="center"/>
          </w:tcPr>
          <w:p w14:paraId="134FF43F">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65BD2576">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14:paraId="64B4F2E1">
            <w:pPr>
              <w:spacing w:line="276" w:lineRule="auto"/>
              <w:rPr>
                <w:rFonts w:ascii="Times New Roman" w:hAnsi="Times New Roman" w:cs="Times New Roman"/>
                <w:sz w:val="24"/>
              </w:rPr>
            </w:pPr>
            <w:r>
              <w:rPr>
                <w:rFonts w:hint="eastAsia" w:ascii="Times New Roman" w:hAnsi="Times New Roman" w:cs="Times New Roman"/>
                <w:sz w:val="24"/>
              </w:rPr>
              <w:t>发布澄清公告1次</w:t>
            </w:r>
          </w:p>
        </w:tc>
        <w:tc>
          <w:tcPr>
            <w:tcW w:w="735" w:type="dxa"/>
            <w:tcBorders>
              <w:top w:val="single" w:color="auto" w:sz="4" w:space="0"/>
            </w:tcBorders>
            <w:vAlign w:val="center"/>
          </w:tcPr>
          <w:p w14:paraId="086B6737">
            <w:pPr>
              <w:spacing w:line="276" w:lineRule="auto"/>
              <w:rPr>
                <w:rFonts w:ascii="Times New Roman" w:hAnsi="Times New Roman" w:cs="Times New Roman"/>
                <w:sz w:val="24"/>
              </w:rPr>
            </w:pPr>
            <w:r>
              <w:rPr>
                <w:rFonts w:hint="eastAsia" w:ascii="Times New Roman" w:hAnsi="Times New Roman" w:cs="Times New Roman"/>
                <w:sz w:val="24"/>
              </w:rPr>
              <w:t>15</w:t>
            </w:r>
          </w:p>
        </w:tc>
      </w:tr>
      <w:tr w14:paraId="555848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tblHeader/>
        </w:trPr>
        <w:tc>
          <w:tcPr>
            <w:tcW w:w="576" w:type="dxa"/>
            <w:vMerge w:val="continue"/>
            <w:vAlign w:val="center"/>
          </w:tcPr>
          <w:p w14:paraId="146C8980">
            <w:pPr>
              <w:spacing w:line="276" w:lineRule="auto"/>
              <w:rPr>
                <w:rFonts w:ascii="Times New Roman" w:hAnsi="Times New Roman" w:cs="Times New Roman"/>
                <w:sz w:val="24"/>
              </w:rPr>
            </w:pPr>
          </w:p>
        </w:tc>
        <w:tc>
          <w:tcPr>
            <w:tcW w:w="456" w:type="dxa"/>
            <w:vMerge w:val="continue"/>
            <w:vAlign w:val="center"/>
          </w:tcPr>
          <w:p w14:paraId="2C98582B">
            <w:pPr>
              <w:spacing w:line="276" w:lineRule="auto"/>
              <w:rPr>
                <w:rFonts w:ascii="Times New Roman" w:hAnsi="Times New Roman" w:cs="Times New Roman"/>
                <w:sz w:val="24"/>
              </w:rPr>
            </w:pPr>
          </w:p>
        </w:tc>
        <w:tc>
          <w:tcPr>
            <w:tcW w:w="974" w:type="dxa"/>
            <w:vMerge w:val="continue"/>
            <w:vAlign w:val="center"/>
          </w:tcPr>
          <w:p w14:paraId="28E6A563">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4BB6B716">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14:paraId="5371C738">
            <w:pPr>
              <w:spacing w:line="276" w:lineRule="auto"/>
              <w:rPr>
                <w:rFonts w:ascii="Times New Roman" w:hAnsi="Times New Roman" w:cs="Times New Roman"/>
                <w:sz w:val="24"/>
              </w:rPr>
            </w:pPr>
            <w:r>
              <w:rPr>
                <w:rFonts w:hint="eastAsia" w:ascii="Times New Roman" w:hAnsi="Times New Roman" w:cs="Times New Roman"/>
                <w:sz w:val="24"/>
              </w:rPr>
              <w:t>发布澄清公告2次</w:t>
            </w:r>
          </w:p>
        </w:tc>
        <w:tc>
          <w:tcPr>
            <w:tcW w:w="735" w:type="dxa"/>
            <w:tcBorders>
              <w:top w:val="single" w:color="auto" w:sz="4" w:space="0"/>
            </w:tcBorders>
            <w:vAlign w:val="center"/>
          </w:tcPr>
          <w:p w14:paraId="4ECC0F0B">
            <w:pPr>
              <w:spacing w:line="276" w:lineRule="auto"/>
              <w:rPr>
                <w:rFonts w:ascii="Times New Roman" w:hAnsi="Times New Roman" w:cs="Times New Roman"/>
                <w:sz w:val="24"/>
              </w:rPr>
            </w:pPr>
            <w:r>
              <w:rPr>
                <w:rFonts w:hint="eastAsia" w:ascii="Times New Roman" w:hAnsi="Times New Roman" w:cs="Times New Roman"/>
                <w:sz w:val="24"/>
              </w:rPr>
              <w:t>10</w:t>
            </w:r>
          </w:p>
        </w:tc>
      </w:tr>
      <w:tr w14:paraId="13994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blHeader/>
        </w:trPr>
        <w:tc>
          <w:tcPr>
            <w:tcW w:w="576" w:type="dxa"/>
            <w:vMerge w:val="continue"/>
            <w:vAlign w:val="center"/>
          </w:tcPr>
          <w:p w14:paraId="35C8FFA3">
            <w:pPr>
              <w:spacing w:line="276" w:lineRule="auto"/>
              <w:rPr>
                <w:rFonts w:ascii="Times New Roman" w:hAnsi="Times New Roman" w:cs="Times New Roman"/>
                <w:sz w:val="24"/>
              </w:rPr>
            </w:pPr>
          </w:p>
        </w:tc>
        <w:tc>
          <w:tcPr>
            <w:tcW w:w="456" w:type="dxa"/>
            <w:vMerge w:val="continue"/>
            <w:vAlign w:val="center"/>
          </w:tcPr>
          <w:p w14:paraId="4355EBBB">
            <w:pPr>
              <w:spacing w:line="276" w:lineRule="auto"/>
              <w:rPr>
                <w:rFonts w:ascii="Times New Roman" w:hAnsi="Times New Roman" w:cs="Times New Roman"/>
                <w:sz w:val="24"/>
              </w:rPr>
            </w:pPr>
          </w:p>
        </w:tc>
        <w:tc>
          <w:tcPr>
            <w:tcW w:w="974" w:type="dxa"/>
            <w:vMerge w:val="continue"/>
            <w:vAlign w:val="center"/>
          </w:tcPr>
          <w:p w14:paraId="0CAE6F53">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2ED4F173">
            <w:pPr>
              <w:spacing w:line="276" w:lineRule="auto"/>
              <w:rPr>
                <w:rFonts w:ascii="Times New Roman" w:hAnsi="Times New Roman" w:cs="Times New Roman"/>
                <w:sz w:val="24"/>
              </w:rPr>
            </w:pPr>
          </w:p>
        </w:tc>
        <w:tc>
          <w:tcPr>
            <w:tcW w:w="3060" w:type="dxa"/>
            <w:tcBorders>
              <w:top w:val="single" w:color="auto" w:sz="4" w:space="0"/>
              <w:right w:val="single" w:color="auto" w:sz="4" w:space="0"/>
            </w:tcBorders>
            <w:vAlign w:val="center"/>
          </w:tcPr>
          <w:p w14:paraId="4709F774">
            <w:pPr>
              <w:spacing w:line="276" w:lineRule="auto"/>
              <w:rPr>
                <w:rFonts w:ascii="Times New Roman" w:hAnsi="Times New Roman" w:cs="Times New Roman"/>
                <w:sz w:val="24"/>
              </w:rPr>
            </w:pPr>
            <w:r>
              <w:rPr>
                <w:rFonts w:hint="eastAsia" w:ascii="Times New Roman" w:hAnsi="Times New Roman" w:cs="Times New Roman"/>
                <w:sz w:val="24"/>
              </w:rPr>
              <w:t>发布澄清公告3次及以上</w:t>
            </w:r>
          </w:p>
        </w:tc>
        <w:tc>
          <w:tcPr>
            <w:tcW w:w="735" w:type="dxa"/>
            <w:tcBorders>
              <w:top w:val="single" w:color="auto" w:sz="4" w:space="0"/>
            </w:tcBorders>
            <w:vAlign w:val="center"/>
          </w:tcPr>
          <w:p w14:paraId="41E4158F">
            <w:pPr>
              <w:spacing w:line="276" w:lineRule="auto"/>
              <w:rPr>
                <w:rFonts w:ascii="Times New Roman" w:hAnsi="Times New Roman" w:cs="Times New Roman"/>
                <w:sz w:val="24"/>
              </w:rPr>
            </w:pPr>
            <w:r>
              <w:rPr>
                <w:rFonts w:hint="eastAsia" w:ascii="Times New Roman" w:hAnsi="Times New Roman" w:cs="Times New Roman"/>
                <w:sz w:val="24"/>
              </w:rPr>
              <w:t>0</w:t>
            </w:r>
          </w:p>
        </w:tc>
      </w:tr>
      <w:tr w14:paraId="65C5D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14:paraId="0F462FB5">
            <w:pPr>
              <w:spacing w:line="276" w:lineRule="auto"/>
              <w:rPr>
                <w:rFonts w:ascii="Times New Roman" w:hAnsi="Times New Roman" w:cs="Times New Roman"/>
                <w:sz w:val="24"/>
              </w:rPr>
            </w:pPr>
          </w:p>
        </w:tc>
        <w:tc>
          <w:tcPr>
            <w:tcW w:w="456" w:type="dxa"/>
            <w:vMerge w:val="restart"/>
            <w:vAlign w:val="center"/>
          </w:tcPr>
          <w:p w14:paraId="36A8B3AC">
            <w:pPr>
              <w:spacing w:line="276" w:lineRule="auto"/>
              <w:rPr>
                <w:rFonts w:ascii="Times New Roman" w:hAnsi="Times New Roman" w:cs="Times New Roman"/>
                <w:sz w:val="24"/>
              </w:rPr>
            </w:pPr>
            <w:r>
              <w:rPr>
                <w:rFonts w:hint="eastAsia" w:ascii="Times New Roman" w:hAnsi="Times New Roman" w:cs="Times New Roman"/>
                <w:sz w:val="24"/>
              </w:rPr>
              <w:t>20</w:t>
            </w:r>
          </w:p>
        </w:tc>
        <w:tc>
          <w:tcPr>
            <w:tcW w:w="974" w:type="dxa"/>
            <w:vMerge w:val="restart"/>
            <w:vAlign w:val="center"/>
          </w:tcPr>
          <w:p w14:paraId="5F9497C2">
            <w:pPr>
              <w:spacing w:line="276" w:lineRule="auto"/>
              <w:rPr>
                <w:rFonts w:ascii="Times New Roman" w:hAnsi="Times New Roman" w:cs="Times New Roman"/>
                <w:sz w:val="24"/>
              </w:rPr>
            </w:pPr>
            <w:r>
              <w:rPr>
                <w:rFonts w:hint="eastAsia" w:ascii="Times New Roman" w:hAnsi="Times New Roman" w:cs="Times New Roman"/>
                <w:sz w:val="24"/>
              </w:rPr>
              <w:t>预控价编制质量</w:t>
            </w:r>
          </w:p>
        </w:tc>
        <w:tc>
          <w:tcPr>
            <w:tcW w:w="3064" w:type="dxa"/>
            <w:vMerge w:val="restart"/>
            <w:tcBorders>
              <w:right w:val="single" w:color="auto" w:sz="4" w:space="0"/>
            </w:tcBorders>
            <w:vAlign w:val="center"/>
          </w:tcPr>
          <w:p w14:paraId="4829FD45">
            <w:pPr>
              <w:spacing w:line="276" w:lineRule="auto"/>
              <w:rPr>
                <w:rFonts w:ascii="Times New Roman" w:hAnsi="Times New Roman" w:cs="Times New Roman"/>
                <w:sz w:val="24"/>
              </w:rPr>
            </w:pPr>
            <w:r>
              <w:rPr>
                <w:rFonts w:hint="eastAsia" w:ascii="Times New Roman" w:hAnsi="Times New Roman" w:cs="Times New Roman"/>
                <w:sz w:val="24"/>
              </w:rPr>
              <w:t>因招标代理机构原因，编制的预控价经审定后出现与图纸不符、信息价不实、缺项漏项较多、金额误差较大等现象的，经审定核减率</w:t>
            </w:r>
          </w:p>
        </w:tc>
        <w:tc>
          <w:tcPr>
            <w:tcW w:w="3060" w:type="dxa"/>
            <w:tcBorders>
              <w:left w:val="single" w:color="auto" w:sz="4" w:space="0"/>
              <w:right w:val="single" w:color="auto" w:sz="4" w:space="0"/>
            </w:tcBorders>
            <w:vAlign w:val="center"/>
          </w:tcPr>
          <w:p w14:paraId="21939017">
            <w:pPr>
              <w:spacing w:line="276" w:lineRule="auto"/>
              <w:rPr>
                <w:rFonts w:ascii="Times New Roman" w:hAnsi="Times New Roman" w:cs="Times New Roman"/>
                <w:sz w:val="24"/>
              </w:rPr>
            </w:pPr>
            <w:r>
              <w:rPr>
                <w:rFonts w:hint="eastAsia" w:ascii="Times New Roman" w:hAnsi="Times New Roman" w:cs="Times New Roman"/>
                <w:sz w:val="24"/>
              </w:rPr>
              <w:t>在3%以内</w:t>
            </w:r>
          </w:p>
        </w:tc>
        <w:tc>
          <w:tcPr>
            <w:tcW w:w="735" w:type="dxa"/>
            <w:tcBorders>
              <w:left w:val="single" w:color="auto" w:sz="4" w:space="0"/>
            </w:tcBorders>
            <w:vAlign w:val="center"/>
          </w:tcPr>
          <w:p w14:paraId="7466C329">
            <w:pPr>
              <w:spacing w:line="276" w:lineRule="auto"/>
              <w:rPr>
                <w:rFonts w:ascii="Times New Roman" w:hAnsi="Times New Roman" w:cs="Times New Roman"/>
                <w:sz w:val="24"/>
              </w:rPr>
            </w:pPr>
            <w:r>
              <w:rPr>
                <w:rFonts w:hint="eastAsia" w:ascii="Times New Roman" w:hAnsi="Times New Roman" w:cs="Times New Roman"/>
                <w:sz w:val="24"/>
              </w:rPr>
              <w:t>20</w:t>
            </w:r>
          </w:p>
        </w:tc>
      </w:tr>
      <w:tr w14:paraId="6DAFC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14:paraId="70F60B8E">
            <w:pPr>
              <w:spacing w:line="276" w:lineRule="auto"/>
              <w:rPr>
                <w:rFonts w:ascii="Times New Roman" w:hAnsi="Times New Roman" w:cs="Times New Roman"/>
                <w:sz w:val="24"/>
              </w:rPr>
            </w:pPr>
          </w:p>
        </w:tc>
        <w:tc>
          <w:tcPr>
            <w:tcW w:w="456" w:type="dxa"/>
            <w:vMerge w:val="continue"/>
            <w:vAlign w:val="center"/>
          </w:tcPr>
          <w:p w14:paraId="3656DE40">
            <w:pPr>
              <w:spacing w:line="276" w:lineRule="auto"/>
              <w:rPr>
                <w:rFonts w:ascii="Times New Roman" w:hAnsi="Times New Roman" w:cs="Times New Roman"/>
                <w:sz w:val="24"/>
              </w:rPr>
            </w:pPr>
          </w:p>
        </w:tc>
        <w:tc>
          <w:tcPr>
            <w:tcW w:w="974" w:type="dxa"/>
            <w:vMerge w:val="continue"/>
            <w:vAlign w:val="center"/>
          </w:tcPr>
          <w:p w14:paraId="12EE54EA">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2A45A918">
            <w:pPr>
              <w:spacing w:line="276" w:lineRule="auto"/>
              <w:rPr>
                <w:rFonts w:ascii="Times New Roman" w:hAnsi="Times New Roman" w:cs="Times New Roman"/>
                <w:sz w:val="24"/>
              </w:rPr>
            </w:pPr>
          </w:p>
        </w:tc>
        <w:tc>
          <w:tcPr>
            <w:tcW w:w="3060" w:type="dxa"/>
            <w:tcBorders>
              <w:top w:val="single" w:color="auto" w:sz="4" w:space="0"/>
              <w:left w:val="single" w:color="auto" w:sz="4" w:space="0"/>
              <w:right w:val="single" w:color="auto" w:sz="4" w:space="0"/>
            </w:tcBorders>
            <w:vAlign w:val="center"/>
          </w:tcPr>
          <w:p w14:paraId="3AC652EC">
            <w:pPr>
              <w:spacing w:line="276" w:lineRule="auto"/>
              <w:rPr>
                <w:rFonts w:ascii="Times New Roman" w:hAnsi="Times New Roman" w:cs="Times New Roman"/>
                <w:sz w:val="24"/>
              </w:rPr>
            </w:pPr>
            <w:r>
              <w:rPr>
                <w:rFonts w:hint="eastAsia" w:ascii="Times New Roman" w:hAnsi="Times New Roman" w:cs="Times New Roman"/>
                <w:sz w:val="24"/>
              </w:rPr>
              <w:t>在6%以内</w:t>
            </w:r>
          </w:p>
        </w:tc>
        <w:tc>
          <w:tcPr>
            <w:tcW w:w="735" w:type="dxa"/>
            <w:tcBorders>
              <w:top w:val="single" w:color="auto" w:sz="4" w:space="0"/>
            </w:tcBorders>
            <w:vAlign w:val="center"/>
          </w:tcPr>
          <w:p w14:paraId="783B6481">
            <w:pPr>
              <w:spacing w:line="276" w:lineRule="auto"/>
              <w:rPr>
                <w:rFonts w:ascii="Times New Roman" w:hAnsi="Times New Roman" w:cs="Times New Roman"/>
                <w:sz w:val="24"/>
              </w:rPr>
            </w:pPr>
            <w:r>
              <w:rPr>
                <w:rFonts w:hint="eastAsia" w:ascii="Times New Roman" w:hAnsi="Times New Roman" w:cs="Times New Roman"/>
                <w:sz w:val="24"/>
              </w:rPr>
              <w:t>15</w:t>
            </w:r>
          </w:p>
        </w:tc>
      </w:tr>
      <w:tr w14:paraId="085673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14:paraId="1DD7A36F">
            <w:pPr>
              <w:spacing w:line="276" w:lineRule="auto"/>
              <w:rPr>
                <w:rFonts w:ascii="Times New Roman" w:hAnsi="Times New Roman" w:cs="Times New Roman"/>
                <w:sz w:val="24"/>
              </w:rPr>
            </w:pPr>
          </w:p>
        </w:tc>
        <w:tc>
          <w:tcPr>
            <w:tcW w:w="456" w:type="dxa"/>
            <w:vMerge w:val="continue"/>
            <w:vAlign w:val="center"/>
          </w:tcPr>
          <w:p w14:paraId="42038ADC">
            <w:pPr>
              <w:spacing w:line="276" w:lineRule="auto"/>
              <w:rPr>
                <w:rFonts w:ascii="Times New Roman" w:hAnsi="Times New Roman" w:cs="Times New Roman"/>
                <w:sz w:val="24"/>
              </w:rPr>
            </w:pPr>
          </w:p>
        </w:tc>
        <w:tc>
          <w:tcPr>
            <w:tcW w:w="974" w:type="dxa"/>
            <w:vMerge w:val="continue"/>
            <w:vAlign w:val="center"/>
          </w:tcPr>
          <w:p w14:paraId="40244588">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58DDBFD2">
            <w:pPr>
              <w:spacing w:line="276" w:lineRule="auto"/>
              <w:rPr>
                <w:rFonts w:ascii="Times New Roman" w:hAnsi="Times New Roman" w:cs="Times New Roman"/>
                <w:sz w:val="24"/>
              </w:rPr>
            </w:pPr>
          </w:p>
        </w:tc>
        <w:tc>
          <w:tcPr>
            <w:tcW w:w="3060" w:type="dxa"/>
            <w:tcBorders>
              <w:top w:val="single" w:color="auto" w:sz="4" w:space="0"/>
              <w:left w:val="single" w:color="auto" w:sz="4" w:space="0"/>
              <w:right w:val="single" w:color="auto" w:sz="4" w:space="0"/>
            </w:tcBorders>
            <w:vAlign w:val="center"/>
          </w:tcPr>
          <w:p w14:paraId="00932079">
            <w:pPr>
              <w:spacing w:line="276" w:lineRule="auto"/>
              <w:rPr>
                <w:rFonts w:ascii="Times New Roman" w:hAnsi="Times New Roman" w:cs="Times New Roman"/>
                <w:sz w:val="24"/>
              </w:rPr>
            </w:pPr>
            <w:r>
              <w:rPr>
                <w:rFonts w:hint="eastAsia" w:ascii="Times New Roman" w:hAnsi="Times New Roman" w:cs="Times New Roman"/>
                <w:sz w:val="24"/>
              </w:rPr>
              <w:t>在10%以内</w:t>
            </w:r>
          </w:p>
        </w:tc>
        <w:tc>
          <w:tcPr>
            <w:tcW w:w="735" w:type="dxa"/>
            <w:tcBorders>
              <w:top w:val="single" w:color="auto" w:sz="4" w:space="0"/>
            </w:tcBorders>
            <w:vAlign w:val="center"/>
          </w:tcPr>
          <w:p w14:paraId="71042F88">
            <w:pPr>
              <w:spacing w:line="276" w:lineRule="auto"/>
              <w:rPr>
                <w:rFonts w:ascii="Times New Roman" w:hAnsi="Times New Roman" w:cs="Times New Roman"/>
                <w:sz w:val="24"/>
              </w:rPr>
            </w:pPr>
            <w:r>
              <w:rPr>
                <w:rFonts w:hint="eastAsia" w:ascii="Times New Roman" w:hAnsi="Times New Roman" w:cs="Times New Roman"/>
                <w:sz w:val="24"/>
              </w:rPr>
              <w:t>10</w:t>
            </w:r>
          </w:p>
        </w:tc>
      </w:tr>
      <w:tr w14:paraId="37B158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576" w:type="dxa"/>
            <w:vMerge w:val="continue"/>
            <w:vAlign w:val="center"/>
          </w:tcPr>
          <w:p w14:paraId="6349ACFA">
            <w:pPr>
              <w:spacing w:line="276" w:lineRule="auto"/>
              <w:rPr>
                <w:rFonts w:ascii="Times New Roman" w:hAnsi="Times New Roman" w:cs="Times New Roman"/>
                <w:sz w:val="24"/>
              </w:rPr>
            </w:pPr>
          </w:p>
        </w:tc>
        <w:tc>
          <w:tcPr>
            <w:tcW w:w="456" w:type="dxa"/>
            <w:vMerge w:val="continue"/>
            <w:vAlign w:val="center"/>
          </w:tcPr>
          <w:p w14:paraId="13B83A04">
            <w:pPr>
              <w:spacing w:line="276" w:lineRule="auto"/>
              <w:rPr>
                <w:rFonts w:ascii="Times New Roman" w:hAnsi="Times New Roman" w:cs="Times New Roman"/>
                <w:sz w:val="24"/>
              </w:rPr>
            </w:pPr>
          </w:p>
        </w:tc>
        <w:tc>
          <w:tcPr>
            <w:tcW w:w="974" w:type="dxa"/>
            <w:vMerge w:val="continue"/>
            <w:vAlign w:val="center"/>
          </w:tcPr>
          <w:p w14:paraId="2CBCB1FD">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67D9D7AB">
            <w:pPr>
              <w:spacing w:line="276" w:lineRule="auto"/>
              <w:rPr>
                <w:rFonts w:ascii="Times New Roman" w:hAnsi="Times New Roman" w:cs="Times New Roman"/>
                <w:sz w:val="24"/>
              </w:rPr>
            </w:pPr>
          </w:p>
        </w:tc>
        <w:tc>
          <w:tcPr>
            <w:tcW w:w="3060" w:type="dxa"/>
            <w:tcBorders>
              <w:top w:val="single" w:color="auto" w:sz="4" w:space="0"/>
              <w:left w:val="single" w:color="auto" w:sz="4" w:space="0"/>
              <w:right w:val="single" w:color="auto" w:sz="4" w:space="0"/>
            </w:tcBorders>
            <w:vAlign w:val="center"/>
          </w:tcPr>
          <w:p w14:paraId="44732EE1">
            <w:pPr>
              <w:spacing w:line="276" w:lineRule="auto"/>
              <w:rPr>
                <w:rFonts w:ascii="Times New Roman" w:hAnsi="Times New Roman" w:cs="Times New Roman"/>
                <w:sz w:val="24"/>
              </w:rPr>
            </w:pPr>
            <w:r>
              <w:rPr>
                <w:rFonts w:hint="eastAsia" w:ascii="Times New Roman" w:hAnsi="Times New Roman" w:cs="Times New Roman"/>
                <w:sz w:val="24"/>
              </w:rPr>
              <w:t>在10%以上</w:t>
            </w:r>
          </w:p>
        </w:tc>
        <w:tc>
          <w:tcPr>
            <w:tcW w:w="735" w:type="dxa"/>
            <w:tcBorders>
              <w:top w:val="single" w:color="auto" w:sz="4" w:space="0"/>
            </w:tcBorders>
            <w:vAlign w:val="center"/>
          </w:tcPr>
          <w:p w14:paraId="4CA3342F">
            <w:pPr>
              <w:spacing w:line="276" w:lineRule="auto"/>
              <w:rPr>
                <w:rFonts w:ascii="Times New Roman" w:hAnsi="Times New Roman" w:cs="Times New Roman"/>
                <w:sz w:val="24"/>
              </w:rPr>
            </w:pPr>
            <w:r>
              <w:rPr>
                <w:rFonts w:hint="eastAsia" w:ascii="Times New Roman" w:hAnsi="Times New Roman" w:cs="Times New Roman"/>
                <w:sz w:val="24"/>
              </w:rPr>
              <w:t>0</w:t>
            </w:r>
          </w:p>
        </w:tc>
      </w:tr>
      <w:tr w14:paraId="6055E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blHeader/>
        </w:trPr>
        <w:tc>
          <w:tcPr>
            <w:tcW w:w="576" w:type="dxa"/>
            <w:vMerge w:val="continue"/>
            <w:vAlign w:val="center"/>
          </w:tcPr>
          <w:p w14:paraId="39DA4221">
            <w:pPr>
              <w:spacing w:line="276" w:lineRule="auto"/>
              <w:rPr>
                <w:rFonts w:ascii="Times New Roman" w:hAnsi="Times New Roman" w:cs="Times New Roman"/>
                <w:sz w:val="24"/>
              </w:rPr>
            </w:pPr>
          </w:p>
        </w:tc>
        <w:tc>
          <w:tcPr>
            <w:tcW w:w="456" w:type="dxa"/>
            <w:vMerge w:val="restart"/>
            <w:vAlign w:val="center"/>
          </w:tcPr>
          <w:p w14:paraId="6526ECA9">
            <w:pPr>
              <w:spacing w:line="276" w:lineRule="auto"/>
              <w:rPr>
                <w:rFonts w:ascii="Times New Roman" w:hAnsi="Times New Roman" w:cs="Times New Roman"/>
                <w:sz w:val="24"/>
              </w:rPr>
            </w:pPr>
            <w:r>
              <w:rPr>
                <w:rFonts w:hint="eastAsia" w:ascii="Times New Roman" w:hAnsi="Times New Roman" w:cs="Times New Roman"/>
                <w:sz w:val="24"/>
              </w:rPr>
              <w:t>20</w:t>
            </w:r>
          </w:p>
        </w:tc>
        <w:tc>
          <w:tcPr>
            <w:tcW w:w="974" w:type="dxa"/>
            <w:vMerge w:val="restart"/>
            <w:vAlign w:val="center"/>
          </w:tcPr>
          <w:p w14:paraId="25BADEB7">
            <w:pPr>
              <w:spacing w:line="276" w:lineRule="auto"/>
              <w:rPr>
                <w:rFonts w:ascii="Times New Roman" w:hAnsi="Times New Roman" w:cs="Times New Roman"/>
                <w:sz w:val="24"/>
              </w:rPr>
            </w:pPr>
            <w:r>
              <w:rPr>
                <w:rFonts w:hint="eastAsia" w:ascii="Times New Roman" w:hAnsi="Times New Roman" w:cs="Times New Roman"/>
                <w:sz w:val="24"/>
              </w:rPr>
              <w:t>招标异议处理</w:t>
            </w:r>
          </w:p>
        </w:tc>
        <w:tc>
          <w:tcPr>
            <w:tcW w:w="3064" w:type="dxa"/>
            <w:vMerge w:val="restart"/>
            <w:tcBorders>
              <w:right w:val="single" w:color="auto" w:sz="4" w:space="0"/>
            </w:tcBorders>
            <w:vAlign w:val="center"/>
          </w:tcPr>
          <w:p w14:paraId="05B6C040">
            <w:pPr>
              <w:spacing w:line="276" w:lineRule="auto"/>
              <w:rPr>
                <w:rFonts w:ascii="Times New Roman" w:hAnsi="Times New Roman" w:cs="Times New Roman"/>
                <w:sz w:val="24"/>
              </w:rPr>
            </w:pPr>
            <w:r>
              <w:rPr>
                <w:rFonts w:hint="eastAsia" w:ascii="Times New Roman" w:hAnsi="Times New Roman" w:cs="Times New Roman"/>
                <w:sz w:val="24"/>
              </w:rPr>
              <w:t>因招标代理机构原因，对潜在投标人针对招标文件、招标活动的投诉处理</w:t>
            </w:r>
          </w:p>
        </w:tc>
        <w:tc>
          <w:tcPr>
            <w:tcW w:w="3060" w:type="dxa"/>
            <w:tcBorders>
              <w:top w:val="single" w:color="auto" w:sz="4" w:space="0"/>
              <w:left w:val="single" w:color="auto" w:sz="4" w:space="0"/>
              <w:bottom w:val="single" w:color="auto" w:sz="4" w:space="0"/>
              <w:right w:val="single" w:color="auto" w:sz="4" w:space="0"/>
            </w:tcBorders>
            <w:vAlign w:val="center"/>
          </w:tcPr>
          <w:p w14:paraId="53F29C49">
            <w:pPr>
              <w:spacing w:line="276" w:lineRule="auto"/>
              <w:rPr>
                <w:rFonts w:ascii="Times New Roman" w:hAnsi="Times New Roman" w:cs="Times New Roman"/>
                <w:sz w:val="24"/>
              </w:rPr>
            </w:pPr>
            <w:r>
              <w:rPr>
                <w:rFonts w:hint="eastAsia" w:ascii="Times New Roman" w:hAnsi="Times New Roman" w:cs="Times New Roman"/>
                <w:sz w:val="24"/>
              </w:rPr>
              <w:t>无异议的</w:t>
            </w:r>
          </w:p>
        </w:tc>
        <w:tc>
          <w:tcPr>
            <w:tcW w:w="735" w:type="dxa"/>
            <w:tcBorders>
              <w:top w:val="single" w:color="auto" w:sz="4" w:space="0"/>
              <w:bottom w:val="single" w:color="auto" w:sz="4" w:space="0"/>
            </w:tcBorders>
            <w:vAlign w:val="center"/>
          </w:tcPr>
          <w:p w14:paraId="091BE815">
            <w:pPr>
              <w:spacing w:line="276" w:lineRule="auto"/>
              <w:rPr>
                <w:rFonts w:ascii="Times New Roman" w:hAnsi="Times New Roman" w:cs="Times New Roman"/>
                <w:sz w:val="24"/>
              </w:rPr>
            </w:pPr>
            <w:r>
              <w:rPr>
                <w:rFonts w:hint="eastAsia" w:ascii="Times New Roman" w:hAnsi="Times New Roman" w:cs="Times New Roman"/>
                <w:sz w:val="24"/>
              </w:rPr>
              <w:t>20</w:t>
            </w:r>
          </w:p>
        </w:tc>
      </w:tr>
      <w:tr w14:paraId="6D6E6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blHeader/>
        </w:trPr>
        <w:tc>
          <w:tcPr>
            <w:tcW w:w="576" w:type="dxa"/>
            <w:vMerge w:val="continue"/>
            <w:vAlign w:val="center"/>
          </w:tcPr>
          <w:p w14:paraId="6814587C">
            <w:pPr>
              <w:spacing w:line="276" w:lineRule="auto"/>
              <w:rPr>
                <w:rFonts w:ascii="Times New Roman" w:hAnsi="Times New Roman" w:cs="Times New Roman"/>
                <w:sz w:val="24"/>
              </w:rPr>
            </w:pPr>
          </w:p>
        </w:tc>
        <w:tc>
          <w:tcPr>
            <w:tcW w:w="456" w:type="dxa"/>
            <w:vMerge w:val="continue"/>
            <w:vAlign w:val="center"/>
          </w:tcPr>
          <w:p w14:paraId="0D123D20">
            <w:pPr>
              <w:spacing w:line="276" w:lineRule="auto"/>
              <w:rPr>
                <w:rFonts w:ascii="Times New Roman" w:hAnsi="Times New Roman" w:cs="Times New Roman"/>
                <w:sz w:val="24"/>
              </w:rPr>
            </w:pPr>
          </w:p>
        </w:tc>
        <w:tc>
          <w:tcPr>
            <w:tcW w:w="974" w:type="dxa"/>
            <w:vMerge w:val="continue"/>
            <w:vAlign w:val="center"/>
          </w:tcPr>
          <w:p w14:paraId="673F1838">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68CD9EB4">
            <w:pPr>
              <w:spacing w:line="276" w:lineRule="auto"/>
              <w:rPr>
                <w:rFonts w:ascii="Times New Roman" w:hAnsi="Times New Roman" w:cs="Times New Roman"/>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79EDB43D">
            <w:pPr>
              <w:spacing w:line="276" w:lineRule="auto"/>
              <w:rPr>
                <w:rFonts w:ascii="Times New Roman" w:hAnsi="Times New Roman" w:cs="Times New Roman"/>
                <w:sz w:val="24"/>
              </w:rPr>
            </w:pPr>
            <w:r>
              <w:rPr>
                <w:rFonts w:hint="eastAsia" w:ascii="Times New Roman" w:hAnsi="Times New Roman" w:cs="Times New Roman"/>
                <w:sz w:val="24"/>
              </w:rPr>
              <w:t>有异议但未影响正常开标</w:t>
            </w:r>
          </w:p>
        </w:tc>
        <w:tc>
          <w:tcPr>
            <w:tcW w:w="735" w:type="dxa"/>
            <w:tcBorders>
              <w:top w:val="single" w:color="auto" w:sz="4" w:space="0"/>
              <w:bottom w:val="single" w:color="auto" w:sz="4" w:space="0"/>
            </w:tcBorders>
            <w:vAlign w:val="center"/>
          </w:tcPr>
          <w:p w14:paraId="578DA7BD">
            <w:pPr>
              <w:spacing w:line="276" w:lineRule="auto"/>
              <w:rPr>
                <w:rFonts w:ascii="Times New Roman" w:hAnsi="Times New Roman" w:cs="Times New Roman"/>
                <w:sz w:val="24"/>
              </w:rPr>
            </w:pPr>
            <w:r>
              <w:rPr>
                <w:rFonts w:hint="eastAsia" w:ascii="Times New Roman" w:hAnsi="Times New Roman" w:cs="Times New Roman"/>
                <w:sz w:val="24"/>
              </w:rPr>
              <w:t>10</w:t>
            </w:r>
          </w:p>
        </w:tc>
      </w:tr>
      <w:tr w14:paraId="1565F1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blHeader/>
        </w:trPr>
        <w:tc>
          <w:tcPr>
            <w:tcW w:w="576" w:type="dxa"/>
            <w:vMerge w:val="continue"/>
            <w:vAlign w:val="center"/>
          </w:tcPr>
          <w:p w14:paraId="70AD01F5">
            <w:pPr>
              <w:spacing w:line="276" w:lineRule="auto"/>
              <w:rPr>
                <w:rFonts w:ascii="Times New Roman" w:hAnsi="Times New Roman" w:cs="Times New Roman"/>
                <w:sz w:val="24"/>
              </w:rPr>
            </w:pPr>
          </w:p>
        </w:tc>
        <w:tc>
          <w:tcPr>
            <w:tcW w:w="456" w:type="dxa"/>
            <w:vMerge w:val="continue"/>
            <w:vAlign w:val="center"/>
          </w:tcPr>
          <w:p w14:paraId="13FE8820">
            <w:pPr>
              <w:spacing w:line="276" w:lineRule="auto"/>
              <w:rPr>
                <w:rFonts w:ascii="Times New Roman" w:hAnsi="Times New Roman" w:cs="Times New Roman"/>
                <w:sz w:val="24"/>
              </w:rPr>
            </w:pPr>
          </w:p>
        </w:tc>
        <w:tc>
          <w:tcPr>
            <w:tcW w:w="974" w:type="dxa"/>
            <w:vMerge w:val="continue"/>
            <w:vAlign w:val="center"/>
          </w:tcPr>
          <w:p w14:paraId="2291B040">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4E895FC5">
            <w:pPr>
              <w:spacing w:line="276" w:lineRule="auto"/>
              <w:rPr>
                <w:rFonts w:ascii="Times New Roman" w:hAnsi="Times New Roman" w:cs="Times New Roman"/>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0018C3E3">
            <w:pPr>
              <w:spacing w:line="276" w:lineRule="auto"/>
              <w:rPr>
                <w:rFonts w:ascii="Times New Roman" w:hAnsi="Times New Roman" w:cs="Times New Roman"/>
                <w:sz w:val="24"/>
              </w:rPr>
            </w:pPr>
            <w:r>
              <w:rPr>
                <w:rFonts w:hint="eastAsia" w:ascii="Times New Roman" w:hAnsi="Times New Roman" w:cs="Times New Roman"/>
                <w:sz w:val="24"/>
              </w:rPr>
              <w:t>有异议且影响正常开标</w:t>
            </w:r>
          </w:p>
        </w:tc>
        <w:tc>
          <w:tcPr>
            <w:tcW w:w="735" w:type="dxa"/>
            <w:tcBorders>
              <w:top w:val="single" w:color="auto" w:sz="4" w:space="0"/>
              <w:bottom w:val="single" w:color="auto" w:sz="4" w:space="0"/>
            </w:tcBorders>
            <w:vAlign w:val="center"/>
          </w:tcPr>
          <w:p w14:paraId="424C013C">
            <w:pPr>
              <w:spacing w:line="276" w:lineRule="auto"/>
              <w:rPr>
                <w:rFonts w:ascii="Times New Roman" w:hAnsi="Times New Roman" w:cs="Times New Roman"/>
                <w:sz w:val="24"/>
              </w:rPr>
            </w:pPr>
            <w:r>
              <w:rPr>
                <w:rFonts w:hint="eastAsia" w:ascii="Times New Roman" w:hAnsi="Times New Roman" w:cs="Times New Roman"/>
                <w:sz w:val="24"/>
              </w:rPr>
              <w:t>5</w:t>
            </w:r>
          </w:p>
        </w:tc>
      </w:tr>
      <w:tr w14:paraId="6252F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blHeader/>
        </w:trPr>
        <w:tc>
          <w:tcPr>
            <w:tcW w:w="576" w:type="dxa"/>
            <w:vMerge w:val="continue"/>
            <w:vAlign w:val="center"/>
          </w:tcPr>
          <w:p w14:paraId="08212DAB">
            <w:pPr>
              <w:spacing w:line="276" w:lineRule="auto"/>
              <w:rPr>
                <w:rFonts w:ascii="Times New Roman" w:hAnsi="Times New Roman" w:cs="Times New Roman"/>
                <w:sz w:val="24"/>
              </w:rPr>
            </w:pPr>
          </w:p>
        </w:tc>
        <w:tc>
          <w:tcPr>
            <w:tcW w:w="456" w:type="dxa"/>
            <w:vMerge w:val="continue"/>
            <w:vAlign w:val="center"/>
          </w:tcPr>
          <w:p w14:paraId="50D0D834">
            <w:pPr>
              <w:spacing w:line="276" w:lineRule="auto"/>
              <w:rPr>
                <w:rFonts w:ascii="Times New Roman" w:hAnsi="Times New Roman" w:cs="Times New Roman"/>
                <w:sz w:val="24"/>
              </w:rPr>
            </w:pPr>
          </w:p>
        </w:tc>
        <w:tc>
          <w:tcPr>
            <w:tcW w:w="974" w:type="dxa"/>
            <w:vMerge w:val="continue"/>
            <w:vAlign w:val="center"/>
          </w:tcPr>
          <w:p w14:paraId="18D8CF0D">
            <w:pPr>
              <w:spacing w:line="276" w:lineRule="auto"/>
              <w:rPr>
                <w:rFonts w:ascii="Times New Roman" w:hAnsi="Times New Roman" w:cs="Times New Roman"/>
                <w:sz w:val="24"/>
              </w:rPr>
            </w:pPr>
          </w:p>
        </w:tc>
        <w:tc>
          <w:tcPr>
            <w:tcW w:w="3064" w:type="dxa"/>
            <w:vMerge w:val="continue"/>
            <w:tcBorders>
              <w:right w:val="single" w:color="auto" w:sz="4" w:space="0"/>
            </w:tcBorders>
            <w:vAlign w:val="center"/>
          </w:tcPr>
          <w:p w14:paraId="719E4155">
            <w:pPr>
              <w:spacing w:line="276" w:lineRule="auto"/>
              <w:rPr>
                <w:rFonts w:ascii="Times New Roman" w:hAnsi="Times New Roman" w:cs="Times New Roman"/>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14C9C89B">
            <w:pPr>
              <w:spacing w:line="276" w:lineRule="auto"/>
              <w:rPr>
                <w:rFonts w:ascii="Times New Roman" w:hAnsi="Times New Roman" w:cs="Times New Roman"/>
                <w:sz w:val="24"/>
              </w:rPr>
            </w:pPr>
            <w:r>
              <w:rPr>
                <w:rFonts w:hint="eastAsia" w:ascii="Times New Roman" w:hAnsi="Times New Roman" w:cs="Times New Roman"/>
                <w:sz w:val="24"/>
              </w:rPr>
              <w:t>有异议上升为投诉，经认定投诉属实的</w:t>
            </w:r>
          </w:p>
        </w:tc>
        <w:tc>
          <w:tcPr>
            <w:tcW w:w="735" w:type="dxa"/>
            <w:tcBorders>
              <w:top w:val="single" w:color="auto" w:sz="4" w:space="0"/>
              <w:bottom w:val="single" w:color="auto" w:sz="4" w:space="0"/>
            </w:tcBorders>
            <w:vAlign w:val="center"/>
          </w:tcPr>
          <w:p w14:paraId="26C1C51A">
            <w:pPr>
              <w:spacing w:line="276" w:lineRule="auto"/>
              <w:rPr>
                <w:rFonts w:ascii="Times New Roman" w:hAnsi="Times New Roman" w:cs="Times New Roman"/>
                <w:sz w:val="24"/>
              </w:rPr>
            </w:pPr>
            <w:r>
              <w:rPr>
                <w:rFonts w:hint="eastAsia" w:ascii="Times New Roman" w:hAnsi="Times New Roman" w:cs="Times New Roman"/>
                <w:sz w:val="24"/>
              </w:rPr>
              <w:t>0</w:t>
            </w:r>
          </w:p>
        </w:tc>
      </w:tr>
      <w:tr w14:paraId="33803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blHeader/>
        </w:trPr>
        <w:tc>
          <w:tcPr>
            <w:tcW w:w="576" w:type="dxa"/>
            <w:vAlign w:val="center"/>
          </w:tcPr>
          <w:p w14:paraId="4F6A970B">
            <w:pPr>
              <w:spacing w:line="276" w:lineRule="auto"/>
              <w:rPr>
                <w:rFonts w:ascii="Times New Roman" w:hAnsi="Times New Roman" w:cs="Times New Roman"/>
                <w:sz w:val="24"/>
              </w:rPr>
            </w:pPr>
            <w:r>
              <w:rPr>
                <w:rFonts w:hint="eastAsia" w:ascii="Times New Roman" w:hAnsi="Times New Roman" w:cs="Times New Roman"/>
                <w:sz w:val="24"/>
              </w:rPr>
              <w:t>备注</w:t>
            </w:r>
          </w:p>
        </w:tc>
        <w:tc>
          <w:tcPr>
            <w:tcW w:w="8289" w:type="dxa"/>
            <w:gridSpan w:val="5"/>
            <w:vAlign w:val="center"/>
          </w:tcPr>
          <w:p w14:paraId="3E88003B">
            <w:pPr>
              <w:spacing w:line="276" w:lineRule="auto"/>
              <w:rPr>
                <w:rFonts w:ascii="Times New Roman" w:hAnsi="Times New Roman" w:cs="Times New Roman"/>
                <w:sz w:val="24"/>
              </w:rPr>
            </w:pPr>
            <w:r>
              <w:rPr>
                <w:rFonts w:hint="eastAsia" w:ascii="Times New Roman" w:hAnsi="Times New Roman" w:cs="Times New Roman"/>
                <w:sz w:val="24"/>
              </w:rPr>
              <w:t>招标单位利用招投标管理系统在中标备案前对各招标项目进行评价，该项目评分在90分以上的为优秀。</w:t>
            </w:r>
          </w:p>
        </w:tc>
      </w:tr>
    </w:tbl>
    <w:p w14:paraId="3FAA35FF">
      <w:pPr>
        <w:widowControl/>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附件5</w:t>
      </w:r>
    </w:p>
    <w:p w14:paraId="45B56632">
      <w:pPr>
        <w:widowControl/>
        <w:jc w:val="center"/>
        <w:rPr>
          <w:rFonts w:ascii="黑体" w:eastAsia="黑体"/>
          <w:color w:val="000000"/>
          <w:sz w:val="32"/>
          <w:szCs w:val="32"/>
        </w:rPr>
      </w:pPr>
      <w:r>
        <w:rPr>
          <w:rFonts w:hint="eastAsia" w:ascii="黑体" w:eastAsia="黑体"/>
          <w:color w:val="000000"/>
          <w:sz w:val="32"/>
          <w:szCs w:val="32"/>
        </w:rPr>
        <w:t>****年</w:t>
      </w:r>
      <w:r>
        <w:rPr>
          <w:rFonts w:hint="eastAsia" w:ascii="黑体" w:eastAsia="黑体"/>
          <w:sz w:val="32"/>
          <w:szCs w:val="32"/>
        </w:rPr>
        <w:t>度参加柳州市</w:t>
      </w:r>
      <w:r>
        <w:rPr>
          <w:rFonts w:hint="eastAsia" w:ascii="黑体" w:eastAsia="黑体"/>
          <w:color w:val="000000"/>
          <w:sz w:val="32"/>
          <w:szCs w:val="32"/>
        </w:rPr>
        <w:t>(  县)信用评价招标代理机构名单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5983"/>
        <w:gridCol w:w="1555"/>
      </w:tblGrid>
      <w:tr w14:paraId="63F6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84" w:type="dxa"/>
          </w:tcPr>
          <w:p w14:paraId="394A3FA6">
            <w:pPr>
              <w:widowControl/>
              <w:jc w:val="center"/>
              <w:rPr>
                <w:rFonts w:ascii="黑体" w:eastAsia="黑体" w:cs="宋体"/>
                <w:b/>
                <w:color w:val="000000"/>
                <w:kern w:val="0"/>
                <w:sz w:val="22"/>
              </w:rPr>
            </w:pPr>
            <w:r>
              <w:rPr>
                <w:rFonts w:hint="eastAsia" w:ascii="黑体" w:eastAsia="黑体" w:cs="宋体"/>
                <w:b/>
                <w:color w:val="000000"/>
                <w:kern w:val="0"/>
                <w:sz w:val="22"/>
              </w:rPr>
              <w:t>序号</w:t>
            </w:r>
          </w:p>
        </w:tc>
        <w:tc>
          <w:tcPr>
            <w:tcW w:w="5983" w:type="dxa"/>
          </w:tcPr>
          <w:p w14:paraId="0649DB90">
            <w:pPr>
              <w:widowControl/>
              <w:jc w:val="center"/>
              <w:rPr>
                <w:rFonts w:ascii="黑体" w:eastAsia="黑体" w:cs="宋体"/>
                <w:b/>
                <w:color w:val="000000"/>
                <w:kern w:val="0"/>
                <w:sz w:val="22"/>
              </w:rPr>
            </w:pPr>
            <w:r>
              <w:rPr>
                <w:rFonts w:hint="eastAsia" w:ascii="黑体" w:eastAsia="黑体" w:cs="宋体"/>
                <w:b/>
                <w:color w:val="000000"/>
                <w:kern w:val="0"/>
                <w:sz w:val="22"/>
              </w:rPr>
              <w:t>代理机构</w:t>
            </w:r>
          </w:p>
        </w:tc>
        <w:tc>
          <w:tcPr>
            <w:tcW w:w="1555" w:type="dxa"/>
          </w:tcPr>
          <w:p w14:paraId="6A43FC83">
            <w:pPr>
              <w:widowControl/>
              <w:jc w:val="center"/>
              <w:rPr>
                <w:rFonts w:ascii="黑体" w:eastAsia="黑体" w:cs="宋体"/>
                <w:b/>
                <w:color w:val="000000"/>
                <w:kern w:val="0"/>
                <w:sz w:val="22"/>
              </w:rPr>
            </w:pPr>
            <w:r>
              <w:rPr>
                <w:rFonts w:hint="eastAsia" w:ascii="黑体" w:eastAsia="黑体" w:cs="宋体"/>
                <w:b/>
                <w:color w:val="000000"/>
                <w:kern w:val="0"/>
                <w:sz w:val="22"/>
              </w:rPr>
              <w:t>备注</w:t>
            </w:r>
          </w:p>
        </w:tc>
      </w:tr>
      <w:tr w14:paraId="781C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A4B27B4">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w:t>
            </w:r>
          </w:p>
        </w:tc>
        <w:tc>
          <w:tcPr>
            <w:tcW w:w="5983" w:type="dxa"/>
          </w:tcPr>
          <w:p w14:paraId="364DC559">
            <w:pPr>
              <w:pStyle w:val="5"/>
              <w:widowControl/>
              <w:spacing w:beforeAutospacing="1" w:line="499" w:lineRule="atLeast"/>
              <w:rPr>
                <w:rFonts w:ascii="Times New Roman" w:hAnsi="Times New Roman" w:cs="Times New Roman"/>
              </w:rPr>
            </w:pPr>
          </w:p>
        </w:tc>
        <w:tc>
          <w:tcPr>
            <w:tcW w:w="1555" w:type="dxa"/>
          </w:tcPr>
          <w:p w14:paraId="0A73116E">
            <w:pPr>
              <w:pStyle w:val="5"/>
              <w:widowControl/>
              <w:spacing w:beforeAutospacing="1" w:line="499" w:lineRule="atLeast"/>
              <w:rPr>
                <w:rFonts w:ascii="宋体" w:eastAsia="宋体" w:cs="宋体"/>
                <w:color w:val="FF0000"/>
                <w:sz w:val="32"/>
                <w:szCs w:val="32"/>
              </w:rPr>
            </w:pPr>
          </w:p>
        </w:tc>
      </w:tr>
      <w:tr w14:paraId="5EF0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8A7EDF3">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2</w:t>
            </w:r>
          </w:p>
        </w:tc>
        <w:tc>
          <w:tcPr>
            <w:tcW w:w="5983" w:type="dxa"/>
          </w:tcPr>
          <w:p w14:paraId="54E8E671">
            <w:pPr>
              <w:pStyle w:val="5"/>
              <w:widowControl/>
              <w:spacing w:beforeAutospacing="1" w:line="499" w:lineRule="atLeast"/>
              <w:rPr>
                <w:rFonts w:ascii="Times New Roman" w:hAnsi="Times New Roman" w:cs="Times New Roman"/>
              </w:rPr>
            </w:pPr>
          </w:p>
        </w:tc>
        <w:tc>
          <w:tcPr>
            <w:tcW w:w="1555" w:type="dxa"/>
          </w:tcPr>
          <w:p w14:paraId="342DA0FC">
            <w:pPr>
              <w:pStyle w:val="5"/>
              <w:widowControl/>
              <w:spacing w:beforeAutospacing="1" w:line="499" w:lineRule="atLeast"/>
              <w:rPr>
                <w:rFonts w:ascii="宋体" w:eastAsia="宋体" w:cs="宋体"/>
                <w:color w:val="FF0000"/>
                <w:sz w:val="32"/>
                <w:szCs w:val="32"/>
              </w:rPr>
            </w:pPr>
          </w:p>
        </w:tc>
      </w:tr>
      <w:tr w14:paraId="3C9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ABB3CF2">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3</w:t>
            </w:r>
          </w:p>
        </w:tc>
        <w:tc>
          <w:tcPr>
            <w:tcW w:w="5983" w:type="dxa"/>
          </w:tcPr>
          <w:p w14:paraId="392154A5">
            <w:pPr>
              <w:pStyle w:val="5"/>
              <w:widowControl/>
              <w:spacing w:beforeAutospacing="1" w:line="499" w:lineRule="atLeast"/>
              <w:rPr>
                <w:rFonts w:ascii="Times New Roman" w:hAnsi="Times New Roman" w:cs="Times New Roman"/>
              </w:rPr>
            </w:pPr>
          </w:p>
        </w:tc>
        <w:tc>
          <w:tcPr>
            <w:tcW w:w="1555" w:type="dxa"/>
          </w:tcPr>
          <w:p w14:paraId="0884A881">
            <w:pPr>
              <w:pStyle w:val="5"/>
              <w:widowControl/>
              <w:spacing w:beforeAutospacing="1" w:line="499" w:lineRule="atLeast"/>
              <w:rPr>
                <w:rFonts w:ascii="宋体" w:eastAsia="宋体" w:cs="宋体"/>
                <w:color w:val="FF0000"/>
                <w:sz w:val="32"/>
                <w:szCs w:val="32"/>
              </w:rPr>
            </w:pPr>
          </w:p>
        </w:tc>
      </w:tr>
      <w:tr w14:paraId="4C18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B323E1C">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4</w:t>
            </w:r>
          </w:p>
        </w:tc>
        <w:tc>
          <w:tcPr>
            <w:tcW w:w="5983" w:type="dxa"/>
          </w:tcPr>
          <w:p w14:paraId="3C1A106B">
            <w:pPr>
              <w:pStyle w:val="5"/>
              <w:widowControl/>
              <w:spacing w:beforeAutospacing="1" w:line="499" w:lineRule="atLeast"/>
              <w:rPr>
                <w:rFonts w:ascii="Times New Roman" w:hAnsi="Times New Roman" w:cs="Times New Roman"/>
              </w:rPr>
            </w:pPr>
          </w:p>
        </w:tc>
        <w:tc>
          <w:tcPr>
            <w:tcW w:w="1555" w:type="dxa"/>
          </w:tcPr>
          <w:p w14:paraId="4EC1F128">
            <w:pPr>
              <w:pStyle w:val="5"/>
              <w:widowControl/>
              <w:spacing w:beforeAutospacing="1" w:line="499" w:lineRule="atLeast"/>
              <w:rPr>
                <w:rFonts w:ascii="宋体" w:eastAsia="宋体" w:cs="宋体"/>
                <w:color w:val="FF0000"/>
                <w:sz w:val="32"/>
                <w:szCs w:val="32"/>
              </w:rPr>
            </w:pPr>
          </w:p>
        </w:tc>
      </w:tr>
      <w:tr w14:paraId="03B8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7A7B702">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5</w:t>
            </w:r>
          </w:p>
        </w:tc>
        <w:tc>
          <w:tcPr>
            <w:tcW w:w="5983" w:type="dxa"/>
          </w:tcPr>
          <w:p w14:paraId="3DB27350">
            <w:pPr>
              <w:pStyle w:val="5"/>
              <w:widowControl/>
              <w:spacing w:beforeAutospacing="1" w:line="499" w:lineRule="atLeast"/>
              <w:rPr>
                <w:rFonts w:ascii="Times New Roman" w:hAnsi="Times New Roman" w:cs="Times New Roman"/>
              </w:rPr>
            </w:pPr>
          </w:p>
        </w:tc>
        <w:tc>
          <w:tcPr>
            <w:tcW w:w="1555" w:type="dxa"/>
          </w:tcPr>
          <w:p w14:paraId="04245EE9">
            <w:pPr>
              <w:pStyle w:val="5"/>
              <w:widowControl/>
              <w:spacing w:beforeAutospacing="1" w:line="499" w:lineRule="atLeast"/>
              <w:rPr>
                <w:rFonts w:ascii="宋体" w:eastAsia="宋体" w:cs="宋体"/>
                <w:color w:val="FF0000"/>
                <w:sz w:val="32"/>
                <w:szCs w:val="32"/>
              </w:rPr>
            </w:pPr>
          </w:p>
        </w:tc>
      </w:tr>
      <w:tr w14:paraId="7465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9638B33">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6</w:t>
            </w:r>
          </w:p>
        </w:tc>
        <w:tc>
          <w:tcPr>
            <w:tcW w:w="5983" w:type="dxa"/>
          </w:tcPr>
          <w:p w14:paraId="03CCE4A0">
            <w:pPr>
              <w:pStyle w:val="5"/>
              <w:widowControl/>
              <w:spacing w:beforeAutospacing="1" w:line="499" w:lineRule="atLeast"/>
              <w:rPr>
                <w:rFonts w:ascii="Times New Roman" w:hAnsi="Times New Roman" w:cs="Times New Roman"/>
              </w:rPr>
            </w:pPr>
          </w:p>
        </w:tc>
        <w:tc>
          <w:tcPr>
            <w:tcW w:w="1555" w:type="dxa"/>
          </w:tcPr>
          <w:p w14:paraId="31C2C37E">
            <w:pPr>
              <w:pStyle w:val="5"/>
              <w:widowControl/>
              <w:spacing w:beforeAutospacing="1" w:line="499" w:lineRule="atLeast"/>
              <w:rPr>
                <w:rFonts w:ascii="宋体" w:eastAsia="宋体" w:cs="宋体"/>
                <w:color w:val="FF0000"/>
                <w:sz w:val="32"/>
                <w:szCs w:val="32"/>
              </w:rPr>
            </w:pPr>
          </w:p>
        </w:tc>
      </w:tr>
      <w:tr w14:paraId="5DE9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7F86270">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7</w:t>
            </w:r>
          </w:p>
        </w:tc>
        <w:tc>
          <w:tcPr>
            <w:tcW w:w="5983" w:type="dxa"/>
          </w:tcPr>
          <w:p w14:paraId="67BEEF93">
            <w:pPr>
              <w:pStyle w:val="5"/>
              <w:widowControl/>
              <w:spacing w:beforeAutospacing="1" w:line="499" w:lineRule="atLeast"/>
              <w:rPr>
                <w:rFonts w:ascii="Times New Roman" w:hAnsi="Times New Roman" w:cs="Times New Roman"/>
              </w:rPr>
            </w:pPr>
          </w:p>
        </w:tc>
        <w:tc>
          <w:tcPr>
            <w:tcW w:w="1555" w:type="dxa"/>
          </w:tcPr>
          <w:p w14:paraId="1404CF86">
            <w:pPr>
              <w:pStyle w:val="5"/>
              <w:widowControl/>
              <w:spacing w:beforeAutospacing="1" w:line="499" w:lineRule="atLeast"/>
              <w:rPr>
                <w:rFonts w:ascii="宋体" w:eastAsia="宋体" w:cs="宋体"/>
                <w:color w:val="FF0000"/>
                <w:sz w:val="32"/>
                <w:szCs w:val="32"/>
              </w:rPr>
            </w:pPr>
          </w:p>
        </w:tc>
      </w:tr>
      <w:tr w14:paraId="1001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6A63034">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8</w:t>
            </w:r>
          </w:p>
        </w:tc>
        <w:tc>
          <w:tcPr>
            <w:tcW w:w="5983" w:type="dxa"/>
          </w:tcPr>
          <w:p w14:paraId="0BD996CA">
            <w:pPr>
              <w:pStyle w:val="5"/>
              <w:widowControl/>
              <w:spacing w:beforeAutospacing="1" w:line="499" w:lineRule="atLeast"/>
              <w:rPr>
                <w:rFonts w:ascii="Times New Roman" w:hAnsi="Times New Roman" w:cs="Times New Roman"/>
              </w:rPr>
            </w:pPr>
          </w:p>
        </w:tc>
        <w:tc>
          <w:tcPr>
            <w:tcW w:w="1555" w:type="dxa"/>
          </w:tcPr>
          <w:p w14:paraId="65FC0FB7">
            <w:pPr>
              <w:pStyle w:val="5"/>
              <w:widowControl/>
              <w:spacing w:beforeAutospacing="1" w:line="499" w:lineRule="atLeast"/>
              <w:rPr>
                <w:rFonts w:ascii="宋体" w:eastAsia="宋体" w:cs="宋体"/>
                <w:color w:val="FF0000"/>
                <w:sz w:val="32"/>
                <w:szCs w:val="32"/>
              </w:rPr>
            </w:pPr>
          </w:p>
        </w:tc>
      </w:tr>
      <w:tr w14:paraId="6451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D21A262">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9</w:t>
            </w:r>
          </w:p>
        </w:tc>
        <w:tc>
          <w:tcPr>
            <w:tcW w:w="5983" w:type="dxa"/>
          </w:tcPr>
          <w:p w14:paraId="76C78788">
            <w:pPr>
              <w:pStyle w:val="5"/>
              <w:widowControl/>
              <w:spacing w:beforeAutospacing="1" w:line="499" w:lineRule="atLeast"/>
              <w:rPr>
                <w:rFonts w:ascii="Times New Roman" w:hAnsi="Times New Roman" w:cs="Times New Roman"/>
              </w:rPr>
            </w:pPr>
          </w:p>
        </w:tc>
        <w:tc>
          <w:tcPr>
            <w:tcW w:w="1555" w:type="dxa"/>
          </w:tcPr>
          <w:p w14:paraId="61066D61">
            <w:pPr>
              <w:pStyle w:val="5"/>
              <w:widowControl/>
              <w:spacing w:beforeAutospacing="1" w:line="499" w:lineRule="atLeast"/>
              <w:rPr>
                <w:rFonts w:ascii="宋体" w:eastAsia="宋体" w:cs="宋体"/>
                <w:color w:val="FF0000"/>
                <w:sz w:val="32"/>
                <w:szCs w:val="32"/>
              </w:rPr>
            </w:pPr>
          </w:p>
        </w:tc>
      </w:tr>
      <w:tr w14:paraId="0E8C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60C934F">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10</w:t>
            </w:r>
          </w:p>
        </w:tc>
        <w:tc>
          <w:tcPr>
            <w:tcW w:w="5983" w:type="dxa"/>
          </w:tcPr>
          <w:p w14:paraId="1FEC8EA9">
            <w:pPr>
              <w:pStyle w:val="5"/>
              <w:widowControl/>
              <w:spacing w:beforeAutospacing="1" w:line="499" w:lineRule="atLeast"/>
              <w:rPr>
                <w:rFonts w:ascii="Times New Roman" w:hAnsi="Times New Roman" w:cs="Times New Roman"/>
              </w:rPr>
            </w:pPr>
          </w:p>
        </w:tc>
        <w:tc>
          <w:tcPr>
            <w:tcW w:w="1555" w:type="dxa"/>
          </w:tcPr>
          <w:p w14:paraId="66F9B17D">
            <w:pPr>
              <w:pStyle w:val="5"/>
              <w:widowControl/>
              <w:spacing w:beforeAutospacing="1" w:line="499" w:lineRule="atLeast"/>
              <w:rPr>
                <w:rFonts w:ascii="宋体" w:eastAsia="宋体" w:cs="宋体"/>
                <w:color w:val="FF0000"/>
                <w:sz w:val="32"/>
                <w:szCs w:val="32"/>
              </w:rPr>
            </w:pPr>
          </w:p>
        </w:tc>
      </w:tr>
      <w:tr w14:paraId="1E9A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956590E">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11</w:t>
            </w:r>
          </w:p>
        </w:tc>
        <w:tc>
          <w:tcPr>
            <w:tcW w:w="5983" w:type="dxa"/>
          </w:tcPr>
          <w:p w14:paraId="1575866B">
            <w:pPr>
              <w:pStyle w:val="5"/>
              <w:widowControl/>
              <w:spacing w:beforeAutospacing="1" w:line="499" w:lineRule="atLeast"/>
              <w:rPr>
                <w:rFonts w:ascii="Times New Roman" w:hAnsi="Times New Roman" w:cs="Times New Roman"/>
              </w:rPr>
            </w:pPr>
          </w:p>
        </w:tc>
        <w:tc>
          <w:tcPr>
            <w:tcW w:w="1555" w:type="dxa"/>
          </w:tcPr>
          <w:p w14:paraId="24B0471E">
            <w:pPr>
              <w:pStyle w:val="5"/>
              <w:widowControl/>
              <w:spacing w:beforeAutospacing="1" w:line="499" w:lineRule="atLeast"/>
              <w:rPr>
                <w:rFonts w:ascii="宋体" w:eastAsia="宋体" w:cs="宋体"/>
                <w:color w:val="FF0000"/>
                <w:sz w:val="32"/>
                <w:szCs w:val="32"/>
              </w:rPr>
            </w:pPr>
          </w:p>
        </w:tc>
      </w:tr>
      <w:tr w14:paraId="35D5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4" w:type="dxa"/>
          </w:tcPr>
          <w:p w14:paraId="5D632A67">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12</w:t>
            </w:r>
          </w:p>
        </w:tc>
        <w:tc>
          <w:tcPr>
            <w:tcW w:w="5983" w:type="dxa"/>
          </w:tcPr>
          <w:p w14:paraId="0E7A876F">
            <w:pPr>
              <w:pStyle w:val="5"/>
              <w:widowControl/>
              <w:spacing w:beforeAutospacing="1" w:line="499" w:lineRule="atLeast"/>
              <w:rPr>
                <w:rFonts w:ascii="Times New Roman" w:hAnsi="Times New Roman" w:cs="Times New Roman"/>
              </w:rPr>
            </w:pPr>
          </w:p>
        </w:tc>
        <w:tc>
          <w:tcPr>
            <w:tcW w:w="1555" w:type="dxa"/>
          </w:tcPr>
          <w:p w14:paraId="1D1645F9">
            <w:pPr>
              <w:pStyle w:val="5"/>
              <w:widowControl/>
              <w:spacing w:beforeAutospacing="1" w:line="499" w:lineRule="atLeast"/>
              <w:rPr>
                <w:rFonts w:ascii="宋体" w:eastAsia="宋体" w:cs="宋体"/>
                <w:color w:val="FF0000"/>
                <w:sz w:val="32"/>
                <w:szCs w:val="32"/>
              </w:rPr>
            </w:pPr>
          </w:p>
        </w:tc>
      </w:tr>
      <w:tr w14:paraId="3A3A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967E659">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13</w:t>
            </w:r>
          </w:p>
        </w:tc>
        <w:tc>
          <w:tcPr>
            <w:tcW w:w="5983" w:type="dxa"/>
          </w:tcPr>
          <w:p w14:paraId="693BDA52">
            <w:pPr>
              <w:pStyle w:val="5"/>
              <w:widowControl/>
              <w:spacing w:beforeAutospacing="1" w:line="499" w:lineRule="atLeast"/>
              <w:rPr>
                <w:rFonts w:ascii="宋体" w:eastAsia="宋体" w:cs="宋体"/>
                <w:color w:val="FF0000"/>
                <w:sz w:val="32"/>
                <w:szCs w:val="32"/>
              </w:rPr>
            </w:pPr>
          </w:p>
        </w:tc>
        <w:tc>
          <w:tcPr>
            <w:tcW w:w="1555" w:type="dxa"/>
          </w:tcPr>
          <w:p w14:paraId="6A359752">
            <w:pPr>
              <w:pStyle w:val="5"/>
              <w:widowControl/>
              <w:spacing w:beforeAutospacing="1" w:line="499" w:lineRule="atLeast"/>
              <w:rPr>
                <w:rFonts w:ascii="宋体" w:eastAsia="宋体" w:cs="宋体"/>
                <w:color w:val="FF0000"/>
                <w:sz w:val="32"/>
                <w:szCs w:val="32"/>
              </w:rPr>
            </w:pPr>
          </w:p>
        </w:tc>
      </w:tr>
      <w:tr w14:paraId="12E1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0978CFE">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14</w:t>
            </w:r>
          </w:p>
        </w:tc>
        <w:tc>
          <w:tcPr>
            <w:tcW w:w="5983" w:type="dxa"/>
          </w:tcPr>
          <w:p w14:paraId="2ADE33E2">
            <w:pPr>
              <w:pStyle w:val="5"/>
              <w:widowControl/>
              <w:spacing w:beforeAutospacing="1" w:line="499" w:lineRule="atLeast"/>
              <w:rPr>
                <w:rFonts w:ascii="宋体" w:eastAsia="宋体" w:cs="宋体"/>
                <w:color w:val="FF0000"/>
                <w:sz w:val="32"/>
                <w:szCs w:val="32"/>
              </w:rPr>
            </w:pPr>
          </w:p>
        </w:tc>
        <w:tc>
          <w:tcPr>
            <w:tcW w:w="1555" w:type="dxa"/>
          </w:tcPr>
          <w:p w14:paraId="51C3CC59">
            <w:pPr>
              <w:pStyle w:val="5"/>
              <w:widowControl/>
              <w:spacing w:beforeAutospacing="1" w:line="499" w:lineRule="atLeast"/>
              <w:rPr>
                <w:rFonts w:ascii="宋体" w:eastAsia="宋体" w:cs="宋体"/>
                <w:color w:val="FF0000"/>
                <w:sz w:val="32"/>
                <w:szCs w:val="32"/>
              </w:rPr>
            </w:pPr>
          </w:p>
        </w:tc>
      </w:tr>
      <w:tr w14:paraId="1428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283754E">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15</w:t>
            </w:r>
          </w:p>
        </w:tc>
        <w:tc>
          <w:tcPr>
            <w:tcW w:w="5983" w:type="dxa"/>
          </w:tcPr>
          <w:p w14:paraId="0C35BC4D">
            <w:pPr>
              <w:pStyle w:val="5"/>
              <w:widowControl/>
              <w:spacing w:beforeAutospacing="1" w:line="499" w:lineRule="atLeast"/>
              <w:rPr>
                <w:rFonts w:ascii="宋体" w:eastAsia="宋体" w:cs="宋体"/>
                <w:color w:val="FF0000"/>
                <w:sz w:val="32"/>
                <w:szCs w:val="32"/>
              </w:rPr>
            </w:pPr>
          </w:p>
        </w:tc>
        <w:tc>
          <w:tcPr>
            <w:tcW w:w="1555" w:type="dxa"/>
          </w:tcPr>
          <w:p w14:paraId="49B7FD17">
            <w:pPr>
              <w:pStyle w:val="5"/>
              <w:widowControl/>
              <w:spacing w:beforeAutospacing="1" w:line="499" w:lineRule="atLeast"/>
              <w:rPr>
                <w:rFonts w:ascii="宋体" w:eastAsia="宋体" w:cs="宋体"/>
                <w:color w:val="FF0000"/>
                <w:sz w:val="32"/>
                <w:szCs w:val="32"/>
              </w:rPr>
            </w:pPr>
          </w:p>
        </w:tc>
      </w:tr>
      <w:tr w14:paraId="7748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5386DD6">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16</w:t>
            </w:r>
          </w:p>
        </w:tc>
        <w:tc>
          <w:tcPr>
            <w:tcW w:w="5983" w:type="dxa"/>
          </w:tcPr>
          <w:p w14:paraId="56A70B2E">
            <w:pPr>
              <w:pStyle w:val="5"/>
              <w:widowControl/>
              <w:spacing w:beforeAutospacing="1" w:line="499" w:lineRule="atLeast"/>
              <w:rPr>
                <w:rFonts w:ascii="宋体" w:eastAsia="宋体" w:cs="宋体"/>
                <w:color w:val="FF0000"/>
                <w:sz w:val="32"/>
                <w:szCs w:val="32"/>
              </w:rPr>
            </w:pPr>
          </w:p>
        </w:tc>
        <w:tc>
          <w:tcPr>
            <w:tcW w:w="1555" w:type="dxa"/>
          </w:tcPr>
          <w:p w14:paraId="4BE5D696">
            <w:pPr>
              <w:pStyle w:val="5"/>
              <w:widowControl/>
              <w:spacing w:beforeAutospacing="1" w:line="499" w:lineRule="atLeast"/>
              <w:rPr>
                <w:rFonts w:ascii="宋体" w:eastAsia="宋体" w:cs="宋体"/>
                <w:color w:val="FF0000"/>
                <w:sz w:val="32"/>
                <w:szCs w:val="32"/>
              </w:rPr>
            </w:pPr>
          </w:p>
        </w:tc>
      </w:tr>
      <w:tr w14:paraId="6DB9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9B1D7B8">
            <w:pPr>
              <w:pStyle w:val="5"/>
              <w:widowControl/>
              <w:spacing w:beforeAutospacing="1" w:line="499" w:lineRule="atLeast"/>
              <w:jc w:val="center"/>
              <w:rPr>
                <w:rFonts w:ascii="Times New Roman" w:hAnsi="Times New Roman" w:cs="Times New Roman"/>
              </w:rPr>
            </w:pPr>
            <w:r>
              <w:rPr>
                <w:rFonts w:hint="eastAsia" w:ascii="Times New Roman" w:hAnsi="Times New Roman" w:cs="Times New Roman"/>
              </w:rPr>
              <w:t>17</w:t>
            </w:r>
          </w:p>
        </w:tc>
        <w:tc>
          <w:tcPr>
            <w:tcW w:w="5983" w:type="dxa"/>
          </w:tcPr>
          <w:p w14:paraId="19BD18EB">
            <w:pPr>
              <w:pStyle w:val="5"/>
              <w:widowControl/>
              <w:spacing w:beforeAutospacing="1" w:line="499" w:lineRule="atLeast"/>
              <w:rPr>
                <w:rFonts w:ascii="宋体" w:eastAsia="宋体" w:cs="宋体"/>
                <w:color w:val="FF0000"/>
                <w:sz w:val="32"/>
                <w:szCs w:val="32"/>
              </w:rPr>
            </w:pPr>
          </w:p>
        </w:tc>
        <w:tc>
          <w:tcPr>
            <w:tcW w:w="1555" w:type="dxa"/>
          </w:tcPr>
          <w:p w14:paraId="3B631899">
            <w:pPr>
              <w:pStyle w:val="5"/>
              <w:widowControl/>
              <w:spacing w:beforeAutospacing="1" w:line="499" w:lineRule="atLeast"/>
              <w:rPr>
                <w:rFonts w:ascii="宋体" w:eastAsia="宋体" w:cs="宋体"/>
                <w:color w:val="FF0000"/>
                <w:sz w:val="32"/>
                <w:szCs w:val="32"/>
              </w:rPr>
            </w:pPr>
          </w:p>
        </w:tc>
      </w:tr>
    </w:tbl>
    <w:p w14:paraId="39A86D00">
      <w:pPr>
        <w:widowControl/>
        <w:jc w:val="left"/>
        <w:rPr>
          <w:rFonts w:ascii="Times New Roman" w:hAnsi="Times New Roman" w:eastAsia="黑体" w:cs="Times New Roman"/>
          <w:sz w:val="32"/>
          <w:szCs w:val="32"/>
        </w:rPr>
      </w:pPr>
    </w:p>
    <w:p w14:paraId="1B4305DD">
      <w:pPr>
        <w:widowControl/>
        <w:jc w:val="left"/>
        <w:rPr>
          <w:rFonts w:ascii="宋体" w:cs="宋体"/>
          <w:kern w:val="0"/>
          <w:sz w:val="32"/>
          <w:szCs w:val="32"/>
        </w:rPr>
      </w:pPr>
      <w:r>
        <w:rPr>
          <w:rFonts w:hint="eastAsia" w:ascii="Times New Roman" w:hAnsi="Times New Roman" w:eastAsia="黑体" w:cs="Times New Roman"/>
          <w:sz w:val="32"/>
          <w:szCs w:val="32"/>
        </w:rPr>
        <w:t>附件6</w:t>
      </w:r>
    </w:p>
    <w:p w14:paraId="49B2EF82">
      <w:pPr>
        <w:pStyle w:val="5"/>
        <w:widowControl/>
        <w:spacing w:beforeAutospacing="1" w:line="499" w:lineRule="atLeast"/>
        <w:jc w:val="center"/>
        <w:rPr>
          <w:rFonts w:ascii="黑体" w:eastAsia="黑体"/>
          <w:color w:val="000000"/>
          <w:sz w:val="32"/>
          <w:szCs w:val="32"/>
        </w:rPr>
      </w:pPr>
      <w:r>
        <w:rPr>
          <w:rFonts w:ascii="黑体" w:eastAsia="黑体"/>
          <w:color w:val="000000"/>
          <w:sz w:val="32"/>
          <w:szCs w:val="32"/>
        </w:rPr>
        <w:t>相关计分标准说明</w:t>
      </w:r>
    </w:p>
    <w:p w14:paraId="16D4E306">
      <w:pPr>
        <w:pStyle w:val="5"/>
        <w:widowControl/>
        <w:spacing w:beforeAutospacing="1" w:line="499" w:lineRule="atLeast"/>
        <w:ind w:firstLine="641"/>
        <w:rPr>
          <w:szCs w:val="24"/>
        </w:rPr>
      </w:pPr>
    </w:p>
    <w:p w14:paraId="10F985CA">
      <w:pPr>
        <w:pStyle w:val="5"/>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一、业绩情况中所指业绩以招标代理机构代理的</w:t>
      </w:r>
      <w:r>
        <w:rPr>
          <w:rFonts w:hint="eastAsia" w:ascii="Times New Roman" w:hAnsi="Times New Roman" w:eastAsia="仿宋_GB2312" w:cs="Times New Roman"/>
          <w:sz w:val="32"/>
          <w:szCs w:val="32"/>
        </w:rPr>
        <w:t>招标单位所在地在柳州市县（区）行政区域的</w:t>
      </w:r>
      <w:r>
        <w:rPr>
          <w:rFonts w:ascii="Times New Roman" w:hAnsi="Times New Roman" w:eastAsia="仿宋_GB2312" w:cs="Times New Roman"/>
          <w:sz w:val="32"/>
          <w:szCs w:val="32"/>
        </w:rPr>
        <w:t>公开招标项目，一个项目多次招标的，只记一次。</w:t>
      </w:r>
    </w:p>
    <w:p w14:paraId="076D707C">
      <w:pPr>
        <w:pStyle w:val="5"/>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二、项目数</w:t>
      </w:r>
      <w:r>
        <w:rPr>
          <w:rFonts w:hint="eastAsia" w:ascii="Times New Roman" w:hAnsi="Times New Roman" w:eastAsia="仿宋_GB2312" w:cs="Times New Roman"/>
          <w:sz w:val="32"/>
          <w:szCs w:val="32"/>
        </w:rPr>
        <w:t>通过柳州市和鹿寨县</w:t>
      </w:r>
      <w:r>
        <w:rPr>
          <w:rFonts w:ascii="Times New Roman" w:hAnsi="Times New Roman" w:eastAsia="仿宋_GB2312" w:cs="Times New Roman"/>
          <w:sz w:val="32"/>
          <w:szCs w:val="32"/>
        </w:rPr>
        <w:t>公共资源交易平台系统统计</w:t>
      </w:r>
      <w:r>
        <w:rPr>
          <w:rFonts w:hint="eastAsia" w:ascii="Times New Roman" w:hAnsi="Times New Roman" w:eastAsia="仿宋_GB2312" w:cs="Times New Roman"/>
          <w:sz w:val="32"/>
          <w:szCs w:val="32"/>
        </w:rPr>
        <w:t>。</w:t>
      </w:r>
    </w:p>
    <w:p w14:paraId="3D1B8710">
      <w:pPr>
        <w:pStyle w:val="5"/>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三、业绩情况总计8分，超过8分的，按8分计。</w:t>
      </w:r>
    </w:p>
    <w:p w14:paraId="43B3C946">
      <w:pPr>
        <w:pStyle w:val="5"/>
        <w:widowControl/>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四、履职行为初始分60分，该项得分值为初始分加上通报表彰得分再减去不良行为评价所得分值，最低分为0分，超过80分的，按80分计。</w:t>
      </w:r>
    </w:p>
    <w:p w14:paraId="57652A41">
      <w:pPr>
        <w:pStyle w:val="5"/>
        <w:widowControl/>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、通报表彰信息及不良行为信息分值有效期均为一年，分值计算起点以系统更新计分时间推算有效期进行滚动计分。</w:t>
      </w:r>
    </w:p>
    <w:p w14:paraId="6F9E564C">
      <w:pPr>
        <w:pStyle w:val="5"/>
        <w:widowControl/>
        <w:ind w:firstLine="641"/>
        <w:rPr>
          <w:rFonts w:ascii="Times New Roman" w:hAnsi="Times New Roman" w:eastAsia="仿宋_GB2312" w:cs="Times New Roman"/>
          <w:sz w:val="32"/>
          <w:szCs w:val="32"/>
        </w:rPr>
      </w:pPr>
      <w:bookmarkStart w:id="1" w:name="_Hlk48663315"/>
      <w:bookmarkEnd w:id="1"/>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、不良行为认定依据为：录音、录像、笔录、整改通知书、通报或者相关文件等。</w:t>
      </w:r>
    </w:p>
    <w:p w14:paraId="67731BAB">
      <w:pPr>
        <w:pStyle w:val="5"/>
        <w:widowControl/>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不良行为认定中，同一项目不重复扣分，以处罚程度最重、扣分最多的处罚项为准。在不同项目中因同一不规范行为被扣分时，每次扣分值应乘以折减系数0.6。</w:t>
      </w:r>
    </w:p>
    <w:p w14:paraId="796B3849">
      <w:pPr>
        <w:rPr>
          <w:rFonts w:ascii="宋体" w:eastAsia="宋体" w:cs="宋体"/>
        </w:rPr>
      </w:pPr>
    </w:p>
    <w:p w14:paraId="5DAC7AB5">
      <w:pPr>
        <w:snapToGrid w:val="0"/>
        <w:rPr>
          <w:rFonts w:ascii="Times New Roman" w:hAnsi="Times New Roman" w:eastAsia="仿宋_GB2312" w:cs="Times New Roman"/>
          <w:color w:val="000000" w:themeColor="text1"/>
          <w:sz w:val="32"/>
          <w:szCs w:val="32"/>
        </w:rPr>
      </w:pPr>
    </w:p>
    <w:p w14:paraId="5B204AAE">
      <w:pPr>
        <w:snapToGrid w:val="0"/>
        <w:spacing w:line="17" w:lineRule="auto"/>
        <w:ind w:firstLine="560"/>
        <w:rPr>
          <w:rFonts w:eastAsia="仿宋_GB2312"/>
          <w:sz w:val="32"/>
          <w:szCs w:val="32"/>
        </w:rPr>
      </w:pPr>
    </w:p>
    <w:sectPr>
      <w:headerReference r:id="rId3" w:type="default"/>
      <w:footerReference r:id="rId4" w:type="default"/>
      <w:pgSz w:w="11906" w:h="16838"/>
      <w:pgMar w:top="2120" w:right="1519"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ursiv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大黑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4063">
    <w:pPr>
      <w:pStyle w:val="3"/>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7ZI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y+2SPIAQAAmQMAAA4AAAAAAAAAAQAgAAAAHgEAAGRycy9lMm9Eb2Mu&#10;eG1sUEsFBgAAAAAGAAYAWQEAAFgFAAAAAA==&#10;">
          <v:path/>
          <v:fill on="f" focussize="0,0"/>
          <v:stroke on="f" joinstyle="miter"/>
          <v:imagedata o:title=""/>
          <o:lock v:ext="edit"/>
          <v:textbox inset="0mm,0mm,0mm,0mm" style="mso-fit-shape-to-text:t;">
            <w:txbxContent>
              <w:p w14:paraId="5397373A">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D8AB">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1EAA1"/>
    <w:multiLevelType w:val="singleLevel"/>
    <w:tmpl w:val="8001EAA1"/>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65FCD"/>
    <w:rsid w:val="00083D7E"/>
    <w:rsid w:val="0008629D"/>
    <w:rsid w:val="00140067"/>
    <w:rsid w:val="00152842"/>
    <w:rsid w:val="001C3660"/>
    <w:rsid w:val="002103F3"/>
    <w:rsid w:val="00222319"/>
    <w:rsid w:val="00245AAE"/>
    <w:rsid w:val="00267F85"/>
    <w:rsid w:val="002A3C1F"/>
    <w:rsid w:val="002F27C2"/>
    <w:rsid w:val="00324D17"/>
    <w:rsid w:val="00331EC7"/>
    <w:rsid w:val="003C2E96"/>
    <w:rsid w:val="003F5C70"/>
    <w:rsid w:val="004114E3"/>
    <w:rsid w:val="00433575"/>
    <w:rsid w:val="00483F72"/>
    <w:rsid w:val="004C675A"/>
    <w:rsid w:val="004E33EE"/>
    <w:rsid w:val="005217E7"/>
    <w:rsid w:val="005900CE"/>
    <w:rsid w:val="005D362E"/>
    <w:rsid w:val="005D79D9"/>
    <w:rsid w:val="005E3F58"/>
    <w:rsid w:val="005F1AC7"/>
    <w:rsid w:val="006138B3"/>
    <w:rsid w:val="0065147F"/>
    <w:rsid w:val="00657927"/>
    <w:rsid w:val="00675EBE"/>
    <w:rsid w:val="006B5312"/>
    <w:rsid w:val="006C78EE"/>
    <w:rsid w:val="006D48E5"/>
    <w:rsid w:val="006E5EE4"/>
    <w:rsid w:val="006F6C88"/>
    <w:rsid w:val="00712222"/>
    <w:rsid w:val="0072343E"/>
    <w:rsid w:val="00734189"/>
    <w:rsid w:val="007709EC"/>
    <w:rsid w:val="00775EAF"/>
    <w:rsid w:val="00842323"/>
    <w:rsid w:val="00865FCD"/>
    <w:rsid w:val="00892216"/>
    <w:rsid w:val="00892BC1"/>
    <w:rsid w:val="008A7547"/>
    <w:rsid w:val="008D758D"/>
    <w:rsid w:val="008F4449"/>
    <w:rsid w:val="00924E3B"/>
    <w:rsid w:val="009440F2"/>
    <w:rsid w:val="0097575E"/>
    <w:rsid w:val="0098408C"/>
    <w:rsid w:val="00A36A2A"/>
    <w:rsid w:val="00A64147"/>
    <w:rsid w:val="00AB5CDC"/>
    <w:rsid w:val="00AE41EB"/>
    <w:rsid w:val="00B02D1E"/>
    <w:rsid w:val="00B509B5"/>
    <w:rsid w:val="00B517A2"/>
    <w:rsid w:val="00B7043C"/>
    <w:rsid w:val="00B73764"/>
    <w:rsid w:val="00B82150"/>
    <w:rsid w:val="00BB6939"/>
    <w:rsid w:val="00BF2898"/>
    <w:rsid w:val="00C12DEE"/>
    <w:rsid w:val="00C216B1"/>
    <w:rsid w:val="00C54E25"/>
    <w:rsid w:val="00C877B0"/>
    <w:rsid w:val="00CA5708"/>
    <w:rsid w:val="00D94476"/>
    <w:rsid w:val="00DE6F34"/>
    <w:rsid w:val="00E413D4"/>
    <w:rsid w:val="00E57F01"/>
    <w:rsid w:val="00ED2FC8"/>
    <w:rsid w:val="00EE1BD1"/>
    <w:rsid w:val="00F30333"/>
    <w:rsid w:val="00F36B36"/>
    <w:rsid w:val="00F944A3"/>
    <w:rsid w:val="00F97BE0"/>
    <w:rsid w:val="00FA4963"/>
    <w:rsid w:val="00FE5AEF"/>
    <w:rsid w:val="01320784"/>
    <w:rsid w:val="04614D92"/>
    <w:rsid w:val="06BA5CD0"/>
    <w:rsid w:val="15CD7D54"/>
    <w:rsid w:val="1D066CEE"/>
    <w:rsid w:val="1E273BE8"/>
    <w:rsid w:val="28A42036"/>
    <w:rsid w:val="383552D4"/>
    <w:rsid w:val="39BA1E06"/>
    <w:rsid w:val="420610DF"/>
    <w:rsid w:val="48966425"/>
    <w:rsid w:val="4C7E4C36"/>
    <w:rsid w:val="6CD4403E"/>
    <w:rsid w:val="7B5F2F59"/>
    <w:rsid w:val="7CF1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黑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unhideWhenUsed/>
    <w:qFormat/>
    <w:uiPriority w:val="99"/>
  </w:style>
  <w:style w:type="character" w:styleId="11">
    <w:name w:val="Hyperlink"/>
    <w:basedOn w:val="8"/>
    <w:unhideWhenUsed/>
    <w:qFormat/>
    <w:uiPriority w:val="99"/>
    <w:rPr>
      <w:color w:val="0000FF" w:themeColor="hyperlink"/>
      <w:u w:val="single"/>
    </w:rPr>
  </w:style>
  <w:style w:type="character" w:styleId="12">
    <w:name w:val="annotation reference"/>
    <w:basedOn w:val="8"/>
    <w:unhideWhenUsed/>
    <w:qFormat/>
    <w:uiPriority w:val="99"/>
    <w:rPr>
      <w:sz w:val="21"/>
      <w:szCs w:val="21"/>
    </w:rPr>
  </w:style>
  <w:style w:type="character" w:customStyle="1" w:styleId="13">
    <w:name w:val="页眉 Char"/>
    <w:basedOn w:val="8"/>
    <w:link w:val="4"/>
    <w:semiHidden/>
    <w:qFormat/>
    <w:uiPriority w:val="99"/>
    <w:rPr>
      <w:sz w:val="18"/>
      <w:szCs w:val="18"/>
    </w:rPr>
  </w:style>
  <w:style w:type="character" w:customStyle="1" w:styleId="14">
    <w:name w:val="页脚 Char"/>
    <w:basedOn w:val="8"/>
    <w:link w:val="3"/>
    <w:semiHidden/>
    <w:qFormat/>
    <w:uiPriority w:val="99"/>
    <w:rPr>
      <w:sz w:val="18"/>
      <w:szCs w:val="18"/>
    </w:rPr>
  </w:style>
  <w:style w:type="paragraph" w:customStyle="1" w:styleId="15">
    <w:name w:val="列出段落1"/>
    <w:basedOn w:val="1"/>
    <w:qFormat/>
    <w:uiPriority w:val="99"/>
    <w:pPr>
      <w:ind w:firstLine="420" w:firstLineChars="200"/>
    </w:pPr>
    <w:rPr>
      <w:rFonts w:ascii="Times New Roman" w:hAnsi="Times New Roman" w:eastAsia="宋体" w:cs="Times New Roman"/>
      <w:szCs w:val="24"/>
    </w:rPr>
  </w:style>
  <w:style w:type="character" w:customStyle="1" w:styleId="16">
    <w:name w:val="批注框文本 Char"/>
    <w:basedOn w:val="8"/>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7721</Words>
  <Characters>7881</Characters>
  <Lines>79</Lines>
  <Paragraphs>22</Paragraphs>
  <TotalTime>0</TotalTime>
  <ScaleCrop>false</ScaleCrop>
  <LinksUpToDate>false</LinksUpToDate>
  <CharactersWithSpaces>7998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2020-10-29T02:51:00Z</dcterms:created>
  <dc:creator>Microsoft</dc:creator>
  <cp:lastModifiedBy>赞兜兜</cp:lastModifiedBy>
  <dcterms:modified xsi:type="dcterms:W3CDTF">2025-01-15T01:11:27Z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eyJoZGlkIjoiZDQ0ZDA2NDJkNjEyN2FkYjMzMTQwZDhiYjVkOWVjMzIiLCJ1c2VySWQiOiIyODE5NDM2ODkifQ==</vt:lpwstr>
  </property>
  <property fmtid="{D5CDD505-2E9C-101B-9397-08002B2CF9AE}" pid="4" name="ICV">
    <vt:lpwstr>D9672FAEBA514332914E6B2C5545401E_12</vt:lpwstr>
  </property>
</Properties>
</file>