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ascii="黑体" w:hAnsi="黑体" w:eastAsia="黑体"/>
          <w:sz w:val="44"/>
          <w:szCs w:val="44"/>
        </w:rPr>
      </w:pPr>
    </w:p>
    <w:p>
      <w:pPr>
        <w:ind w:firstLine="0" w:firstLineChars="0"/>
        <w:rPr>
          <w:rFonts w:ascii="黑体" w:hAnsi="黑体" w:eastAsia="黑体"/>
          <w:sz w:val="44"/>
          <w:szCs w:val="44"/>
        </w:rPr>
      </w:pPr>
    </w:p>
    <w:p>
      <w:pPr>
        <w:ind w:firstLine="0" w:firstLineChars="0"/>
        <w:rPr>
          <w:rFonts w:ascii="黑体" w:hAnsi="黑体" w:eastAsia="黑体"/>
          <w:sz w:val="44"/>
          <w:szCs w:val="44"/>
        </w:rPr>
      </w:pPr>
    </w:p>
    <w:p>
      <w:pPr>
        <w:ind w:firstLine="136" w:firstLineChars="38"/>
        <w:jc w:val="center"/>
        <w:rPr>
          <w:rFonts w:ascii="方正小标宋_GBK" w:hAnsi="黑体" w:eastAsia="方正小标宋_GBK"/>
          <w:b/>
          <w:sz w:val="36"/>
          <w:szCs w:val="36"/>
        </w:rPr>
      </w:pPr>
    </w:p>
    <w:p>
      <w:pPr>
        <w:spacing w:line="560" w:lineRule="exact"/>
        <w:ind w:firstLine="0" w:firstLineChars="0"/>
        <w:jc w:val="center"/>
        <w:rPr>
          <w:rFonts w:eastAsia="方正小标宋简体" w:cs="Times New Roman"/>
          <w:bCs/>
          <w:sz w:val="44"/>
          <w:szCs w:val="44"/>
        </w:rPr>
      </w:pPr>
      <w:r>
        <w:rPr>
          <w:rFonts w:eastAsia="方正小标宋简体" w:cs="Times New Roman"/>
          <w:bCs/>
          <w:sz w:val="44"/>
          <w:szCs w:val="44"/>
        </w:rPr>
        <w:t>柳州市国家生态文明建设示范市规划（2019-2030</w:t>
      </w:r>
      <w:r>
        <w:rPr>
          <w:rFonts w:hint="eastAsia" w:eastAsia="方正小标宋简体" w:cs="Times New Roman"/>
          <w:bCs/>
          <w:sz w:val="44"/>
          <w:szCs w:val="44"/>
        </w:rPr>
        <w:t>年</w:t>
      </w:r>
      <w:r>
        <w:rPr>
          <w:rFonts w:eastAsia="方正小标宋简体" w:cs="Times New Roman"/>
          <w:bCs/>
          <w:sz w:val="44"/>
          <w:szCs w:val="44"/>
        </w:rPr>
        <w:t>）</w:t>
      </w:r>
    </w:p>
    <w:p>
      <w:pPr>
        <w:ind w:firstLine="0" w:firstLineChars="0"/>
        <w:jc w:val="center"/>
        <w:rPr>
          <w:rFonts w:eastAsia="黑体" w:cs="Times New Roman"/>
          <w:sz w:val="44"/>
          <w:szCs w:val="44"/>
        </w:rPr>
      </w:pPr>
    </w:p>
    <w:p>
      <w:pPr>
        <w:ind w:firstLine="880"/>
        <w:rPr>
          <w:rFonts w:eastAsia="黑体" w:cs="Times New Roman"/>
          <w:sz w:val="44"/>
          <w:szCs w:val="44"/>
        </w:rPr>
      </w:pPr>
    </w:p>
    <w:p>
      <w:pPr>
        <w:ind w:firstLine="880"/>
        <w:rPr>
          <w:rFonts w:eastAsia="黑体" w:cs="Times New Roman"/>
          <w:sz w:val="44"/>
          <w:szCs w:val="44"/>
        </w:rPr>
      </w:pPr>
    </w:p>
    <w:p>
      <w:pPr>
        <w:pStyle w:val="2"/>
        <w:ind w:firstLine="640"/>
      </w:pPr>
    </w:p>
    <w:p>
      <w:pPr>
        <w:ind w:firstLine="880"/>
        <w:rPr>
          <w:rFonts w:eastAsia="黑体" w:cs="Times New Roman"/>
          <w:sz w:val="44"/>
          <w:szCs w:val="44"/>
        </w:rPr>
      </w:pPr>
    </w:p>
    <w:p>
      <w:pPr>
        <w:ind w:firstLine="880"/>
        <w:rPr>
          <w:rFonts w:eastAsia="黑体" w:cs="Times New Roman"/>
          <w:sz w:val="44"/>
          <w:szCs w:val="44"/>
        </w:rPr>
      </w:pPr>
    </w:p>
    <w:p>
      <w:pPr>
        <w:ind w:firstLine="880"/>
        <w:rPr>
          <w:rFonts w:eastAsia="黑体" w:cs="Times New Roman"/>
          <w:sz w:val="44"/>
          <w:szCs w:val="44"/>
        </w:rPr>
      </w:pPr>
    </w:p>
    <w:p>
      <w:pPr>
        <w:ind w:firstLine="880"/>
        <w:rPr>
          <w:rFonts w:eastAsia="黑体" w:cs="Times New Roman"/>
          <w:sz w:val="44"/>
          <w:szCs w:val="44"/>
        </w:rPr>
      </w:pPr>
    </w:p>
    <w:p>
      <w:pPr>
        <w:ind w:firstLine="880"/>
        <w:rPr>
          <w:rFonts w:eastAsia="黑体" w:cs="Times New Roman"/>
          <w:sz w:val="44"/>
          <w:szCs w:val="44"/>
        </w:rPr>
      </w:pPr>
    </w:p>
    <w:p>
      <w:pPr>
        <w:ind w:firstLine="880"/>
        <w:rPr>
          <w:rFonts w:eastAsia="黑体" w:cs="Times New Roman"/>
          <w:sz w:val="44"/>
          <w:szCs w:val="44"/>
        </w:rPr>
      </w:pPr>
    </w:p>
    <w:p>
      <w:pPr>
        <w:ind w:firstLine="880"/>
        <w:rPr>
          <w:rFonts w:eastAsia="黑体" w:cs="Times New Roman"/>
          <w:sz w:val="44"/>
          <w:szCs w:val="44"/>
        </w:rPr>
      </w:pPr>
    </w:p>
    <w:p>
      <w:pPr>
        <w:ind w:firstLine="880"/>
        <w:rPr>
          <w:rFonts w:eastAsia="黑体" w:cs="Times New Roman"/>
          <w:sz w:val="44"/>
          <w:szCs w:val="44"/>
        </w:rPr>
      </w:pPr>
    </w:p>
    <w:p>
      <w:pPr>
        <w:ind w:firstLine="880"/>
        <w:rPr>
          <w:rFonts w:eastAsia="黑体" w:cs="Times New Roman"/>
          <w:sz w:val="44"/>
          <w:szCs w:val="44"/>
        </w:rPr>
      </w:pPr>
    </w:p>
    <w:p>
      <w:pPr>
        <w:spacing w:line="560" w:lineRule="exact"/>
        <w:ind w:firstLine="223" w:firstLineChars="62"/>
        <w:jc w:val="center"/>
        <w:rPr>
          <w:rFonts w:eastAsia="方正小标宋简体" w:cs="Times New Roman"/>
          <w:sz w:val="36"/>
          <w:szCs w:val="36"/>
        </w:rPr>
      </w:pPr>
      <w:r>
        <w:rPr>
          <w:rFonts w:eastAsia="方正小标宋简体" w:cs="Times New Roman"/>
          <w:sz w:val="36"/>
          <w:szCs w:val="36"/>
        </w:rPr>
        <w:t>柳州市人民政府</w:t>
      </w:r>
    </w:p>
    <w:p>
      <w:pPr>
        <w:spacing w:line="560" w:lineRule="exact"/>
        <w:ind w:firstLine="223" w:firstLineChars="62"/>
        <w:jc w:val="center"/>
        <w:rPr>
          <w:rFonts w:eastAsia="黑体" w:cs="Times New Roman"/>
          <w:sz w:val="36"/>
          <w:szCs w:val="36"/>
        </w:rPr>
      </w:pPr>
      <w:r>
        <w:rPr>
          <w:rFonts w:eastAsia="方正小标宋简体" w:cs="Times New Roman"/>
          <w:sz w:val="36"/>
          <w:szCs w:val="36"/>
        </w:rPr>
        <w:t>2019年12月</w:t>
      </w:r>
    </w:p>
    <w:p>
      <w:pPr>
        <w:spacing w:after="240"/>
        <w:ind w:firstLine="0" w:firstLineChars="0"/>
        <w:rPr>
          <w:rFonts w:eastAsia="黑体" w:cs="Times New Roman"/>
          <w:b/>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701" w:bottom="1418" w:left="1701" w:header="851" w:footer="992" w:gutter="0"/>
          <w:pgNumType w:fmt="upperRoman" w:start="1"/>
          <w:cols w:space="425" w:num="1"/>
          <w:docGrid w:type="linesAndChars" w:linePitch="312" w:charSpace="0"/>
        </w:sectPr>
      </w:pPr>
    </w:p>
    <w:p>
      <w:pPr>
        <w:spacing w:after="240"/>
        <w:ind w:firstLine="0" w:firstLineChars="0"/>
        <w:rPr>
          <w:rFonts w:ascii="黑体" w:hAnsi="黑体" w:eastAsia="黑体"/>
          <w:b/>
          <w:sz w:val="36"/>
          <w:szCs w:val="36"/>
        </w:rPr>
      </w:pPr>
    </w:p>
    <w:p>
      <w:pPr>
        <w:pStyle w:val="2"/>
        <w:ind w:firstLine="723"/>
        <w:rPr>
          <w:rFonts w:ascii="黑体" w:hAnsi="黑体" w:eastAsia="黑体"/>
          <w:b/>
          <w:sz w:val="36"/>
          <w:szCs w:val="36"/>
        </w:rPr>
      </w:pPr>
    </w:p>
    <w:p>
      <w:pPr>
        <w:pStyle w:val="2"/>
        <w:ind w:firstLine="723"/>
        <w:rPr>
          <w:rFonts w:ascii="黑体" w:hAnsi="黑体" w:eastAsia="黑体"/>
          <w:b/>
          <w:sz w:val="36"/>
          <w:szCs w:val="36"/>
        </w:rPr>
      </w:pPr>
    </w:p>
    <w:p>
      <w:pPr>
        <w:pStyle w:val="2"/>
        <w:ind w:firstLine="723"/>
        <w:rPr>
          <w:rFonts w:ascii="黑体" w:hAnsi="黑体" w:eastAsia="黑体"/>
          <w:b/>
          <w:sz w:val="36"/>
          <w:szCs w:val="36"/>
        </w:rPr>
      </w:pPr>
    </w:p>
    <w:p>
      <w:pPr>
        <w:pStyle w:val="2"/>
        <w:ind w:firstLine="723"/>
        <w:rPr>
          <w:rFonts w:ascii="黑体" w:hAnsi="黑体" w:eastAsia="黑体"/>
          <w:b/>
          <w:sz w:val="36"/>
          <w:szCs w:val="36"/>
        </w:rPr>
        <w:sectPr>
          <w:footerReference r:id="rId11" w:type="default"/>
          <w:pgSz w:w="11906" w:h="16838"/>
          <w:pgMar w:top="1418" w:right="1701" w:bottom="1418" w:left="1701" w:header="851" w:footer="992" w:gutter="0"/>
          <w:pgNumType w:fmt="upperRoman"/>
          <w:cols w:space="425" w:num="1"/>
          <w:docGrid w:type="linesAndChars" w:linePitch="312" w:charSpace="0"/>
        </w:sectPr>
      </w:pPr>
    </w:p>
    <w:p>
      <w:pPr>
        <w:ind w:firstLine="643"/>
        <w:jc w:val="center"/>
        <w:outlineLvl w:val="0"/>
        <w:rPr>
          <w:rFonts w:eastAsia="黑体"/>
          <w:b/>
          <w:bCs/>
          <w:szCs w:val="32"/>
        </w:rPr>
      </w:pPr>
      <w:bookmarkStart w:id="0" w:name="_Toc9879"/>
      <w:bookmarkStart w:id="1" w:name="_Toc1093"/>
      <w:bookmarkStart w:id="2" w:name="_Toc10260"/>
      <w:bookmarkStart w:id="3" w:name="_Toc3871"/>
      <w:bookmarkStart w:id="4" w:name="_Toc24415"/>
      <w:bookmarkStart w:id="5" w:name="_Toc29378"/>
      <w:r>
        <w:rPr>
          <w:rFonts w:eastAsia="黑体"/>
          <w:b/>
          <w:bCs/>
          <w:szCs w:val="32"/>
        </w:rPr>
        <w:t>前  言</w:t>
      </w:r>
      <w:bookmarkEnd w:id="0"/>
      <w:bookmarkEnd w:id="1"/>
      <w:bookmarkEnd w:id="2"/>
      <w:bookmarkEnd w:id="3"/>
      <w:bookmarkEnd w:id="4"/>
      <w:bookmarkEnd w:id="5"/>
    </w:p>
    <w:p>
      <w:pPr>
        <w:pStyle w:val="23"/>
        <w:spacing w:line="600" w:lineRule="atLeast"/>
        <w:ind w:left="0" w:leftChars="0" w:firstLine="640"/>
        <w:rPr>
          <w:rFonts w:eastAsia="仿宋"/>
          <w:color w:val="000000"/>
          <w:sz w:val="32"/>
          <w:szCs w:val="32"/>
        </w:rPr>
      </w:pPr>
      <w:r>
        <w:rPr>
          <w:rFonts w:eastAsia="仿宋"/>
          <w:color w:val="000000"/>
          <w:sz w:val="32"/>
          <w:szCs w:val="32"/>
        </w:rPr>
        <w:t>党的十八大以来，以习近平同志为核心的党中央把生态文明建设作为统筹推进“五位一体”总体布局和协调推进“四个全面”战略布局的重要内容，开展了一系列根本性、开创性、长远性工作，提出一系列新理念新思想新战略，形成了习近平生态文明思想。坚持人与自然和谐共生，保护生态环境，促进绿色发展，建设美丽中国等是习近平生态文明思想的基本要求，也是习近平新时代中国特色社会主义思想的重要组成部分。</w:t>
      </w:r>
    </w:p>
    <w:p>
      <w:pPr>
        <w:pStyle w:val="23"/>
        <w:spacing w:line="600" w:lineRule="atLeast"/>
        <w:ind w:left="0" w:leftChars="0" w:firstLine="640"/>
        <w:rPr>
          <w:rFonts w:eastAsia="仿宋"/>
          <w:color w:val="000000"/>
          <w:sz w:val="32"/>
          <w:szCs w:val="32"/>
        </w:rPr>
      </w:pPr>
      <w:r>
        <w:rPr>
          <w:rFonts w:eastAsia="仿宋"/>
          <w:color w:val="000000"/>
          <w:sz w:val="32"/>
          <w:szCs w:val="32"/>
        </w:rPr>
        <w:t>为贯彻落实生态文明体制改革，自治区人民政府于2017年8月印发了《广西生态文明体制改革实施方案》，提出广西特色生态文明制度体系。2018年全区生态环境保护大会上，自治区</w:t>
      </w:r>
      <w:r>
        <w:rPr>
          <w:rFonts w:hint="eastAsia" w:eastAsia="仿宋"/>
          <w:color w:val="000000"/>
          <w:sz w:val="32"/>
          <w:szCs w:val="32"/>
        </w:rPr>
        <w:t>人民</w:t>
      </w:r>
      <w:r>
        <w:rPr>
          <w:rFonts w:eastAsia="仿宋"/>
          <w:color w:val="000000"/>
          <w:sz w:val="32"/>
          <w:szCs w:val="32"/>
        </w:rPr>
        <w:t>政府也明确了坚决打好污染防治攻坚战，大力推进生态文明建设和生态环境保护，坚定不移走具有广西特色的绿色发展道路。</w:t>
      </w:r>
    </w:p>
    <w:p>
      <w:pPr>
        <w:pStyle w:val="2"/>
        <w:ind w:firstLine="640"/>
        <w:rPr>
          <w:rFonts w:ascii="黑体" w:hAnsi="黑体" w:eastAsia="黑体"/>
          <w:b/>
          <w:sz w:val="36"/>
          <w:szCs w:val="36"/>
        </w:rPr>
      </w:pPr>
      <w:r>
        <w:rPr>
          <w:rFonts w:eastAsia="仿宋"/>
          <w:color w:val="000000"/>
          <w:szCs w:val="32"/>
        </w:rPr>
        <w:t>为进一步增强</w:t>
      </w:r>
      <w:r>
        <w:rPr>
          <w:rFonts w:hint="eastAsia" w:eastAsia="仿宋"/>
          <w:color w:val="000000"/>
          <w:szCs w:val="32"/>
        </w:rPr>
        <w:t>柳州市</w:t>
      </w:r>
      <w:r>
        <w:rPr>
          <w:rFonts w:eastAsia="仿宋"/>
          <w:color w:val="000000"/>
          <w:szCs w:val="32"/>
        </w:rPr>
        <w:t>人民群众的获得感、幸福感，巩固和提升</w:t>
      </w:r>
      <w:r>
        <w:rPr>
          <w:rFonts w:hint="eastAsia" w:eastAsia="仿宋"/>
          <w:color w:val="000000"/>
          <w:szCs w:val="32"/>
        </w:rPr>
        <w:t>柳州市</w:t>
      </w:r>
      <w:r>
        <w:rPr>
          <w:rFonts w:eastAsia="仿宋"/>
          <w:color w:val="000000"/>
          <w:szCs w:val="32"/>
        </w:rPr>
        <w:t>生态文明建设成果。2018年，</w:t>
      </w:r>
      <w:r>
        <w:rPr>
          <w:rFonts w:hint="eastAsia" w:eastAsia="仿宋"/>
          <w:color w:val="000000"/>
          <w:szCs w:val="32"/>
        </w:rPr>
        <w:t>柳州市</w:t>
      </w:r>
      <w:r>
        <w:rPr>
          <w:rFonts w:eastAsia="仿宋"/>
          <w:color w:val="000000"/>
          <w:szCs w:val="32"/>
        </w:rPr>
        <w:t>委、政府提出了</w:t>
      </w:r>
      <w:r>
        <w:rPr>
          <w:rFonts w:hint="eastAsia" w:eastAsia="仿宋"/>
          <w:color w:val="000000"/>
          <w:szCs w:val="32"/>
        </w:rPr>
        <w:t>创建</w:t>
      </w:r>
      <w:r>
        <w:rPr>
          <w:rFonts w:eastAsia="仿宋"/>
          <w:color w:val="000000"/>
          <w:szCs w:val="32"/>
        </w:rPr>
        <w:t>国家生态文明建设示范</w:t>
      </w:r>
      <w:r>
        <w:rPr>
          <w:rFonts w:hint="eastAsia" w:eastAsia="仿宋"/>
          <w:color w:val="000000"/>
          <w:szCs w:val="32"/>
        </w:rPr>
        <w:t>市</w:t>
      </w:r>
      <w:r>
        <w:rPr>
          <w:rFonts w:eastAsia="仿宋"/>
          <w:color w:val="000000"/>
          <w:szCs w:val="32"/>
        </w:rPr>
        <w:t>决定。依据相关规程文件，</w:t>
      </w:r>
      <w:r>
        <w:rPr>
          <w:rFonts w:hint="eastAsia" w:eastAsia="仿宋"/>
          <w:color w:val="000000"/>
          <w:szCs w:val="32"/>
        </w:rPr>
        <w:t>柳州市人民</w:t>
      </w:r>
      <w:r>
        <w:rPr>
          <w:rFonts w:eastAsia="仿宋"/>
          <w:color w:val="000000"/>
          <w:szCs w:val="32"/>
        </w:rPr>
        <w:t>政府组织</w:t>
      </w:r>
      <w:r>
        <w:rPr>
          <w:rFonts w:eastAsia="仿宋"/>
          <w:szCs w:val="32"/>
        </w:rPr>
        <w:t>编制了《</w:t>
      </w:r>
      <w:r>
        <w:rPr>
          <w:rFonts w:hint="eastAsia" w:eastAsia="仿宋"/>
          <w:szCs w:val="32"/>
        </w:rPr>
        <w:t>柳</w:t>
      </w:r>
      <w:r>
        <w:rPr>
          <w:rFonts w:hint="eastAsia" w:eastAsia="仿宋"/>
          <w:color w:val="000000"/>
          <w:szCs w:val="32"/>
        </w:rPr>
        <w:t>州市</w:t>
      </w:r>
      <w:r>
        <w:rPr>
          <w:rFonts w:eastAsia="仿宋"/>
          <w:color w:val="000000"/>
          <w:szCs w:val="32"/>
        </w:rPr>
        <w:t>国家生态文明建设示范</w:t>
      </w:r>
      <w:r>
        <w:rPr>
          <w:rFonts w:hint="eastAsia" w:eastAsia="仿宋"/>
          <w:color w:val="000000"/>
          <w:szCs w:val="32"/>
        </w:rPr>
        <w:t>市</w:t>
      </w:r>
      <w:r>
        <w:rPr>
          <w:rFonts w:eastAsia="仿宋"/>
          <w:color w:val="000000"/>
          <w:szCs w:val="32"/>
        </w:rPr>
        <w:t>规划（2019-20</w:t>
      </w:r>
      <w:r>
        <w:rPr>
          <w:rFonts w:hint="eastAsia" w:eastAsia="仿宋"/>
          <w:color w:val="000000"/>
          <w:szCs w:val="32"/>
        </w:rPr>
        <w:t>30年</w:t>
      </w:r>
      <w:r>
        <w:rPr>
          <w:rFonts w:eastAsia="仿宋"/>
          <w:color w:val="000000"/>
          <w:szCs w:val="32"/>
        </w:rPr>
        <w:t>）》（以下简称“规划”）。规划按照国家生态文明建设总体部署要求，全面分析了</w:t>
      </w:r>
      <w:r>
        <w:rPr>
          <w:rFonts w:hint="eastAsia" w:eastAsia="仿宋"/>
          <w:color w:val="000000"/>
          <w:szCs w:val="32"/>
        </w:rPr>
        <w:t>柳州市</w:t>
      </w:r>
      <w:r>
        <w:rPr>
          <w:rFonts w:eastAsia="仿宋"/>
          <w:color w:val="000000"/>
          <w:szCs w:val="32"/>
        </w:rPr>
        <w:t>生态文明建设的基础与条件，提出了生态文明建设的指导思想、基本原则和预期目标，明确了生态文明示范</w:t>
      </w:r>
      <w:r>
        <w:rPr>
          <w:rFonts w:hint="eastAsia" w:eastAsia="仿宋"/>
          <w:color w:val="000000"/>
          <w:szCs w:val="32"/>
        </w:rPr>
        <w:t>市</w:t>
      </w:r>
      <w:r>
        <w:rPr>
          <w:rFonts w:eastAsia="仿宋"/>
          <w:color w:val="000000"/>
          <w:szCs w:val="32"/>
        </w:rPr>
        <w:t>创建的主要任务和重点建设项目，并提出</w:t>
      </w:r>
      <w:r>
        <w:rPr>
          <w:rFonts w:hint="eastAsia" w:eastAsia="仿宋"/>
          <w:color w:val="000000"/>
          <w:szCs w:val="32"/>
        </w:rPr>
        <w:t>对</w:t>
      </w:r>
      <w:r>
        <w:rPr>
          <w:rFonts w:eastAsia="仿宋"/>
          <w:color w:val="000000"/>
          <w:szCs w:val="32"/>
        </w:rPr>
        <w:t>策措施</w:t>
      </w:r>
      <w:r>
        <w:rPr>
          <w:rFonts w:hint="eastAsia" w:eastAsia="仿宋"/>
          <w:color w:val="000000"/>
          <w:szCs w:val="32"/>
        </w:rPr>
        <w:t>，</w:t>
      </w:r>
      <w:r>
        <w:rPr>
          <w:rFonts w:eastAsia="仿宋"/>
          <w:color w:val="000000"/>
          <w:szCs w:val="32"/>
        </w:rPr>
        <w:t>旨在进一步提高</w:t>
      </w:r>
      <w:r>
        <w:rPr>
          <w:rFonts w:hint="eastAsia" w:eastAsia="仿宋"/>
          <w:color w:val="000000"/>
          <w:szCs w:val="32"/>
        </w:rPr>
        <w:t>柳州市</w:t>
      </w:r>
      <w:r>
        <w:rPr>
          <w:rFonts w:eastAsia="仿宋"/>
          <w:color w:val="000000"/>
          <w:szCs w:val="32"/>
        </w:rPr>
        <w:t>的生态文明建设水平，确保</w:t>
      </w:r>
      <w:r>
        <w:rPr>
          <w:rFonts w:hint="eastAsia" w:eastAsia="仿宋"/>
          <w:color w:val="000000"/>
          <w:szCs w:val="32"/>
        </w:rPr>
        <w:t>柳州市</w:t>
      </w:r>
      <w:r>
        <w:rPr>
          <w:rFonts w:eastAsia="仿宋"/>
          <w:color w:val="000000"/>
          <w:szCs w:val="32"/>
        </w:rPr>
        <w:t>顺利建成</w:t>
      </w:r>
      <w:r>
        <w:rPr>
          <w:rFonts w:hint="eastAsia" w:eastAsia="仿宋"/>
          <w:color w:val="000000"/>
          <w:szCs w:val="32"/>
        </w:rPr>
        <w:t>国家</w:t>
      </w:r>
      <w:r>
        <w:rPr>
          <w:rFonts w:eastAsia="仿宋"/>
          <w:color w:val="000000"/>
          <w:szCs w:val="32"/>
        </w:rPr>
        <w:t>生态文明建设示范</w:t>
      </w:r>
      <w:r>
        <w:rPr>
          <w:rFonts w:hint="eastAsia" w:eastAsia="仿宋"/>
          <w:color w:val="000000"/>
          <w:szCs w:val="32"/>
        </w:rPr>
        <w:t>市</w:t>
      </w:r>
      <w:r>
        <w:rPr>
          <w:rFonts w:eastAsia="仿宋"/>
          <w:color w:val="000000"/>
          <w:szCs w:val="32"/>
        </w:rPr>
        <w:t>。</w:t>
      </w:r>
    </w:p>
    <w:p>
      <w:pPr>
        <w:pStyle w:val="2"/>
        <w:ind w:firstLine="723"/>
        <w:rPr>
          <w:rFonts w:ascii="黑体" w:hAnsi="黑体" w:eastAsia="黑体"/>
          <w:b/>
          <w:sz w:val="36"/>
          <w:szCs w:val="36"/>
        </w:rPr>
      </w:pPr>
    </w:p>
    <w:p>
      <w:pPr>
        <w:pStyle w:val="2"/>
        <w:ind w:firstLine="723"/>
        <w:rPr>
          <w:rFonts w:ascii="黑体" w:hAnsi="黑体" w:eastAsia="黑体"/>
          <w:b/>
          <w:sz w:val="36"/>
          <w:szCs w:val="36"/>
        </w:rPr>
      </w:pPr>
    </w:p>
    <w:p>
      <w:pPr>
        <w:pStyle w:val="2"/>
        <w:ind w:firstLine="723"/>
        <w:rPr>
          <w:rFonts w:ascii="黑体" w:hAnsi="黑体" w:eastAsia="黑体"/>
          <w:b/>
          <w:sz w:val="36"/>
          <w:szCs w:val="36"/>
        </w:rPr>
      </w:pPr>
    </w:p>
    <w:p>
      <w:pPr>
        <w:pStyle w:val="2"/>
        <w:ind w:firstLine="723"/>
        <w:rPr>
          <w:rFonts w:ascii="黑体" w:hAnsi="黑体" w:eastAsia="黑体"/>
          <w:b/>
          <w:sz w:val="36"/>
          <w:szCs w:val="36"/>
        </w:rPr>
        <w:sectPr>
          <w:footerReference r:id="rId12" w:type="default"/>
          <w:pgSz w:w="11906" w:h="16838"/>
          <w:pgMar w:top="1418" w:right="1701" w:bottom="1418" w:left="1701" w:header="851" w:footer="992" w:gutter="0"/>
          <w:pgNumType w:fmt="upperRoman" w:start="1"/>
          <w:cols w:space="425" w:num="1"/>
          <w:docGrid w:type="linesAndChars" w:linePitch="312" w:charSpace="0"/>
        </w:sectPr>
      </w:pPr>
    </w:p>
    <w:p>
      <w:pPr>
        <w:spacing w:after="240"/>
        <w:ind w:firstLine="0" w:firstLineChars="0"/>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目  录</w:t>
      </w:r>
    </w:p>
    <w:p>
      <w:pPr>
        <w:pStyle w:val="18"/>
        <w:tabs>
          <w:tab w:val="right" w:leader="dot" w:pos="8278"/>
          <w:tab w:val="clear" w:pos="8296"/>
        </w:tabs>
        <w:rPr>
          <w:rFonts w:eastAsia="仿宋_GB2312" w:cs="Times New Roman"/>
          <w:sz w:val="28"/>
          <w:szCs w:val="28"/>
        </w:rPr>
      </w:pPr>
      <w:r>
        <w:rPr>
          <w:rFonts w:eastAsia="仿宋_GB2312" w:cs="Times New Roman"/>
          <w:sz w:val="28"/>
          <w:szCs w:val="28"/>
        </w:rPr>
        <w:fldChar w:fldCharType="begin"/>
      </w:r>
      <w:r>
        <w:rPr>
          <w:rFonts w:eastAsia="仿宋_GB2312" w:cs="Times New Roman"/>
          <w:sz w:val="28"/>
          <w:szCs w:val="28"/>
        </w:rPr>
        <w:instrText xml:space="preserve">TOC \o "1-2" \h \u </w:instrText>
      </w:r>
      <w:r>
        <w:rPr>
          <w:rFonts w:eastAsia="仿宋_GB2312" w:cs="Times New Roman"/>
          <w:sz w:val="28"/>
          <w:szCs w:val="28"/>
        </w:rPr>
        <w:fldChar w:fldCharType="separate"/>
      </w:r>
      <w:r>
        <w:fldChar w:fldCharType="begin"/>
      </w:r>
      <w:r>
        <w:instrText xml:space="preserve"> HYPERLINK \l "_Toc29378" </w:instrText>
      </w:r>
      <w:r>
        <w:fldChar w:fldCharType="separate"/>
      </w:r>
      <w:r>
        <w:rPr>
          <w:rFonts w:eastAsia="仿宋_GB2312" w:cs="Times New Roman"/>
          <w:bCs/>
          <w:sz w:val="28"/>
          <w:szCs w:val="28"/>
        </w:rPr>
        <w:t>前  言</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_Toc29378 </w:instrText>
      </w:r>
      <w:r>
        <w:rPr>
          <w:rFonts w:eastAsia="仿宋_GB2312" w:cs="Times New Roman"/>
          <w:sz w:val="28"/>
          <w:szCs w:val="28"/>
        </w:rPr>
        <w:fldChar w:fldCharType="separate"/>
      </w:r>
      <w:r>
        <w:rPr>
          <w:rFonts w:eastAsia="仿宋_GB2312" w:cs="Times New Roman"/>
          <w:sz w:val="28"/>
          <w:szCs w:val="28"/>
        </w:rPr>
        <w:t>I</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"_Toc18285" </w:instrText>
      </w:r>
      <w:r>
        <w:fldChar w:fldCharType="separate"/>
      </w:r>
      <w:r>
        <w:rPr>
          <w:rFonts w:eastAsia="仿宋_GB2312" w:cs="Times New Roman"/>
          <w:sz w:val="28"/>
          <w:szCs w:val="28"/>
        </w:rPr>
        <w:t>第一章  规划总则</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_Toc18285 </w:instrText>
      </w:r>
      <w:r>
        <w:rPr>
          <w:rFonts w:eastAsia="仿宋_GB2312" w:cs="Times New Roman"/>
          <w:sz w:val="28"/>
          <w:szCs w:val="28"/>
        </w:rPr>
        <w:fldChar w:fldCharType="separate"/>
      </w:r>
      <w:r>
        <w:rPr>
          <w:rFonts w:eastAsia="仿宋_GB2312" w:cs="Times New Roman"/>
          <w:sz w:val="28"/>
          <w:szCs w:val="28"/>
        </w:rPr>
        <w:t>1</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"_Toc20677" </w:instrText>
      </w:r>
      <w:r>
        <w:fldChar w:fldCharType="separate"/>
      </w:r>
      <w:r>
        <w:rPr>
          <w:rFonts w:eastAsia="仿宋_GB2312" w:cs="Times New Roman"/>
          <w:sz w:val="28"/>
          <w:szCs w:val="28"/>
        </w:rPr>
        <w:t>一、指导思想</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_Toc20677 </w:instrText>
      </w:r>
      <w:r>
        <w:rPr>
          <w:rFonts w:eastAsia="仿宋_GB2312" w:cs="Times New Roman"/>
          <w:sz w:val="28"/>
          <w:szCs w:val="28"/>
        </w:rPr>
        <w:fldChar w:fldCharType="separate"/>
      </w:r>
      <w:r>
        <w:rPr>
          <w:rFonts w:eastAsia="仿宋_GB2312" w:cs="Times New Roman"/>
          <w:sz w:val="28"/>
          <w:szCs w:val="28"/>
        </w:rPr>
        <w:t>1</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"_Toc27751" </w:instrText>
      </w:r>
      <w:r>
        <w:fldChar w:fldCharType="separate"/>
      </w:r>
      <w:r>
        <w:rPr>
          <w:rFonts w:eastAsia="仿宋_GB2312" w:cs="Times New Roman"/>
          <w:sz w:val="28"/>
          <w:szCs w:val="28"/>
        </w:rPr>
        <w:t>二、基本原则</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_Toc27751 </w:instrText>
      </w:r>
      <w:r>
        <w:rPr>
          <w:rFonts w:eastAsia="仿宋_GB2312" w:cs="Times New Roman"/>
          <w:sz w:val="28"/>
          <w:szCs w:val="28"/>
        </w:rPr>
        <w:fldChar w:fldCharType="separate"/>
      </w:r>
      <w:r>
        <w:rPr>
          <w:rFonts w:eastAsia="仿宋_GB2312" w:cs="Times New Roman"/>
          <w:sz w:val="28"/>
          <w:szCs w:val="28"/>
        </w:rPr>
        <w:t>1</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"_Toc23965" </w:instrText>
      </w:r>
      <w:r>
        <w:fldChar w:fldCharType="separate"/>
      </w:r>
      <w:r>
        <w:rPr>
          <w:rFonts w:eastAsia="仿宋_GB2312" w:cs="Times New Roman"/>
          <w:sz w:val="28"/>
          <w:szCs w:val="28"/>
        </w:rPr>
        <w:t>三、编制依据</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_Toc23965 </w:instrText>
      </w:r>
      <w:r>
        <w:rPr>
          <w:rFonts w:eastAsia="仿宋_GB2312" w:cs="Times New Roman"/>
          <w:sz w:val="28"/>
          <w:szCs w:val="28"/>
        </w:rPr>
        <w:fldChar w:fldCharType="separate"/>
      </w:r>
      <w:r>
        <w:rPr>
          <w:rFonts w:eastAsia="仿宋_GB2312" w:cs="Times New Roman"/>
          <w:sz w:val="28"/>
          <w:szCs w:val="28"/>
        </w:rPr>
        <w:t>3</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"_Toc11681" </w:instrText>
      </w:r>
      <w:r>
        <w:fldChar w:fldCharType="separate"/>
      </w:r>
      <w:r>
        <w:rPr>
          <w:rFonts w:eastAsia="仿宋_GB2312" w:cs="Times New Roman"/>
          <w:sz w:val="28"/>
          <w:szCs w:val="28"/>
        </w:rPr>
        <w:t>四、规划范围与时限</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_Toc11681 </w:instrText>
      </w:r>
      <w:r>
        <w:rPr>
          <w:rFonts w:eastAsia="仿宋_GB2312" w:cs="Times New Roman"/>
          <w:sz w:val="28"/>
          <w:szCs w:val="28"/>
        </w:rPr>
        <w:fldChar w:fldCharType="separate"/>
      </w:r>
      <w:r>
        <w:rPr>
          <w:rFonts w:eastAsia="仿宋_GB2312" w:cs="Times New Roman"/>
          <w:sz w:val="28"/>
          <w:szCs w:val="28"/>
        </w:rPr>
        <w:t>9</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"_Toc11467" </w:instrText>
      </w:r>
      <w:r>
        <w:fldChar w:fldCharType="separate"/>
      </w:r>
      <w:r>
        <w:rPr>
          <w:rFonts w:eastAsia="仿宋_GB2312" w:cs="Times New Roman"/>
          <w:sz w:val="28"/>
          <w:szCs w:val="28"/>
        </w:rPr>
        <w:t>第二章 现状评估与趋势分析</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_Toc11467 </w:instrText>
      </w:r>
      <w:r>
        <w:rPr>
          <w:rFonts w:eastAsia="仿宋_GB2312" w:cs="Times New Roman"/>
          <w:sz w:val="28"/>
          <w:szCs w:val="28"/>
        </w:rPr>
        <w:fldChar w:fldCharType="separate"/>
      </w:r>
      <w:r>
        <w:rPr>
          <w:rFonts w:eastAsia="仿宋_GB2312" w:cs="Times New Roman"/>
          <w:sz w:val="28"/>
          <w:szCs w:val="28"/>
        </w:rPr>
        <w:t>10</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"_Toc25494" </w:instrText>
      </w:r>
      <w:r>
        <w:fldChar w:fldCharType="separate"/>
      </w:r>
      <w:r>
        <w:rPr>
          <w:rFonts w:eastAsia="仿宋_GB2312" w:cs="Times New Roman"/>
          <w:sz w:val="28"/>
          <w:szCs w:val="28"/>
        </w:rPr>
        <w:t>一、基础优势</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_Toc25494 </w:instrText>
      </w:r>
      <w:r>
        <w:rPr>
          <w:rFonts w:eastAsia="仿宋_GB2312" w:cs="Times New Roman"/>
          <w:sz w:val="28"/>
          <w:szCs w:val="28"/>
        </w:rPr>
        <w:fldChar w:fldCharType="separate"/>
      </w:r>
      <w:r>
        <w:rPr>
          <w:rFonts w:eastAsia="仿宋_GB2312" w:cs="Times New Roman"/>
          <w:sz w:val="28"/>
          <w:szCs w:val="28"/>
        </w:rPr>
        <w:t>10</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"_Toc23692" </w:instrText>
      </w:r>
      <w:r>
        <w:fldChar w:fldCharType="separate"/>
      </w:r>
      <w:r>
        <w:rPr>
          <w:rFonts w:eastAsia="仿宋_GB2312" w:cs="Times New Roman"/>
          <w:sz w:val="28"/>
          <w:szCs w:val="28"/>
        </w:rPr>
        <w:t>二、现状劣势</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_Toc23692 </w:instrText>
      </w:r>
      <w:r>
        <w:rPr>
          <w:rFonts w:eastAsia="仿宋_GB2312" w:cs="Times New Roman"/>
          <w:sz w:val="28"/>
          <w:szCs w:val="28"/>
        </w:rPr>
        <w:fldChar w:fldCharType="separate"/>
      </w:r>
      <w:r>
        <w:rPr>
          <w:rFonts w:eastAsia="仿宋_GB2312" w:cs="Times New Roman"/>
          <w:sz w:val="28"/>
          <w:szCs w:val="28"/>
        </w:rPr>
        <w:t>18</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"_Toc11035" </w:instrText>
      </w:r>
      <w:r>
        <w:fldChar w:fldCharType="separate"/>
      </w:r>
      <w:r>
        <w:rPr>
          <w:rFonts w:eastAsia="仿宋_GB2312" w:cs="Times New Roman"/>
          <w:sz w:val="28"/>
          <w:szCs w:val="28"/>
        </w:rPr>
        <w:t>三、面临的机遇</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_Toc11035 </w:instrText>
      </w:r>
      <w:r>
        <w:rPr>
          <w:rFonts w:eastAsia="仿宋_GB2312" w:cs="Times New Roman"/>
          <w:sz w:val="28"/>
          <w:szCs w:val="28"/>
        </w:rPr>
        <w:fldChar w:fldCharType="separate"/>
      </w:r>
      <w:r>
        <w:rPr>
          <w:rFonts w:eastAsia="仿宋_GB2312" w:cs="Times New Roman"/>
          <w:sz w:val="28"/>
          <w:szCs w:val="28"/>
        </w:rPr>
        <w:t>20</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"_Toc7888" </w:instrText>
      </w:r>
      <w:r>
        <w:fldChar w:fldCharType="separate"/>
      </w:r>
      <w:r>
        <w:rPr>
          <w:rFonts w:eastAsia="仿宋_GB2312" w:cs="Times New Roman"/>
          <w:sz w:val="28"/>
          <w:szCs w:val="28"/>
        </w:rPr>
        <w:t>四、面临的挑战</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_Toc7888 </w:instrText>
      </w:r>
      <w:r>
        <w:rPr>
          <w:rFonts w:eastAsia="仿宋_GB2312" w:cs="Times New Roman"/>
          <w:sz w:val="28"/>
          <w:szCs w:val="28"/>
        </w:rPr>
        <w:fldChar w:fldCharType="separate"/>
      </w:r>
      <w:r>
        <w:rPr>
          <w:rFonts w:eastAsia="仿宋_GB2312" w:cs="Times New Roman"/>
          <w:sz w:val="28"/>
          <w:szCs w:val="28"/>
        </w:rPr>
        <w:t>21</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"_Toc17017" </w:instrText>
      </w:r>
      <w:r>
        <w:fldChar w:fldCharType="separate"/>
      </w:r>
      <w:r>
        <w:rPr>
          <w:rFonts w:eastAsia="仿宋_GB2312" w:cs="Times New Roman"/>
          <w:sz w:val="28"/>
          <w:szCs w:val="28"/>
        </w:rPr>
        <w:t>第三章  规划目标与指标体系</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_Toc17017 </w:instrText>
      </w:r>
      <w:r>
        <w:rPr>
          <w:rFonts w:eastAsia="仿宋_GB2312" w:cs="Times New Roman"/>
          <w:sz w:val="28"/>
          <w:szCs w:val="28"/>
        </w:rPr>
        <w:fldChar w:fldCharType="separate"/>
      </w:r>
      <w:r>
        <w:rPr>
          <w:rFonts w:eastAsia="仿宋_GB2312" w:cs="Times New Roman"/>
          <w:sz w:val="28"/>
          <w:szCs w:val="28"/>
        </w:rPr>
        <w:t>23</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"_Toc17492" </w:instrText>
      </w:r>
      <w:r>
        <w:fldChar w:fldCharType="separate"/>
      </w:r>
      <w:r>
        <w:rPr>
          <w:rFonts w:eastAsia="仿宋_GB2312" w:cs="Times New Roman"/>
          <w:sz w:val="28"/>
          <w:szCs w:val="28"/>
        </w:rPr>
        <w:t>一、规划目标</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_Toc17492 </w:instrText>
      </w:r>
      <w:r>
        <w:rPr>
          <w:rFonts w:eastAsia="仿宋_GB2312" w:cs="Times New Roman"/>
          <w:sz w:val="28"/>
          <w:szCs w:val="28"/>
        </w:rPr>
        <w:fldChar w:fldCharType="separate"/>
      </w:r>
      <w:r>
        <w:rPr>
          <w:rFonts w:eastAsia="仿宋_GB2312" w:cs="Times New Roman"/>
          <w:sz w:val="28"/>
          <w:szCs w:val="28"/>
        </w:rPr>
        <w:t>23</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"_Toc31920" </w:instrText>
      </w:r>
      <w:r>
        <w:fldChar w:fldCharType="separate"/>
      </w:r>
      <w:r>
        <w:rPr>
          <w:rFonts w:eastAsia="仿宋_GB2312" w:cs="Times New Roman"/>
          <w:sz w:val="28"/>
          <w:szCs w:val="28"/>
        </w:rPr>
        <w:t>二、规划指标体系</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_Toc31920 </w:instrText>
      </w:r>
      <w:r>
        <w:rPr>
          <w:rFonts w:eastAsia="仿宋_GB2312" w:cs="Times New Roman"/>
          <w:sz w:val="28"/>
          <w:szCs w:val="28"/>
        </w:rPr>
        <w:fldChar w:fldCharType="separate"/>
      </w:r>
      <w:r>
        <w:rPr>
          <w:rFonts w:eastAsia="仿宋_GB2312" w:cs="Times New Roman"/>
          <w:sz w:val="28"/>
          <w:szCs w:val="28"/>
        </w:rPr>
        <w:t>24</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"_Toc19588" </w:instrText>
      </w:r>
      <w:r>
        <w:fldChar w:fldCharType="separate"/>
      </w:r>
      <w:r>
        <w:rPr>
          <w:rFonts w:eastAsia="仿宋_GB2312" w:cs="Times New Roman"/>
          <w:sz w:val="28"/>
          <w:szCs w:val="28"/>
        </w:rPr>
        <w:t>第四章  规划重点任务</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_Toc19588 </w:instrText>
      </w:r>
      <w:r>
        <w:rPr>
          <w:rFonts w:eastAsia="仿宋_GB2312" w:cs="Times New Roman"/>
          <w:sz w:val="28"/>
          <w:szCs w:val="28"/>
        </w:rPr>
        <w:fldChar w:fldCharType="separate"/>
      </w:r>
      <w:r>
        <w:rPr>
          <w:rFonts w:eastAsia="仿宋_GB2312" w:cs="Times New Roman"/>
          <w:sz w:val="28"/>
          <w:szCs w:val="28"/>
        </w:rPr>
        <w:t>32</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"_Toc6716" </w:instrText>
      </w:r>
      <w:r>
        <w:fldChar w:fldCharType="separate"/>
      </w:r>
      <w:r>
        <w:rPr>
          <w:rFonts w:eastAsia="仿宋_GB2312" w:cs="Times New Roman"/>
          <w:sz w:val="28"/>
          <w:szCs w:val="28"/>
        </w:rPr>
        <w:t>一、构建优化的生态空间</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_Toc6716 </w:instrText>
      </w:r>
      <w:r>
        <w:rPr>
          <w:rFonts w:eastAsia="仿宋_GB2312" w:cs="Times New Roman"/>
          <w:sz w:val="28"/>
          <w:szCs w:val="28"/>
        </w:rPr>
        <w:fldChar w:fldCharType="separate"/>
      </w:r>
      <w:r>
        <w:rPr>
          <w:rFonts w:eastAsia="仿宋_GB2312" w:cs="Times New Roman"/>
          <w:sz w:val="28"/>
          <w:szCs w:val="28"/>
        </w:rPr>
        <w:t>32</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"_Toc16809" </w:instrText>
      </w:r>
      <w:r>
        <w:fldChar w:fldCharType="separate"/>
      </w:r>
      <w:r>
        <w:rPr>
          <w:rFonts w:eastAsia="仿宋_GB2312" w:cs="Times New Roman"/>
          <w:sz w:val="28"/>
          <w:szCs w:val="28"/>
        </w:rPr>
        <w:t>二、发展绿色的生态经济</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_Toc16809 </w:instrText>
      </w:r>
      <w:r>
        <w:rPr>
          <w:rFonts w:eastAsia="仿宋_GB2312" w:cs="Times New Roman"/>
          <w:sz w:val="28"/>
          <w:szCs w:val="28"/>
        </w:rPr>
        <w:fldChar w:fldCharType="separate"/>
      </w:r>
      <w:r>
        <w:rPr>
          <w:rFonts w:eastAsia="仿宋_GB2312" w:cs="Times New Roman"/>
          <w:sz w:val="28"/>
          <w:szCs w:val="28"/>
        </w:rPr>
        <w:t>34</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"_Toc281" </w:instrText>
      </w:r>
      <w:r>
        <w:fldChar w:fldCharType="separate"/>
      </w:r>
      <w:r>
        <w:rPr>
          <w:rFonts w:eastAsia="仿宋_GB2312" w:cs="Times New Roman"/>
          <w:sz w:val="28"/>
          <w:szCs w:val="28"/>
        </w:rPr>
        <w:t>三、保护良好的生态环境</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_Toc281 </w:instrText>
      </w:r>
      <w:r>
        <w:rPr>
          <w:rFonts w:eastAsia="仿宋_GB2312" w:cs="Times New Roman"/>
          <w:sz w:val="28"/>
          <w:szCs w:val="28"/>
        </w:rPr>
        <w:fldChar w:fldCharType="separate"/>
      </w:r>
      <w:r>
        <w:rPr>
          <w:rFonts w:eastAsia="仿宋_GB2312" w:cs="Times New Roman"/>
          <w:sz w:val="28"/>
          <w:szCs w:val="28"/>
        </w:rPr>
        <w:t>41</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"_Toc11092" </w:instrText>
      </w:r>
      <w:r>
        <w:fldChar w:fldCharType="separate"/>
      </w:r>
      <w:r>
        <w:rPr>
          <w:rFonts w:eastAsia="仿宋_GB2312" w:cs="Times New Roman"/>
          <w:sz w:val="28"/>
          <w:szCs w:val="28"/>
        </w:rPr>
        <w:t>四、践行绿色的生态生活</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_Toc11092 </w:instrText>
      </w:r>
      <w:r>
        <w:rPr>
          <w:rFonts w:eastAsia="仿宋_GB2312" w:cs="Times New Roman"/>
          <w:sz w:val="28"/>
          <w:szCs w:val="28"/>
        </w:rPr>
        <w:fldChar w:fldCharType="separate"/>
      </w:r>
      <w:r>
        <w:rPr>
          <w:rFonts w:eastAsia="仿宋_GB2312" w:cs="Times New Roman"/>
          <w:sz w:val="28"/>
          <w:szCs w:val="28"/>
        </w:rPr>
        <w:t>52</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"_Toc5615" </w:instrText>
      </w:r>
      <w:r>
        <w:fldChar w:fldCharType="separate"/>
      </w:r>
      <w:r>
        <w:rPr>
          <w:rFonts w:eastAsia="仿宋_GB2312" w:cs="Times New Roman"/>
          <w:sz w:val="28"/>
          <w:szCs w:val="28"/>
        </w:rPr>
        <w:t>五、健全完善的生态制度</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_Toc5615 </w:instrText>
      </w:r>
      <w:r>
        <w:rPr>
          <w:rFonts w:eastAsia="仿宋_GB2312" w:cs="Times New Roman"/>
          <w:sz w:val="28"/>
          <w:szCs w:val="28"/>
        </w:rPr>
        <w:fldChar w:fldCharType="separate"/>
      </w:r>
      <w:r>
        <w:rPr>
          <w:rFonts w:eastAsia="仿宋_GB2312" w:cs="Times New Roman"/>
          <w:sz w:val="28"/>
          <w:szCs w:val="28"/>
        </w:rPr>
        <w:t>58</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"_Toc29033" </w:instrText>
      </w:r>
      <w:r>
        <w:fldChar w:fldCharType="separate"/>
      </w:r>
      <w:r>
        <w:rPr>
          <w:rFonts w:eastAsia="仿宋_GB2312" w:cs="Times New Roman"/>
          <w:sz w:val="28"/>
          <w:szCs w:val="28"/>
        </w:rPr>
        <w:t>六、弘扬科学的生态文化</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_Toc29033 </w:instrText>
      </w:r>
      <w:r>
        <w:rPr>
          <w:rFonts w:eastAsia="仿宋_GB2312" w:cs="Times New Roman"/>
          <w:sz w:val="28"/>
          <w:szCs w:val="28"/>
        </w:rPr>
        <w:fldChar w:fldCharType="separate"/>
      </w:r>
      <w:r>
        <w:rPr>
          <w:rFonts w:eastAsia="仿宋_GB2312" w:cs="Times New Roman"/>
          <w:sz w:val="28"/>
          <w:szCs w:val="28"/>
        </w:rPr>
        <w:t>65</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"_Toc18312" </w:instrText>
      </w:r>
      <w:r>
        <w:fldChar w:fldCharType="separate"/>
      </w:r>
      <w:r>
        <w:rPr>
          <w:rFonts w:eastAsia="仿宋_GB2312" w:cs="Times New Roman"/>
          <w:sz w:val="28"/>
          <w:szCs w:val="28"/>
        </w:rPr>
        <w:t>第五章  规划重点工程与效益分析</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_Toc18312 </w:instrText>
      </w:r>
      <w:r>
        <w:rPr>
          <w:rFonts w:eastAsia="仿宋_GB2312" w:cs="Times New Roman"/>
          <w:sz w:val="28"/>
          <w:szCs w:val="28"/>
        </w:rPr>
        <w:fldChar w:fldCharType="separate"/>
      </w:r>
      <w:r>
        <w:rPr>
          <w:rFonts w:eastAsia="仿宋_GB2312" w:cs="Times New Roman"/>
          <w:sz w:val="28"/>
          <w:szCs w:val="28"/>
        </w:rPr>
        <w:t>69</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"_Toc7223" </w:instrText>
      </w:r>
      <w:r>
        <w:fldChar w:fldCharType="separate"/>
      </w:r>
      <w:r>
        <w:rPr>
          <w:rFonts w:eastAsia="仿宋_GB2312" w:cs="Times New Roman"/>
          <w:sz w:val="28"/>
          <w:szCs w:val="28"/>
        </w:rPr>
        <w:t>一、重点工程</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_Toc7223 </w:instrText>
      </w:r>
      <w:r>
        <w:rPr>
          <w:rFonts w:eastAsia="仿宋_GB2312" w:cs="Times New Roman"/>
          <w:sz w:val="28"/>
          <w:szCs w:val="28"/>
        </w:rPr>
        <w:fldChar w:fldCharType="separate"/>
      </w:r>
      <w:r>
        <w:rPr>
          <w:rFonts w:eastAsia="仿宋_GB2312" w:cs="Times New Roman"/>
          <w:sz w:val="28"/>
          <w:szCs w:val="28"/>
        </w:rPr>
        <w:t>69</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"_Toc9976" </w:instrText>
      </w:r>
      <w:r>
        <w:fldChar w:fldCharType="separate"/>
      </w:r>
      <w:r>
        <w:rPr>
          <w:rFonts w:eastAsia="仿宋_GB2312" w:cs="Times New Roman"/>
          <w:sz w:val="28"/>
          <w:szCs w:val="28"/>
        </w:rPr>
        <w:t>二、效益分析</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_Toc9976 </w:instrText>
      </w:r>
      <w:r>
        <w:rPr>
          <w:rFonts w:eastAsia="仿宋_GB2312" w:cs="Times New Roman"/>
          <w:sz w:val="28"/>
          <w:szCs w:val="28"/>
        </w:rPr>
        <w:fldChar w:fldCharType="separate"/>
      </w:r>
      <w:r>
        <w:rPr>
          <w:rFonts w:eastAsia="仿宋_GB2312" w:cs="Times New Roman"/>
          <w:sz w:val="28"/>
          <w:szCs w:val="28"/>
        </w:rPr>
        <w:t>70</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"_Toc629" </w:instrText>
      </w:r>
      <w:r>
        <w:fldChar w:fldCharType="separate"/>
      </w:r>
      <w:r>
        <w:rPr>
          <w:rFonts w:eastAsia="仿宋_GB2312" w:cs="Times New Roman"/>
          <w:sz w:val="28"/>
          <w:szCs w:val="28"/>
        </w:rPr>
        <w:t>第六章  规划保障措施</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_Toc629 </w:instrText>
      </w:r>
      <w:r>
        <w:rPr>
          <w:rFonts w:eastAsia="仿宋_GB2312" w:cs="Times New Roman"/>
          <w:sz w:val="28"/>
          <w:szCs w:val="28"/>
        </w:rPr>
        <w:fldChar w:fldCharType="separate"/>
      </w:r>
      <w:r>
        <w:rPr>
          <w:rFonts w:eastAsia="仿宋_GB2312" w:cs="Times New Roman"/>
          <w:sz w:val="28"/>
          <w:szCs w:val="28"/>
        </w:rPr>
        <w:t>79</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"_Toc31278" </w:instrText>
      </w:r>
      <w:r>
        <w:fldChar w:fldCharType="separate"/>
      </w:r>
      <w:r>
        <w:rPr>
          <w:rFonts w:eastAsia="仿宋_GB2312" w:cs="Times New Roman"/>
          <w:sz w:val="28"/>
          <w:szCs w:val="28"/>
        </w:rPr>
        <w:t>一、法制保障</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_Toc31278 </w:instrText>
      </w:r>
      <w:r>
        <w:rPr>
          <w:rFonts w:eastAsia="仿宋_GB2312" w:cs="Times New Roman"/>
          <w:sz w:val="28"/>
          <w:szCs w:val="28"/>
        </w:rPr>
        <w:fldChar w:fldCharType="separate"/>
      </w:r>
      <w:r>
        <w:rPr>
          <w:rFonts w:eastAsia="仿宋_GB2312" w:cs="Times New Roman"/>
          <w:sz w:val="28"/>
          <w:szCs w:val="28"/>
        </w:rPr>
        <w:t>79</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"_Toc15401" </w:instrText>
      </w:r>
      <w:r>
        <w:fldChar w:fldCharType="separate"/>
      </w:r>
      <w:r>
        <w:rPr>
          <w:rFonts w:eastAsia="仿宋_GB2312" w:cs="Times New Roman"/>
          <w:sz w:val="28"/>
          <w:szCs w:val="28"/>
        </w:rPr>
        <w:t>二、组织保障</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_Toc15401 </w:instrText>
      </w:r>
      <w:r>
        <w:rPr>
          <w:rFonts w:eastAsia="仿宋_GB2312" w:cs="Times New Roman"/>
          <w:sz w:val="28"/>
          <w:szCs w:val="28"/>
        </w:rPr>
        <w:fldChar w:fldCharType="separate"/>
      </w:r>
      <w:r>
        <w:rPr>
          <w:rFonts w:eastAsia="仿宋_GB2312" w:cs="Times New Roman"/>
          <w:sz w:val="28"/>
          <w:szCs w:val="28"/>
        </w:rPr>
        <w:t>79</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"_Toc25526" </w:instrText>
      </w:r>
      <w:r>
        <w:fldChar w:fldCharType="separate"/>
      </w:r>
      <w:r>
        <w:rPr>
          <w:rFonts w:eastAsia="仿宋_GB2312" w:cs="Times New Roman"/>
          <w:sz w:val="28"/>
          <w:szCs w:val="28"/>
        </w:rPr>
        <w:t>三、资金保障</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_Toc25526 </w:instrText>
      </w:r>
      <w:r>
        <w:rPr>
          <w:rFonts w:eastAsia="仿宋_GB2312" w:cs="Times New Roman"/>
          <w:sz w:val="28"/>
          <w:szCs w:val="28"/>
        </w:rPr>
        <w:fldChar w:fldCharType="separate"/>
      </w:r>
      <w:r>
        <w:rPr>
          <w:rFonts w:eastAsia="仿宋_GB2312" w:cs="Times New Roman"/>
          <w:sz w:val="28"/>
          <w:szCs w:val="28"/>
        </w:rPr>
        <w:t>80</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"_Toc10688" </w:instrText>
      </w:r>
      <w:r>
        <w:fldChar w:fldCharType="separate"/>
      </w:r>
      <w:r>
        <w:rPr>
          <w:rFonts w:eastAsia="仿宋_GB2312" w:cs="Times New Roman"/>
          <w:sz w:val="28"/>
          <w:szCs w:val="28"/>
        </w:rPr>
        <w:t>四、技术保障</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_Toc10688 </w:instrText>
      </w:r>
      <w:r>
        <w:rPr>
          <w:rFonts w:eastAsia="仿宋_GB2312" w:cs="Times New Roman"/>
          <w:sz w:val="28"/>
          <w:szCs w:val="28"/>
        </w:rPr>
        <w:fldChar w:fldCharType="separate"/>
      </w:r>
      <w:r>
        <w:rPr>
          <w:rFonts w:eastAsia="仿宋_GB2312" w:cs="Times New Roman"/>
          <w:sz w:val="28"/>
          <w:szCs w:val="28"/>
        </w:rPr>
        <w:t>81</w:t>
      </w:r>
      <w:r>
        <w:rPr>
          <w:rFonts w:eastAsia="仿宋_GB2312" w:cs="Times New Roman"/>
          <w:sz w:val="28"/>
          <w:szCs w:val="28"/>
        </w:rPr>
        <w:fldChar w:fldCharType="end"/>
      </w:r>
      <w:r>
        <w:rPr>
          <w:rFonts w:eastAsia="仿宋_GB2312" w:cs="Times New Roman"/>
          <w:sz w:val="28"/>
          <w:szCs w:val="28"/>
        </w:rPr>
        <w:fldChar w:fldCharType="end"/>
      </w:r>
    </w:p>
    <w:p>
      <w:pPr>
        <w:pStyle w:val="19"/>
        <w:tabs>
          <w:tab w:val="right" w:leader="dot" w:pos="8278"/>
        </w:tabs>
        <w:ind w:left="160" w:leftChars="50" w:firstLine="640"/>
        <w:rPr>
          <w:rFonts w:eastAsia="仿宋_GB2312" w:cs="Times New Roman"/>
          <w:sz w:val="28"/>
          <w:szCs w:val="28"/>
        </w:rPr>
      </w:pPr>
      <w:r>
        <w:fldChar w:fldCharType="begin"/>
      </w:r>
      <w:r>
        <w:instrText xml:space="preserve"> HYPERLINK \l "_Toc20992" </w:instrText>
      </w:r>
      <w:r>
        <w:fldChar w:fldCharType="separate"/>
      </w:r>
      <w:r>
        <w:rPr>
          <w:rFonts w:eastAsia="仿宋_GB2312" w:cs="Times New Roman"/>
          <w:sz w:val="28"/>
          <w:szCs w:val="28"/>
        </w:rPr>
        <w:t>五、社会保障</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_Toc20992 </w:instrText>
      </w:r>
      <w:r>
        <w:rPr>
          <w:rFonts w:eastAsia="仿宋_GB2312" w:cs="Times New Roman"/>
          <w:sz w:val="28"/>
          <w:szCs w:val="28"/>
        </w:rPr>
        <w:fldChar w:fldCharType="separate"/>
      </w:r>
      <w:r>
        <w:rPr>
          <w:rFonts w:eastAsia="仿宋_GB2312" w:cs="Times New Roman"/>
          <w:sz w:val="28"/>
          <w:szCs w:val="28"/>
        </w:rPr>
        <w:t>82</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"_Toc6363" </w:instrText>
      </w:r>
      <w:r>
        <w:fldChar w:fldCharType="separate"/>
      </w:r>
      <w:r>
        <w:rPr>
          <w:rFonts w:eastAsia="仿宋_GB2312" w:cs="Times New Roman"/>
          <w:sz w:val="28"/>
          <w:szCs w:val="28"/>
        </w:rPr>
        <w:t>附表1   启动创建期重点规划建设工程</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_Toc6363 </w:instrText>
      </w:r>
      <w:r>
        <w:rPr>
          <w:rFonts w:eastAsia="仿宋_GB2312" w:cs="Times New Roman"/>
          <w:sz w:val="28"/>
          <w:szCs w:val="28"/>
        </w:rPr>
        <w:fldChar w:fldCharType="separate"/>
      </w:r>
      <w:r>
        <w:rPr>
          <w:rFonts w:eastAsia="仿宋_GB2312" w:cs="Times New Roman"/>
          <w:sz w:val="28"/>
          <w:szCs w:val="28"/>
        </w:rPr>
        <w:t>83</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"_Toc14693" </w:instrText>
      </w:r>
      <w:r>
        <w:fldChar w:fldCharType="separate"/>
      </w:r>
      <w:r>
        <w:rPr>
          <w:rFonts w:eastAsia="仿宋_GB2312" w:cs="Times New Roman"/>
          <w:sz w:val="28"/>
          <w:szCs w:val="28"/>
        </w:rPr>
        <w:t>附表2   未达标指标创建期任务分解表</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_Toc14693 </w:instrText>
      </w:r>
      <w:r>
        <w:rPr>
          <w:rFonts w:eastAsia="仿宋_GB2312" w:cs="Times New Roman"/>
          <w:sz w:val="28"/>
          <w:szCs w:val="28"/>
        </w:rPr>
        <w:fldChar w:fldCharType="separate"/>
      </w:r>
      <w:r>
        <w:rPr>
          <w:rFonts w:eastAsia="仿宋_GB2312" w:cs="Times New Roman"/>
          <w:sz w:val="28"/>
          <w:szCs w:val="28"/>
        </w:rPr>
        <w:t>129</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"_Toc7333" </w:instrText>
      </w:r>
      <w:r>
        <w:fldChar w:fldCharType="separate"/>
      </w:r>
      <w:r>
        <w:rPr>
          <w:rFonts w:eastAsia="仿宋_GB2312" w:cs="Times New Roman"/>
          <w:sz w:val="28"/>
          <w:szCs w:val="28"/>
        </w:rPr>
        <w:t>附表3   柳州市生态文明建设示范区创建计划表</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_Toc7333 </w:instrText>
      </w:r>
      <w:r>
        <w:rPr>
          <w:rFonts w:eastAsia="仿宋_GB2312" w:cs="Times New Roman"/>
          <w:sz w:val="28"/>
          <w:szCs w:val="28"/>
        </w:rPr>
        <w:fldChar w:fldCharType="separate"/>
      </w:r>
      <w:r>
        <w:rPr>
          <w:rFonts w:eastAsia="仿宋_GB2312" w:cs="Times New Roman"/>
          <w:sz w:val="28"/>
          <w:szCs w:val="28"/>
        </w:rPr>
        <w:t>131</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"_Toc30651" </w:instrText>
      </w:r>
      <w:r>
        <w:fldChar w:fldCharType="separate"/>
      </w:r>
      <w:r>
        <w:rPr>
          <w:rFonts w:eastAsia="仿宋_GB2312" w:cs="Times New Roman"/>
          <w:kern w:val="0"/>
          <w:sz w:val="28"/>
          <w:szCs w:val="28"/>
        </w:rPr>
        <w:t>附图1　柳州市地理位置图</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_Toc30651 </w:instrText>
      </w:r>
      <w:r>
        <w:rPr>
          <w:rFonts w:eastAsia="仿宋_GB2312" w:cs="Times New Roman"/>
          <w:sz w:val="28"/>
          <w:szCs w:val="28"/>
        </w:rPr>
        <w:fldChar w:fldCharType="separate"/>
      </w:r>
      <w:r>
        <w:rPr>
          <w:rFonts w:eastAsia="仿宋_GB2312" w:cs="Times New Roman"/>
          <w:sz w:val="28"/>
          <w:szCs w:val="28"/>
        </w:rPr>
        <w:t>132</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"_Toc7593" </w:instrText>
      </w:r>
      <w:r>
        <w:fldChar w:fldCharType="separate"/>
      </w:r>
      <w:r>
        <w:rPr>
          <w:rFonts w:eastAsia="仿宋_GB2312" w:cs="Times New Roman"/>
          <w:kern w:val="0"/>
          <w:sz w:val="28"/>
          <w:szCs w:val="28"/>
        </w:rPr>
        <w:t>附图2　柳州市高程图</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_Toc7593 </w:instrText>
      </w:r>
      <w:r>
        <w:rPr>
          <w:rFonts w:eastAsia="仿宋_GB2312" w:cs="Times New Roman"/>
          <w:sz w:val="28"/>
          <w:szCs w:val="28"/>
        </w:rPr>
        <w:fldChar w:fldCharType="separate"/>
      </w:r>
      <w:r>
        <w:rPr>
          <w:rFonts w:eastAsia="仿宋_GB2312" w:cs="Times New Roman"/>
          <w:sz w:val="28"/>
          <w:szCs w:val="28"/>
        </w:rPr>
        <w:t>133</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"_Toc30018" </w:instrText>
      </w:r>
      <w:r>
        <w:fldChar w:fldCharType="separate"/>
      </w:r>
      <w:r>
        <w:rPr>
          <w:rFonts w:eastAsia="仿宋_GB2312" w:cs="Times New Roman"/>
          <w:kern w:val="0"/>
          <w:sz w:val="28"/>
          <w:szCs w:val="28"/>
        </w:rPr>
        <w:t>附图3　柳州市水系图</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_Toc30018 </w:instrText>
      </w:r>
      <w:r>
        <w:rPr>
          <w:rFonts w:eastAsia="仿宋_GB2312" w:cs="Times New Roman"/>
          <w:sz w:val="28"/>
          <w:szCs w:val="28"/>
        </w:rPr>
        <w:fldChar w:fldCharType="separate"/>
      </w:r>
      <w:r>
        <w:rPr>
          <w:rFonts w:eastAsia="仿宋_GB2312" w:cs="Times New Roman"/>
          <w:sz w:val="28"/>
          <w:szCs w:val="28"/>
        </w:rPr>
        <w:t>134</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"_Toc1406" </w:instrText>
      </w:r>
      <w:r>
        <w:fldChar w:fldCharType="separate"/>
      </w:r>
      <w:r>
        <w:rPr>
          <w:rFonts w:eastAsia="仿宋_GB2312" w:cs="Times New Roman"/>
          <w:kern w:val="0"/>
          <w:sz w:val="28"/>
          <w:szCs w:val="28"/>
        </w:rPr>
        <w:t>附图4　柳州市行政区划图</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_Toc1406 </w:instrText>
      </w:r>
      <w:r>
        <w:rPr>
          <w:rFonts w:eastAsia="仿宋_GB2312" w:cs="Times New Roman"/>
          <w:sz w:val="28"/>
          <w:szCs w:val="28"/>
        </w:rPr>
        <w:fldChar w:fldCharType="separate"/>
      </w:r>
      <w:r>
        <w:rPr>
          <w:rFonts w:eastAsia="仿宋_GB2312" w:cs="Times New Roman"/>
          <w:sz w:val="28"/>
          <w:szCs w:val="28"/>
        </w:rPr>
        <w:t>135</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"_Toc30245" </w:instrText>
      </w:r>
      <w:r>
        <w:fldChar w:fldCharType="separate"/>
      </w:r>
      <w:r>
        <w:rPr>
          <w:rFonts w:eastAsia="仿宋_GB2312" w:cs="Times New Roman"/>
          <w:kern w:val="0"/>
          <w:sz w:val="28"/>
          <w:szCs w:val="28"/>
        </w:rPr>
        <w:t>附图5　柳州市岩溶地区石漠化土地分布图</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_Toc30245 </w:instrText>
      </w:r>
      <w:r>
        <w:rPr>
          <w:rFonts w:eastAsia="仿宋_GB2312" w:cs="Times New Roman"/>
          <w:sz w:val="28"/>
          <w:szCs w:val="28"/>
        </w:rPr>
        <w:fldChar w:fldCharType="separate"/>
      </w:r>
      <w:r>
        <w:rPr>
          <w:rFonts w:eastAsia="仿宋_GB2312" w:cs="Times New Roman"/>
          <w:sz w:val="28"/>
          <w:szCs w:val="28"/>
        </w:rPr>
        <w:t>136</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"_Toc19660" </w:instrText>
      </w:r>
      <w:r>
        <w:fldChar w:fldCharType="separate"/>
      </w:r>
      <w:r>
        <w:rPr>
          <w:rFonts w:eastAsia="仿宋_GB2312" w:cs="Times New Roman"/>
          <w:kern w:val="0"/>
          <w:sz w:val="28"/>
          <w:szCs w:val="28"/>
        </w:rPr>
        <w:t>附图6　柳州市岩溶地区石漠化程度分布图</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_Toc19660 </w:instrText>
      </w:r>
      <w:r>
        <w:rPr>
          <w:rFonts w:eastAsia="仿宋_GB2312" w:cs="Times New Roman"/>
          <w:sz w:val="28"/>
          <w:szCs w:val="28"/>
        </w:rPr>
        <w:fldChar w:fldCharType="separate"/>
      </w:r>
      <w:r>
        <w:rPr>
          <w:rFonts w:eastAsia="仿宋_GB2312" w:cs="Times New Roman"/>
          <w:sz w:val="28"/>
          <w:szCs w:val="28"/>
        </w:rPr>
        <w:t>137</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"_Toc26863" </w:instrText>
      </w:r>
      <w:r>
        <w:fldChar w:fldCharType="separate"/>
      </w:r>
      <w:r>
        <w:rPr>
          <w:rFonts w:eastAsia="仿宋_GB2312" w:cs="Times New Roman"/>
          <w:kern w:val="0"/>
          <w:sz w:val="28"/>
          <w:szCs w:val="28"/>
        </w:rPr>
        <w:t>附图7  柳州市水环境、大气环境监测布点示意图</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_Toc26863 </w:instrText>
      </w:r>
      <w:r>
        <w:rPr>
          <w:rFonts w:eastAsia="仿宋_GB2312" w:cs="Times New Roman"/>
          <w:sz w:val="28"/>
          <w:szCs w:val="28"/>
        </w:rPr>
        <w:fldChar w:fldCharType="separate"/>
      </w:r>
      <w:r>
        <w:rPr>
          <w:rFonts w:eastAsia="仿宋_GB2312" w:cs="Times New Roman"/>
          <w:sz w:val="28"/>
          <w:szCs w:val="28"/>
        </w:rPr>
        <w:t>138</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"_Toc9842" </w:instrText>
      </w:r>
      <w:r>
        <w:fldChar w:fldCharType="separate"/>
      </w:r>
      <w:r>
        <w:rPr>
          <w:rFonts w:eastAsia="仿宋_GB2312" w:cs="Times New Roman"/>
          <w:kern w:val="0"/>
          <w:sz w:val="28"/>
          <w:szCs w:val="28"/>
        </w:rPr>
        <w:t>附图8　柳州市土地利用总体规划图（2006-2020年）</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_Toc9842 </w:instrText>
      </w:r>
      <w:r>
        <w:rPr>
          <w:rFonts w:eastAsia="仿宋_GB2312" w:cs="Times New Roman"/>
          <w:sz w:val="28"/>
          <w:szCs w:val="28"/>
        </w:rPr>
        <w:fldChar w:fldCharType="separate"/>
      </w:r>
      <w:r>
        <w:rPr>
          <w:rFonts w:eastAsia="仿宋_GB2312" w:cs="Times New Roman"/>
          <w:sz w:val="28"/>
          <w:szCs w:val="28"/>
        </w:rPr>
        <w:t>139</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"_Toc8598" </w:instrText>
      </w:r>
      <w:r>
        <w:fldChar w:fldCharType="separate"/>
      </w:r>
      <w:r>
        <w:rPr>
          <w:rFonts w:eastAsia="仿宋_GB2312" w:cs="Times New Roman"/>
          <w:kern w:val="0"/>
          <w:sz w:val="28"/>
          <w:szCs w:val="28"/>
        </w:rPr>
        <w:t>附图9　柳州市遥感影像图</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_Toc8598 </w:instrText>
      </w:r>
      <w:r>
        <w:rPr>
          <w:rFonts w:eastAsia="仿宋_GB2312" w:cs="Times New Roman"/>
          <w:sz w:val="28"/>
          <w:szCs w:val="28"/>
        </w:rPr>
        <w:fldChar w:fldCharType="separate"/>
      </w:r>
      <w:r>
        <w:rPr>
          <w:rFonts w:eastAsia="仿宋_GB2312" w:cs="Times New Roman"/>
          <w:sz w:val="28"/>
          <w:szCs w:val="28"/>
        </w:rPr>
        <w:t>140</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"_Toc6353" </w:instrText>
      </w:r>
      <w:r>
        <w:fldChar w:fldCharType="separate"/>
      </w:r>
      <w:r>
        <w:rPr>
          <w:rFonts w:eastAsia="仿宋_GB2312" w:cs="Times New Roman"/>
          <w:kern w:val="0"/>
          <w:sz w:val="28"/>
          <w:szCs w:val="28"/>
        </w:rPr>
        <w:t>附图10　广西“一屏五区一走廊”生态区位示意图</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_Toc6353 </w:instrText>
      </w:r>
      <w:r>
        <w:rPr>
          <w:rFonts w:eastAsia="仿宋_GB2312" w:cs="Times New Roman"/>
          <w:sz w:val="28"/>
          <w:szCs w:val="28"/>
        </w:rPr>
        <w:fldChar w:fldCharType="separate"/>
      </w:r>
      <w:r>
        <w:rPr>
          <w:rFonts w:eastAsia="仿宋_GB2312" w:cs="Times New Roman"/>
          <w:sz w:val="28"/>
          <w:szCs w:val="28"/>
        </w:rPr>
        <w:t>141</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eastAsia="仿宋_GB2312" w:cs="Times New Roman"/>
          <w:sz w:val="28"/>
          <w:szCs w:val="28"/>
        </w:rPr>
      </w:pPr>
      <w:r>
        <w:fldChar w:fldCharType="begin"/>
      </w:r>
      <w:r>
        <w:instrText xml:space="preserve"> HYPERLINK \l "_Toc11800" </w:instrText>
      </w:r>
      <w:r>
        <w:fldChar w:fldCharType="separate"/>
      </w:r>
      <w:r>
        <w:rPr>
          <w:rFonts w:eastAsia="仿宋_GB2312" w:cs="Times New Roman"/>
          <w:kern w:val="0"/>
          <w:sz w:val="28"/>
          <w:szCs w:val="28"/>
        </w:rPr>
        <w:t>附图11　重点工程分布示意图（部分）</w:t>
      </w:r>
      <w:r>
        <w:rPr>
          <w:rFonts w:eastAsia="仿宋_GB2312" w:cs="Times New Roman"/>
          <w:sz w:val="28"/>
          <w:szCs w:val="28"/>
        </w:rPr>
        <w:tab/>
      </w:r>
      <w:r>
        <w:rPr>
          <w:rFonts w:eastAsia="仿宋_GB2312" w:cs="Times New Roman"/>
          <w:sz w:val="28"/>
          <w:szCs w:val="28"/>
        </w:rPr>
        <w:fldChar w:fldCharType="begin"/>
      </w:r>
      <w:r>
        <w:rPr>
          <w:rFonts w:eastAsia="仿宋_GB2312" w:cs="Times New Roman"/>
          <w:sz w:val="28"/>
          <w:szCs w:val="28"/>
        </w:rPr>
        <w:instrText xml:space="preserve"> PAGEREF _Toc11800 </w:instrText>
      </w:r>
      <w:r>
        <w:rPr>
          <w:rFonts w:eastAsia="仿宋_GB2312" w:cs="Times New Roman"/>
          <w:sz w:val="28"/>
          <w:szCs w:val="28"/>
        </w:rPr>
        <w:fldChar w:fldCharType="separate"/>
      </w:r>
      <w:r>
        <w:rPr>
          <w:rFonts w:eastAsia="仿宋_GB2312" w:cs="Times New Roman"/>
          <w:sz w:val="28"/>
          <w:szCs w:val="28"/>
        </w:rPr>
        <w:t>142</w:t>
      </w:r>
      <w:r>
        <w:rPr>
          <w:rFonts w:eastAsia="仿宋_GB2312" w:cs="Times New Roman"/>
          <w:sz w:val="28"/>
          <w:szCs w:val="28"/>
        </w:rPr>
        <w:fldChar w:fldCharType="end"/>
      </w:r>
      <w:r>
        <w:rPr>
          <w:rFonts w:eastAsia="仿宋_GB2312" w:cs="Times New Roman"/>
          <w:sz w:val="28"/>
          <w:szCs w:val="28"/>
        </w:rPr>
        <w:fldChar w:fldCharType="end"/>
      </w:r>
    </w:p>
    <w:p>
      <w:pPr>
        <w:pStyle w:val="18"/>
        <w:tabs>
          <w:tab w:val="right" w:leader="dot" w:pos="8278"/>
          <w:tab w:val="clear" w:pos="8296"/>
        </w:tabs>
        <w:rPr>
          <w:rFonts w:ascii="黑体" w:hAnsi="黑体" w:eastAsia="黑体"/>
          <w:sz w:val="36"/>
          <w:szCs w:val="36"/>
        </w:rPr>
      </w:pPr>
      <w:r>
        <w:rPr>
          <w:rFonts w:eastAsia="仿宋_GB2312" w:cs="Times New Roman"/>
          <w:sz w:val="28"/>
          <w:szCs w:val="28"/>
        </w:rPr>
        <w:fldChar w:fldCharType="end"/>
      </w:r>
    </w:p>
    <w:p>
      <w:pPr>
        <w:pStyle w:val="18"/>
        <w:tabs>
          <w:tab w:val="right" w:leader="dot" w:pos="8278"/>
          <w:tab w:val="clear" w:pos="8296"/>
        </w:tabs>
        <w:rPr>
          <w:rFonts w:ascii="黑体" w:hAnsi="黑体" w:eastAsia="黑体"/>
          <w:sz w:val="36"/>
          <w:szCs w:val="36"/>
        </w:rPr>
      </w:pPr>
    </w:p>
    <w:p>
      <w:pPr>
        <w:pStyle w:val="19"/>
        <w:tabs>
          <w:tab w:val="right" w:leader="dot" w:pos="8268"/>
        </w:tabs>
        <w:ind w:left="0" w:leftChars="0" w:firstLine="0" w:firstLineChars="0"/>
        <w:rPr>
          <w:rFonts w:ascii="黑体" w:hAnsi="黑体" w:eastAsia="黑体"/>
          <w:b/>
          <w:sz w:val="36"/>
          <w:szCs w:val="36"/>
        </w:rPr>
      </w:pPr>
    </w:p>
    <w:p>
      <w:pPr>
        <w:spacing w:after="240"/>
        <w:ind w:firstLine="0" w:firstLineChars="0"/>
        <w:rPr>
          <w:rFonts w:ascii="黑体" w:hAnsi="黑体" w:eastAsia="黑体"/>
          <w:b/>
          <w:sz w:val="36"/>
          <w:szCs w:val="36"/>
        </w:rPr>
      </w:pPr>
    </w:p>
    <w:p>
      <w:pPr>
        <w:ind w:firstLine="198" w:firstLineChars="62"/>
        <w:sectPr>
          <w:footerReference r:id="rId13" w:type="default"/>
          <w:pgSz w:w="11906" w:h="16838"/>
          <w:pgMar w:top="1418" w:right="1814" w:bottom="1418" w:left="1814" w:header="851" w:footer="992" w:gutter="0"/>
          <w:pgNumType w:fmt="upperRoman" w:start="1"/>
          <w:cols w:space="425" w:num="1"/>
          <w:docGrid w:type="linesAndChars" w:linePitch="312" w:charSpace="0"/>
        </w:sectPr>
      </w:pPr>
    </w:p>
    <w:p>
      <w:pPr>
        <w:pStyle w:val="8"/>
        <w:ind w:firstLine="560"/>
        <w:sectPr>
          <w:footerReference r:id="rId14" w:type="default"/>
          <w:pgSz w:w="11906" w:h="16838"/>
          <w:pgMar w:top="1418" w:right="1814" w:bottom="1418" w:left="1814" w:header="851" w:footer="992" w:gutter="0"/>
          <w:pgNumType w:fmt="upperRoman"/>
          <w:cols w:space="425" w:num="1"/>
          <w:docGrid w:type="linesAndChars" w:linePitch="312" w:charSpace="0"/>
        </w:sectPr>
      </w:pPr>
    </w:p>
    <w:p>
      <w:pPr>
        <w:pStyle w:val="3"/>
        <w:spacing w:line="560" w:lineRule="exact"/>
        <w:ind w:firstLine="198" w:firstLineChars="45"/>
        <w:jc w:val="center"/>
        <w:rPr>
          <w:b w:val="0"/>
          <w:bCs w:val="0"/>
        </w:rPr>
      </w:pPr>
      <w:bookmarkStart w:id="6" w:name="_Toc3714"/>
      <w:bookmarkStart w:id="7" w:name="_Toc18285"/>
      <w:bookmarkStart w:id="8" w:name="_Toc26643"/>
      <w:bookmarkStart w:id="9" w:name="_Toc24448"/>
      <w:bookmarkStart w:id="10" w:name="_Toc24737"/>
      <w:bookmarkStart w:id="11" w:name="_Toc28711"/>
      <w:bookmarkStart w:id="12" w:name="_Toc11032"/>
      <w:bookmarkStart w:id="13" w:name="_Toc9255"/>
      <w:bookmarkStart w:id="14" w:name="_Toc467616556"/>
      <w:bookmarkStart w:id="15" w:name="_Toc491434475"/>
      <w:bookmarkStart w:id="16" w:name="_Toc491434533"/>
      <w:r>
        <w:rPr>
          <w:rFonts w:hint="eastAsia"/>
          <w:b w:val="0"/>
          <w:bCs w:val="0"/>
        </w:rPr>
        <w:t>第一章  规划总则</w:t>
      </w:r>
      <w:bookmarkEnd w:id="6"/>
      <w:bookmarkEnd w:id="7"/>
      <w:bookmarkEnd w:id="8"/>
      <w:bookmarkEnd w:id="9"/>
      <w:bookmarkEnd w:id="10"/>
      <w:bookmarkEnd w:id="11"/>
      <w:bookmarkEnd w:id="12"/>
      <w:bookmarkEnd w:id="13"/>
    </w:p>
    <w:p>
      <w:pPr>
        <w:pStyle w:val="4"/>
        <w:spacing w:line="560" w:lineRule="exact"/>
        <w:ind w:firstLine="640"/>
        <w:rPr>
          <w:b w:val="0"/>
          <w:bCs w:val="0"/>
        </w:rPr>
      </w:pPr>
      <w:bookmarkStart w:id="17" w:name="_Toc15861"/>
      <w:bookmarkStart w:id="18" w:name="_Toc2378"/>
      <w:bookmarkStart w:id="19" w:name="_Toc2613"/>
      <w:bookmarkStart w:id="20" w:name="_Toc4684"/>
      <w:bookmarkStart w:id="21" w:name="_Toc6117"/>
      <w:bookmarkStart w:id="22" w:name="_Toc20677"/>
      <w:bookmarkStart w:id="23" w:name="_Toc21712"/>
      <w:bookmarkStart w:id="24" w:name="_Toc7150"/>
      <w:r>
        <w:rPr>
          <w:rFonts w:hint="eastAsia"/>
          <w:b w:val="0"/>
          <w:bCs w:val="0"/>
        </w:rPr>
        <w:t>一、</w:t>
      </w:r>
      <w:r>
        <w:rPr>
          <w:b w:val="0"/>
          <w:bCs w:val="0"/>
        </w:rPr>
        <w:t>指导思想</w:t>
      </w:r>
      <w:bookmarkEnd w:id="17"/>
      <w:bookmarkEnd w:id="18"/>
      <w:bookmarkEnd w:id="19"/>
      <w:bookmarkEnd w:id="20"/>
      <w:bookmarkEnd w:id="21"/>
      <w:bookmarkEnd w:id="22"/>
      <w:bookmarkEnd w:id="23"/>
      <w:bookmarkEnd w:id="24"/>
    </w:p>
    <w:p>
      <w:pPr>
        <w:spacing w:line="560" w:lineRule="exact"/>
        <w:ind w:firstLine="640"/>
      </w:pPr>
      <w:r>
        <w:rPr>
          <w:rFonts w:hint="eastAsia" w:ascii="仿宋_GB2312" w:hAnsi="仿宋_GB2312" w:eastAsia="仿宋_GB2312" w:cs="仿宋_GB2312"/>
        </w:rPr>
        <w:t>坚持以习近平新时代中国特色社会主义思想为指导，全面贯彻党的十九大和十九届二中、三中、四中全会精神，贯彻习近平生态文明思想和习近平总书记对广西工作的重要指示精神，“人与自然和谐共生、绿水青山就是金山银山、良好生态环境是最普惠的民生福祉、山水林田湖草是生命共同体、用最严格制度最严密法治保护生态环境、共谋全球生态文明建设”六大基本原则，坚持节约资源和保护环境的基本国策，坚持节约优先、保护优先、自然恢复为主的方针，大力推行绿色发展，着力解决突出环境问题，加大生态系统保护力度，改革完善生态环境监管体制机制，加快构建生态文明建设体系。实施“生态立市、工业强市”战略，形成节约资源和保护环境的空间格局、产业结构、生产方式、生活方式，着力构建生态安全屏障，实现经济发展与环境保护“双赢”，把柳州建设成为人民生活富裕、生态环境良好、人居环境优美舒适，人与自然和谐发展、经济发展步入良性循环、社会文明显著进步的山水美、环境好的生态宜居之城。</w:t>
      </w:r>
    </w:p>
    <w:p>
      <w:pPr>
        <w:pStyle w:val="4"/>
        <w:spacing w:line="560" w:lineRule="exact"/>
        <w:ind w:firstLine="640"/>
        <w:rPr>
          <w:b w:val="0"/>
          <w:bCs w:val="0"/>
        </w:rPr>
      </w:pPr>
      <w:bookmarkStart w:id="25" w:name="_Toc27751"/>
      <w:bookmarkStart w:id="26" w:name="_Toc31574"/>
      <w:bookmarkStart w:id="27" w:name="_Toc7226"/>
      <w:bookmarkStart w:id="28" w:name="_Toc28236"/>
      <w:bookmarkStart w:id="29" w:name="_Toc8940"/>
      <w:bookmarkStart w:id="30" w:name="_Toc829"/>
      <w:bookmarkStart w:id="31" w:name="_Toc8655"/>
      <w:bookmarkStart w:id="32" w:name="_Toc2118"/>
      <w:r>
        <w:rPr>
          <w:rFonts w:hint="eastAsia"/>
          <w:b w:val="0"/>
          <w:bCs w:val="0"/>
        </w:rPr>
        <w:t>二、基本原则</w:t>
      </w:r>
      <w:bookmarkEnd w:id="25"/>
      <w:bookmarkEnd w:id="26"/>
      <w:bookmarkEnd w:id="27"/>
      <w:bookmarkEnd w:id="28"/>
      <w:bookmarkEnd w:id="29"/>
      <w:bookmarkEnd w:id="30"/>
      <w:bookmarkEnd w:id="31"/>
      <w:bookmarkEnd w:id="32"/>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（一）生态优先，绿色发展</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促进人与自然和谐共生，着力改善生态环境，建立生态优先的决策机制，以保障资源环境承载力作为各类开发建设活动的前提条件，以生态环境保护优化经济发展，促进各类资源的科学开发与合理利用，满足人民群众对环境质量的基本需求。</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（二）以人为本，共享发展</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把为人民群众谋幸福作为实现“绿水青山就是金山银山”转型升级的价值追求和根本目的，倡导勤俭节约、绿色低碳、文明健康的生活方式和消费模式，自觉推动绿色低碳循环发展，更加注重提高人民生活质量，大力推进基础设施建设，着力提高公共服务供给水平，让人民群众共享发展成果。</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（三）立足实际，彰显特色</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将国家生态文明示范市建设目标与国家和自治区级主体功能区划、生态功能区划及当地“十三五”环境保护和生态建设等规划充分衔接，立足柳州市基本情况，突出柳州市“生态立市、工业强市”战略，结合示范市建设，促进生态文明建设工作全面推进。</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（四）目标明确，深入落实</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通过各种形式的宣传和创建活动，营造良好的环境舆论氛围，明确生态文明示范市的目标和指标体系，并将其分解到县区、乡镇及村，落实到各部门各单位和个人，促进发展方式、生产方式、消费方式、生活方式的转变，使生态文明的理念深入人心、落实到行动。</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（五）政府主导，全民行动</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政府在组织领导、规划引领、资金投入、制度创新方面发挥主导作用，提供良好的政策和公共服务环境。同时强化企业生态环境保护意识和责任，提高公众参与的积极性、广泛性，鼓励与支持民间团体参与生态创建的各项活动，形成建设生态文明的强大合力，创建政府主导和全民参与紧密结合的生态文明建设新局面。</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（六）统筹兼顾，重点突出</w:t>
      </w:r>
    </w:p>
    <w:p>
      <w:pPr>
        <w:spacing w:line="560" w:lineRule="exact"/>
        <w:ind w:firstLine="640"/>
        <w:rPr>
          <w:rFonts w:cs="Times New Roman"/>
        </w:rPr>
      </w:pPr>
      <w:r>
        <w:rPr>
          <w:rFonts w:eastAsia="仿宋_GB2312" w:cs="Times New Roman"/>
        </w:rPr>
        <w:t>统筹城乡发展、统筹经济社会发展、统筹人与自然和谐发展，全面推进生态文化建设、生态经济建设、生态人居建设和生态制度建设，实现经济发展和人口、资源、环境的协调。重点针对柳州市国家生态文明建设示范市未达标的指标提出相应规划措施，对于已达标的指标制定相应提升措施，全面提升区域生态文明建设水平。</w:t>
      </w:r>
    </w:p>
    <w:p>
      <w:pPr>
        <w:pStyle w:val="4"/>
        <w:spacing w:line="560" w:lineRule="exact"/>
        <w:ind w:firstLine="640"/>
        <w:rPr>
          <w:rFonts w:ascii="Times New Roman" w:hAnsi="Times New Roman" w:cs="Times New Roman"/>
          <w:b w:val="0"/>
          <w:bCs w:val="0"/>
        </w:rPr>
      </w:pPr>
      <w:bookmarkStart w:id="33" w:name="_Toc16519"/>
      <w:bookmarkStart w:id="34" w:name="_Toc10146"/>
      <w:bookmarkStart w:id="35" w:name="_Toc1909"/>
      <w:bookmarkStart w:id="36" w:name="_Toc12269"/>
      <w:bookmarkStart w:id="37" w:name="_Toc27292"/>
      <w:bookmarkStart w:id="38" w:name="_Toc5767"/>
      <w:bookmarkStart w:id="39" w:name="_Toc23965"/>
      <w:r>
        <w:rPr>
          <w:rFonts w:ascii="Times New Roman" w:hAnsi="Times New Roman" w:cs="Times New Roman"/>
          <w:b w:val="0"/>
          <w:bCs w:val="0"/>
        </w:rPr>
        <w:t>三、编制依据</w:t>
      </w:r>
      <w:bookmarkEnd w:id="33"/>
      <w:bookmarkEnd w:id="34"/>
      <w:bookmarkEnd w:id="35"/>
      <w:bookmarkEnd w:id="36"/>
      <w:bookmarkEnd w:id="37"/>
      <w:bookmarkEnd w:id="38"/>
      <w:bookmarkEnd w:id="39"/>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（一）法律法规</w:t>
      </w:r>
    </w:p>
    <w:p>
      <w:pPr>
        <w:spacing w:line="560" w:lineRule="exact"/>
        <w:ind w:firstLine="640"/>
        <w:rPr>
          <w:rFonts w:eastAsia="仿宋_GB2312" w:cs="Times New Roman"/>
        </w:rPr>
      </w:pPr>
      <w:r>
        <w:rPr>
          <w:rFonts w:eastAsia="仿宋_GB2312" w:cs="Times New Roman"/>
        </w:rPr>
        <w:t>（1）《中华人民共和国环境保护法》（2014年修订）；</w:t>
      </w:r>
    </w:p>
    <w:p>
      <w:pPr>
        <w:spacing w:line="560" w:lineRule="exact"/>
        <w:ind w:firstLine="640"/>
        <w:rPr>
          <w:rFonts w:eastAsia="仿宋_GB2312" w:cs="Times New Roman"/>
        </w:rPr>
      </w:pPr>
      <w:r>
        <w:rPr>
          <w:rFonts w:eastAsia="仿宋_GB2312" w:cs="Times New Roman"/>
        </w:rPr>
        <w:t>（2）《中华人民共和国土地管理法》（2004年）；</w:t>
      </w:r>
    </w:p>
    <w:p>
      <w:pPr>
        <w:spacing w:line="560" w:lineRule="exact"/>
        <w:ind w:firstLine="640"/>
        <w:rPr>
          <w:rFonts w:eastAsia="仿宋_GB2312" w:cs="Times New Roman"/>
        </w:rPr>
      </w:pPr>
      <w:r>
        <w:rPr>
          <w:rFonts w:eastAsia="仿宋_GB2312" w:cs="Times New Roman"/>
        </w:rPr>
        <w:t>（3）《中华人民共和国森林法》（2009年）；</w:t>
      </w:r>
    </w:p>
    <w:p>
      <w:pPr>
        <w:spacing w:line="560" w:lineRule="exact"/>
        <w:ind w:firstLine="640"/>
        <w:rPr>
          <w:rFonts w:eastAsia="仿宋_GB2312" w:cs="Times New Roman"/>
        </w:rPr>
      </w:pPr>
      <w:r>
        <w:rPr>
          <w:rFonts w:eastAsia="仿宋_GB2312" w:cs="Times New Roman"/>
        </w:rPr>
        <w:t>（4）《中华人民共和国水法》（2016年修订）；</w:t>
      </w:r>
    </w:p>
    <w:p>
      <w:pPr>
        <w:spacing w:line="560" w:lineRule="exact"/>
        <w:ind w:firstLine="640"/>
        <w:rPr>
          <w:rFonts w:eastAsia="仿宋_GB2312" w:cs="Times New Roman"/>
        </w:rPr>
      </w:pPr>
      <w:r>
        <w:rPr>
          <w:rFonts w:eastAsia="仿宋_GB2312" w:cs="Times New Roman"/>
        </w:rPr>
        <w:t>（5）《中华人民共和国渔业法》（2013年修订）；</w:t>
      </w:r>
    </w:p>
    <w:p>
      <w:pPr>
        <w:spacing w:line="560" w:lineRule="exact"/>
        <w:ind w:firstLine="640"/>
        <w:rPr>
          <w:rFonts w:eastAsia="仿宋_GB2312" w:cs="Times New Roman"/>
        </w:rPr>
      </w:pPr>
      <w:r>
        <w:rPr>
          <w:rFonts w:eastAsia="仿宋_GB2312" w:cs="Times New Roman"/>
        </w:rPr>
        <w:t>（6）《中华人民共和国节约能源法》（2007年）；</w:t>
      </w:r>
    </w:p>
    <w:p>
      <w:pPr>
        <w:spacing w:line="560" w:lineRule="exact"/>
        <w:ind w:firstLine="640"/>
        <w:rPr>
          <w:rFonts w:eastAsia="仿宋_GB2312" w:cs="Times New Roman"/>
        </w:rPr>
      </w:pPr>
      <w:r>
        <w:rPr>
          <w:rFonts w:eastAsia="仿宋_GB2312" w:cs="Times New Roman"/>
        </w:rPr>
        <w:t>（7）《中华人民共和国循环经济促进法》（2008年）；</w:t>
      </w:r>
    </w:p>
    <w:p>
      <w:pPr>
        <w:spacing w:line="560" w:lineRule="exact"/>
        <w:ind w:firstLine="640"/>
        <w:rPr>
          <w:rFonts w:eastAsia="仿宋_GB2312" w:cs="Times New Roman"/>
        </w:rPr>
      </w:pPr>
      <w:r>
        <w:rPr>
          <w:rFonts w:eastAsia="仿宋_GB2312" w:cs="Times New Roman"/>
        </w:rPr>
        <w:t>（8）《中华人民共和国农业法》（2013年）；</w:t>
      </w:r>
    </w:p>
    <w:p>
      <w:pPr>
        <w:spacing w:line="560" w:lineRule="exact"/>
        <w:ind w:firstLine="640"/>
        <w:rPr>
          <w:rFonts w:eastAsia="仿宋_GB2312" w:cs="Times New Roman"/>
        </w:rPr>
      </w:pPr>
      <w:r>
        <w:rPr>
          <w:rFonts w:eastAsia="仿宋_GB2312" w:cs="Times New Roman"/>
        </w:rPr>
        <w:t>（9）《中华人民共和国城乡规划法》（2008年）；</w:t>
      </w:r>
    </w:p>
    <w:p>
      <w:pPr>
        <w:spacing w:line="560" w:lineRule="exact"/>
        <w:ind w:firstLine="640"/>
        <w:rPr>
          <w:rFonts w:eastAsia="仿宋_GB2312" w:cs="Times New Roman"/>
        </w:rPr>
      </w:pPr>
      <w:r>
        <w:rPr>
          <w:rFonts w:eastAsia="仿宋_GB2312" w:cs="Times New Roman"/>
        </w:rPr>
        <w:t>（10）《中华人民共和国可再生</w:t>
      </w:r>
      <w:r>
        <w:rPr>
          <w:rFonts w:hint="eastAsia" w:eastAsia="仿宋_GB2312" w:cs="Times New Roman"/>
          <w:lang w:eastAsia="zh-CN"/>
        </w:rPr>
        <w:t>能</w:t>
      </w:r>
      <w:bookmarkStart w:id="301" w:name="_GoBack"/>
      <w:bookmarkEnd w:id="301"/>
      <w:r>
        <w:rPr>
          <w:rFonts w:eastAsia="仿宋_GB2312" w:cs="Times New Roman"/>
        </w:rPr>
        <w:t>源法》（2006年）；</w:t>
      </w:r>
    </w:p>
    <w:p>
      <w:pPr>
        <w:spacing w:line="560" w:lineRule="exact"/>
        <w:ind w:firstLine="640"/>
        <w:rPr>
          <w:rFonts w:eastAsia="仿宋_GB2312" w:cs="Times New Roman"/>
        </w:rPr>
      </w:pPr>
      <w:r>
        <w:rPr>
          <w:rFonts w:eastAsia="仿宋_GB2312" w:cs="Times New Roman"/>
        </w:rPr>
        <w:t>（11）《中华人民共和国野生动物保护法》（2016年修订）；</w:t>
      </w:r>
    </w:p>
    <w:p>
      <w:pPr>
        <w:spacing w:line="560" w:lineRule="exact"/>
        <w:ind w:firstLine="640"/>
        <w:rPr>
          <w:rFonts w:eastAsia="仿宋_GB2312" w:cs="Times New Roman"/>
        </w:rPr>
      </w:pPr>
      <w:r>
        <w:rPr>
          <w:rFonts w:eastAsia="仿宋_GB2312" w:cs="Times New Roman"/>
        </w:rPr>
        <w:t>（12）《中华人民共和国矿产资源管理法》（2009年修订）；</w:t>
      </w:r>
    </w:p>
    <w:p>
      <w:pPr>
        <w:spacing w:line="560" w:lineRule="exact"/>
        <w:ind w:firstLine="640"/>
        <w:rPr>
          <w:rFonts w:eastAsia="仿宋_GB2312" w:cs="Times New Roman"/>
        </w:rPr>
      </w:pPr>
      <w:r>
        <w:rPr>
          <w:rFonts w:eastAsia="仿宋_GB2312" w:cs="Times New Roman"/>
        </w:rPr>
        <w:t>（13）《中华人民共和国文物保护法》（2013年）；</w:t>
      </w:r>
    </w:p>
    <w:p>
      <w:pPr>
        <w:spacing w:line="560" w:lineRule="exact"/>
        <w:ind w:firstLine="640"/>
        <w:rPr>
          <w:rFonts w:eastAsia="仿宋_GB2312" w:cs="Times New Roman"/>
        </w:rPr>
      </w:pPr>
      <w:r>
        <w:rPr>
          <w:rFonts w:eastAsia="仿宋_GB2312" w:cs="Times New Roman"/>
        </w:rPr>
        <w:t>（14）《中华人民共和国水土保持法》（2011年）；</w:t>
      </w:r>
    </w:p>
    <w:p>
      <w:pPr>
        <w:spacing w:line="560" w:lineRule="exact"/>
        <w:ind w:firstLine="640"/>
        <w:rPr>
          <w:rFonts w:eastAsia="仿宋_GB2312" w:cs="Times New Roman"/>
        </w:rPr>
      </w:pPr>
      <w:r>
        <w:rPr>
          <w:rFonts w:eastAsia="仿宋_GB2312" w:cs="Times New Roman"/>
        </w:rPr>
        <w:t>（15）《中华人民共和国水污染防治法》（2017年修订）；</w:t>
      </w:r>
    </w:p>
    <w:p>
      <w:pPr>
        <w:spacing w:line="560" w:lineRule="exact"/>
        <w:ind w:firstLine="640"/>
        <w:rPr>
          <w:rFonts w:eastAsia="仿宋_GB2312" w:cs="Times New Roman"/>
        </w:rPr>
      </w:pPr>
      <w:r>
        <w:rPr>
          <w:rFonts w:eastAsia="仿宋_GB2312" w:cs="Times New Roman"/>
        </w:rPr>
        <w:t>（16）《中华人民共和国大气污染防治法》（2015年）；</w:t>
      </w:r>
    </w:p>
    <w:p>
      <w:pPr>
        <w:spacing w:line="560" w:lineRule="exact"/>
        <w:ind w:firstLine="640"/>
        <w:rPr>
          <w:rFonts w:eastAsia="仿宋_GB2312" w:cs="Times New Roman"/>
        </w:rPr>
      </w:pPr>
      <w:r>
        <w:rPr>
          <w:rFonts w:eastAsia="仿宋_GB2312" w:cs="Times New Roman"/>
        </w:rPr>
        <w:t>（17）《中华人民共和国土壤污染防治法》（2018年）；</w:t>
      </w:r>
    </w:p>
    <w:p>
      <w:pPr>
        <w:spacing w:line="560" w:lineRule="exact"/>
        <w:ind w:firstLine="640"/>
        <w:rPr>
          <w:rFonts w:eastAsia="仿宋_GB2312" w:cs="Times New Roman"/>
        </w:rPr>
      </w:pPr>
      <w:r>
        <w:rPr>
          <w:rFonts w:eastAsia="仿宋_GB2312" w:cs="Times New Roman"/>
        </w:rPr>
        <w:t>（18）《中华人民共和国环境噪声污染防治法》（2018年修订）；</w:t>
      </w:r>
    </w:p>
    <w:p>
      <w:pPr>
        <w:spacing w:line="560" w:lineRule="exact"/>
        <w:ind w:firstLine="640"/>
        <w:rPr>
          <w:rFonts w:eastAsia="仿宋_GB2312" w:cs="Times New Roman"/>
        </w:rPr>
      </w:pPr>
      <w:r>
        <w:rPr>
          <w:rFonts w:eastAsia="仿宋_GB2312" w:cs="Times New Roman"/>
        </w:rPr>
        <w:t>（19）《中华人民共和国固体废物污染环境防治法》（2016年修订）；</w:t>
      </w:r>
    </w:p>
    <w:p>
      <w:pPr>
        <w:spacing w:line="560" w:lineRule="exact"/>
        <w:ind w:firstLine="640"/>
        <w:rPr>
          <w:rFonts w:eastAsia="仿宋_GB2312" w:cs="Times New Roman"/>
        </w:rPr>
      </w:pPr>
      <w:r>
        <w:rPr>
          <w:rFonts w:eastAsia="仿宋_GB2312" w:cs="Times New Roman"/>
        </w:rPr>
        <w:t>（20）《中华人民共和国自然保护区条例》（2017年修订）；</w:t>
      </w:r>
    </w:p>
    <w:p>
      <w:pPr>
        <w:spacing w:line="560" w:lineRule="exact"/>
        <w:ind w:firstLine="640"/>
        <w:rPr>
          <w:rFonts w:eastAsia="仿宋_GB2312" w:cs="Times New Roman"/>
        </w:rPr>
      </w:pPr>
      <w:r>
        <w:rPr>
          <w:rFonts w:eastAsia="仿宋_GB2312" w:cs="Times New Roman"/>
        </w:rPr>
        <w:t>（21）《中华人民共和国野生动物保护条例》（2016年修订）；</w:t>
      </w:r>
    </w:p>
    <w:p>
      <w:pPr>
        <w:spacing w:line="560" w:lineRule="exact"/>
        <w:ind w:firstLine="640"/>
        <w:rPr>
          <w:rFonts w:eastAsia="仿宋_GB2312" w:cs="Times New Roman"/>
        </w:rPr>
      </w:pPr>
      <w:r>
        <w:rPr>
          <w:rFonts w:eastAsia="仿宋_GB2312" w:cs="Times New Roman"/>
        </w:rPr>
        <w:t>（22）《中华人民共和国野生植物保护条例》（2017年修订）；</w:t>
      </w:r>
    </w:p>
    <w:p>
      <w:pPr>
        <w:spacing w:line="560" w:lineRule="exact"/>
        <w:ind w:firstLine="640"/>
        <w:rPr>
          <w:rFonts w:eastAsia="仿宋_GB2312" w:cs="Times New Roman"/>
        </w:rPr>
      </w:pPr>
      <w:r>
        <w:rPr>
          <w:rFonts w:eastAsia="仿宋_GB2312" w:cs="Times New Roman"/>
        </w:rPr>
        <w:t>（23）《风景名胜区条例》（2016年修订）；</w:t>
      </w:r>
    </w:p>
    <w:p>
      <w:pPr>
        <w:spacing w:line="560" w:lineRule="exact"/>
        <w:ind w:firstLine="640"/>
        <w:rPr>
          <w:rFonts w:eastAsia="仿宋_GB2312" w:cs="Times New Roman"/>
        </w:rPr>
      </w:pPr>
      <w:r>
        <w:rPr>
          <w:rFonts w:eastAsia="仿宋_GB2312" w:cs="Times New Roman"/>
        </w:rPr>
        <w:t>（24）《中华人民共和国河道管理条例》（2017年修订）；</w:t>
      </w:r>
    </w:p>
    <w:p>
      <w:pPr>
        <w:spacing w:line="560" w:lineRule="exact"/>
        <w:ind w:firstLine="640"/>
        <w:rPr>
          <w:rFonts w:eastAsia="仿宋_GB2312" w:cs="Times New Roman"/>
        </w:rPr>
      </w:pPr>
      <w:r>
        <w:rPr>
          <w:rFonts w:eastAsia="仿宋_GB2312" w:cs="Times New Roman"/>
        </w:rPr>
        <w:t>（25）《中华人民共和国基本农田保护条例》（2011年）；</w:t>
      </w:r>
    </w:p>
    <w:p>
      <w:pPr>
        <w:spacing w:line="560" w:lineRule="exact"/>
        <w:ind w:firstLine="640"/>
        <w:rPr>
          <w:rFonts w:eastAsia="仿宋_GB2312" w:cs="Times New Roman"/>
        </w:rPr>
      </w:pPr>
      <w:r>
        <w:rPr>
          <w:rFonts w:eastAsia="仿宋_GB2312" w:cs="Times New Roman"/>
        </w:rPr>
        <w:t>（26）《广西壮族自治区环境保护条例》（2016年修订）；</w:t>
      </w:r>
    </w:p>
    <w:p>
      <w:pPr>
        <w:spacing w:line="560" w:lineRule="exact"/>
        <w:ind w:firstLine="640"/>
        <w:rPr>
          <w:rFonts w:eastAsia="仿宋_GB2312" w:cs="Times New Roman"/>
        </w:rPr>
      </w:pPr>
      <w:r>
        <w:rPr>
          <w:rFonts w:eastAsia="仿宋_GB2312" w:cs="Times New Roman"/>
        </w:rPr>
        <w:t>（27）《广西壮族自治区森林和野生动物类型自然保护区管理条例》（2016年修订）；</w:t>
      </w:r>
    </w:p>
    <w:p>
      <w:pPr>
        <w:spacing w:line="560" w:lineRule="exact"/>
        <w:ind w:firstLine="640"/>
        <w:rPr>
          <w:rFonts w:eastAsia="仿宋_GB2312" w:cs="Times New Roman"/>
        </w:rPr>
      </w:pPr>
      <w:r>
        <w:rPr>
          <w:rFonts w:eastAsia="仿宋_GB2312" w:cs="Times New Roman"/>
        </w:rPr>
        <w:t>（28）《广西壮族自治区饮用水水源保护条例》（2017年）；</w:t>
      </w:r>
    </w:p>
    <w:p>
      <w:pPr>
        <w:spacing w:line="560" w:lineRule="exact"/>
        <w:ind w:firstLine="640"/>
        <w:rPr>
          <w:rFonts w:eastAsia="仿宋_GB2312" w:cs="Times New Roman"/>
        </w:rPr>
      </w:pPr>
      <w:r>
        <w:rPr>
          <w:rFonts w:eastAsia="仿宋_GB2312" w:cs="Times New Roman"/>
        </w:rPr>
        <w:t>（29）《广西</w:t>
      </w:r>
      <w:r>
        <w:rPr>
          <w:rFonts w:hint="eastAsia" w:eastAsia="仿宋_GB2312" w:cs="Times New Roman"/>
        </w:rPr>
        <w:t>壮族自治区</w:t>
      </w:r>
      <w:r>
        <w:rPr>
          <w:rFonts w:eastAsia="仿宋_GB2312" w:cs="Times New Roman"/>
        </w:rPr>
        <w:t>湿地保护条例》（2014年）；</w:t>
      </w:r>
    </w:p>
    <w:p>
      <w:pPr>
        <w:spacing w:line="560" w:lineRule="exact"/>
        <w:ind w:firstLine="640"/>
        <w:rPr>
          <w:rFonts w:eastAsia="仿宋_GB2312" w:cs="Times New Roman"/>
        </w:rPr>
      </w:pPr>
      <w:r>
        <w:rPr>
          <w:rFonts w:eastAsia="仿宋_GB2312" w:cs="Times New Roman"/>
        </w:rPr>
        <w:t>（30）《广西壮族自治区风景名胜区管理条例》（2014年）。</w:t>
      </w:r>
    </w:p>
    <w:p>
      <w:pPr>
        <w:pStyle w:val="5"/>
        <w:spacing w:line="560" w:lineRule="exact"/>
        <w:ind w:firstLine="640"/>
        <w:rPr>
          <w:rFonts w:eastAsia="楷体_GB2312" w:cs="Times New Roman"/>
        </w:rPr>
      </w:pPr>
      <w:r>
        <w:rPr>
          <w:rFonts w:eastAsia="楷体_GB2312" w:cs="Times New Roman"/>
        </w:rPr>
        <w:t>（二）文件及规范</w:t>
      </w:r>
    </w:p>
    <w:p>
      <w:pPr>
        <w:spacing w:line="560" w:lineRule="exact"/>
        <w:ind w:firstLine="640"/>
        <w:rPr>
          <w:rFonts w:eastAsia="仿宋_GB2312" w:cs="Times New Roman"/>
        </w:rPr>
      </w:pPr>
      <w:r>
        <w:rPr>
          <w:rFonts w:eastAsia="仿宋_GB2312" w:cs="Times New Roman"/>
        </w:rPr>
        <w:t>（1）《党政领导干部生态环境损害责任追究办法（试行）》（2015年）；</w:t>
      </w:r>
    </w:p>
    <w:p>
      <w:pPr>
        <w:spacing w:line="560" w:lineRule="exact"/>
        <w:ind w:firstLine="640"/>
        <w:rPr>
          <w:rFonts w:eastAsia="仿宋_GB2312" w:cs="Times New Roman"/>
        </w:rPr>
      </w:pPr>
      <w:r>
        <w:rPr>
          <w:rFonts w:eastAsia="仿宋_GB2312" w:cs="Times New Roman"/>
        </w:rPr>
        <w:t>（2）《中共中央国务院关于加快推进生态文明建设的意见》（中发〔2015〕12号）；</w:t>
      </w:r>
    </w:p>
    <w:p>
      <w:pPr>
        <w:spacing w:line="560" w:lineRule="exact"/>
        <w:ind w:firstLine="640"/>
        <w:rPr>
          <w:rFonts w:eastAsia="仿宋_GB2312" w:cs="Times New Roman"/>
        </w:rPr>
      </w:pPr>
      <w:r>
        <w:rPr>
          <w:rFonts w:eastAsia="仿宋_GB2312" w:cs="Times New Roman"/>
        </w:rPr>
        <w:t>（3）《中共中央国务院关于全面加强生态环境保护坚决打好污染防治攻坚战的意见》（2018年）；</w:t>
      </w:r>
    </w:p>
    <w:p>
      <w:pPr>
        <w:spacing w:line="560" w:lineRule="exact"/>
        <w:ind w:firstLine="640"/>
        <w:rPr>
          <w:rFonts w:eastAsia="仿宋_GB2312" w:cs="Times New Roman"/>
        </w:rPr>
      </w:pPr>
      <w:r>
        <w:rPr>
          <w:rFonts w:eastAsia="仿宋_GB2312" w:cs="Times New Roman"/>
        </w:rPr>
        <w:t>（4）《国务院办公厅关于印发生态文明体制改革总体方案的通知》（中发〔2015〕25号）；</w:t>
      </w:r>
    </w:p>
    <w:p>
      <w:pPr>
        <w:spacing w:line="560" w:lineRule="exact"/>
        <w:ind w:firstLine="640"/>
        <w:rPr>
          <w:rFonts w:eastAsia="仿宋_GB2312" w:cs="Times New Roman"/>
        </w:rPr>
      </w:pPr>
      <w:r>
        <w:rPr>
          <w:rFonts w:eastAsia="仿宋_GB2312" w:cs="Times New Roman"/>
        </w:rPr>
        <w:t>（5）《国务院关于印发大气污染防治行动计划的通知》（国发〔2013〕37号）；</w:t>
      </w:r>
    </w:p>
    <w:p>
      <w:pPr>
        <w:spacing w:line="560" w:lineRule="exact"/>
        <w:ind w:firstLine="640"/>
        <w:rPr>
          <w:rFonts w:eastAsia="仿宋_GB2312" w:cs="Times New Roman"/>
        </w:rPr>
      </w:pPr>
      <w:r>
        <w:rPr>
          <w:rFonts w:eastAsia="仿宋_GB2312" w:cs="Times New Roman"/>
        </w:rPr>
        <w:t>（6）《国务院关于印发水污染防治行动计划的通知》（国发〔2015〕17号）；</w:t>
      </w:r>
    </w:p>
    <w:p>
      <w:pPr>
        <w:spacing w:line="560" w:lineRule="exact"/>
        <w:ind w:firstLine="640"/>
        <w:rPr>
          <w:rFonts w:eastAsia="仿宋_GB2312" w:cs="Times New Roman"/>
        </w:rPr>
      </w:pPr>
      <w:r>
        <w:rPr>
          <w:rFonts w:eastAsia="仿宋_GB2312" w:cs="Times New Roman"/>
        </w:rPr>
        <w:t>（7）《国务院关于印发土壤污染防治行动计划的通知》（国发〔2016〕31号）；</w:t>
      </w:r>
    </w:p>
    <w:p>
      <w:pPr>
        <w:spacing w:line="560" w:lineRule="exact"/>
        <w:ind w:firstLine="640"/>
        <w:rPr>
          <w:rFonts w:eastAsia="仿宋_GB2312" w:cs="Times New Roman"/>
        </w:rPr>
      </w:pPr>
      <w:r>
        <w:rPr>
          <w:rFonts w:eastAsia="仿宋_GB2312" w:cs="Times New Roman"/>
        </w:rPr>
        <w:t>（8）《关于促进小城镇健康发展的若干意见》（中发〔2000〕11号）；</w:t>
      </w:r>
    </w:p>
    <w:p>
      <w:pPr>
        <w:spacing w:line="560" w:lineRule="exact"/>
        <w:ind w:firstLine="640"/>
        <w:rPr>
          <w:rFonts w:eastAsia="仿宋_GB2312" w:cs="Times New Roman"/>
        </w:rPr>
      </w:pPr>
      <w:r>
        <w:rPr>
          <w:rFonts w:eastAsia="仿宋_GB2312" w:cs="Times New Roman"/>
        </w:rPr>
        <w:t>（9）《国家生态文明建设示范市县管理规程》（环生态〔2019〕76号）；</w:t>
      </w:r>
    </w:p>
    <w:p>
      <w:pPr>
        <w:spacing w:line="560" w:lineRule="exact"/>
        <w:ind w:firstLine="640"/>
        <w:rPr>
          <w:rFonts w:eastAsia="仿宋_GB2312" w:cs="Times New Roman"/>
        </w:rPr>
      </w:pPr>
      <w:r>
        <w:rPr>
          <w:rFonts w:eastAsia="仿宋_GB2312" w:cs="Times New Roman"/>
        </w:rPr>
        <w:t>（10）《国家生态文明建设示范市县建设指标》（环生态〔2019〕76号）；</w:t>
      </w:r>
    </w:p>
    <w:p>
      <w:pPr>
        <w:spacing w:line="560" w:lineRule="exact"/>
        <w:ind w:firstLine="640"/>
        <w:rPr>
          <w:rFonts w:eastAsia="仿宋_GB2312" w:cs="Times New Roman"/>
        </w:rPr>
      </w:pPr>
      <w:r>
        <w:rPr>
          <w:rFonts w:eastAsia="仿宋_GB2312" w:cs="Times New Roman"/>
        </w:rPr>
        <w:t>（11）《国家生态文明建设示范乡镇创建规划编制指南》（2015年6月10日）；</w:t>
      </w:r>
    </w:p>
    <w:p>
      <w:pPr>
        <w:spacing w:line="560" w:lineRule="exact"/>
        <w:ind w:firstLine="640"/>
        <w:rPr>
          <w:rFonts w:eastAsia="仿宋_GB2312" w:cs="Times New Roman"/>
        </w:rPr>
      </w:pPr>
      <w:r>
        <w:rPr>
          <w:rFonts w:eastAsia="仿宋_GB2312" w:cs="Times New Roman"/>
        </w:rPr>
        <w:t>（12）《关于开展第</w:t>
      </w:r>
      <w:r>
        <w:rPr>
          <w:rFonts w:hint="eastAsia" w:eastAsia="仿宋_GB2312" w:cs="Times New Roman"/>
        </w:rPr>
        <w:t>三</w:t>
      </w:r>
      <w:r>
        <w:rPr>
          <w:rFonts w:eastAsia="仿宋_GB2312" w:cs="Times New Roman"/>
        </w:rPr>
        <w:t>批国家生态文明建设示范市县评选工作的通知》（环办生态函〔201</w:t>
      </w:r>
      <w:r>
        <w:rPr>
          <w:rFonts w:hint="eastAsia" w:eastAsia="仿宋_GB2312" w:cs="Times New Roman"/>
        </w:rPr>
        <w:t>9</w:t>
      </w:r>
      <w:r>
        <w:rPr>
          <w:rFonts w:eastAsia="仿宋_GB2312" w:cs="Times New Roman"/>
        </w:rPr>
        <w:t>〕</w:t>
      </w:r>
      <w:r>
        <w:rPr>
          <w:rFonts w:hint="eastAsia" w:eastAsia="仿宋_GB2312" w:cs="Times New Roman"/>
        </w:rPr>
        <w:t>733</w:t>
      </w:r>
      <w:r>
        <w:rPr>
          <w:rFonts w:eastAsia="仿宋_GB2312" w:cs="Times New Roman"/>
        </w:rPr>
        <w:t>号）；</w:t>
      </w:r>
    </w:p>
    <w:p>
      <w:pPr>
        <w:spacing w:line="560" w:lineRule="exact"/>
        <w:ind w:firstLine="640"/>
        <w:rPr>
          <w:rFonts w:eastAsia="仿宋_GB2312" w:cs="Times New Roman"/>
        </w:rPr>
      </w:pPr>
      <w:r>
        <w:rPr>
          <w:rFonts w:eastAsia="仿宋_GB2312" w:cs="Times New Roman"/>
        </w:rPr>
        <w:t>（13）《国家生态文明建设示范县、市规划编制指南》（试行）（2016年）；</w:t>
      </w:r>
    </w:p>
    <w:p>
      <w:pPr>
        <w:spacing w:line="560" w:lineRule="exact"/>
        <w:ind w:firstLine="640"/>
        <w:rPr>
          <w:rFonts w:eastAsia="仿宋_GB2312" w:cs="Times New Roman"/>
        </w:rPr>
      </w:pPr>
      <w:r>
        <w:rPr>
          <w:rFonts w:eastAsia="仿宋_GB2312" w:cs="Times New Roman"/>
        </w:rPr>
        <w:t>（14）《生态县、生态市建设规划编制大纲（试行）》（环办〔2004〕109号）；</w:t>
      </w:r>
    </w:p>
    <w:p>
      <w:pPr>
        <w:spacing w:line="560" w:lineRule="exact"/>
        <w:ind w:firstLine="640"/>
        <w:rPr>
          <w:rFonts w:eastAsia="仿宋_GB2312" w:cs="Times New Roman"/>
        </w:rPr>
      </w:pPr>
      <w:r>
        <w:rPr>
          <w:rFonts w:eastAsia="仿宋_GB2312" w:cs="Times New Roman"/>
        </w:rPr>
        <w:t>（15）《关于推进生态文明建设的指导意见》（环发〔2008〕126号）；</w:t>
      </w:r>
    </w:p>
    <w:p>
      <w:pPr>
        <w:spacing w:line="560" w:lineRule="exact"/>
        <w:ind w:firstLine="640"/>
        <w:rPr>
          <w:rFonts w:eastAsia="仿宋_GB2312" w:cs="Times New Roman"/>
        </w:rPr>
      </w:pPr>
      <w:r>
        <w:rPr>
          <w:rFonts w:eastAsia="仿宋_GB2312" w:cs="Times New Roman"/>
        </w:rPr>
        <w:t>（16）《关于进一步深化生态建设示范区工作的意见》（环发〔2010〕16号）；</w:t>
      </w:r>
    </w:p>
    <w:p>
      <w:pPr>
        <w:spacing w:line="560" w:lineRule="exact"/>
        <w:ind w:firstLine="640"/>
        <w:rPr>
          <w:rFonts w:eastAsia="仿宋_GB2312" w:cs="Times New Roman"/>
        </w:rPr>
      </w:pPr>
      <w:r>
        <w:rPr>
          <w:rFonts w:eastAsia="仿宋_GB2312" w:cs="Times New Roman"/>
        </w:rPr>
        <w:t>（17）《关于大力推进生态文明建设示范区工作的意见》（环发〔2013〕121号）；</w:t>
      </w:r>
    </w:p>
    <w:p>
      <w:pPr>
        <w:spacing w:line="560" w:lineRule="exact"/>
        <w:ind w:firstLine="640"/>
        <w:rPr>
          <w:rFonts w:eastAsia="仿宋_GB2312" w:cs="Times New Roman"/>
        </w:rPr>
      </w:pPr>
      <w:r>
        <w:rPr>
          <w:rFonts w:eastAsia="仿宋_GB2312" w:cs="Times New Roman"/>
        </w:rPr>
        <w:t>（18）《国家级公益林管理办法》（林资发〔2013〕71号）；</w:t>
      </w:r>
    </w:p>
    <w:p>
      <w:pPr>
        <w:spacing w:line="560" w:lineRule="exact"/>
        <w:ind w:firstLine="640"/>
        <w:rPr>
          <w:rFonts w:eastAsia="仿宋_GB2312" w:cs="Times New Roman"/>
        </w:rPr>
      </w:pPr>
      <w:r>
        <w:rPr>
          <w:rFonts w:eastAsia="仿宋_GB2312" w:cs="Times New Roman"/>
        </w:rPr>
        <w:t>（19）《饮用水水源保护区污染防治管理规定》（环保部令第16号，2010年）；</w:t>
      </w:r>
    </w:p>
    <w:p>
      <w:pPr>
        <w:spacing w:line="560" w:lineRule="exact"/>
        <w:ind w:firstLine="640"/>
        <w:rPr>
          <w:rFonts w:eastAsia="仿宋_GB2312" w:cs="Times New Roman"/>
        </w:rPr>
      </w:pPr>
      <w:r>
        <w:rPr>
          <w:rFonts w:eastAsia="仿宋_GB2312" w:cs="Times New Roman"/>
        </w:rPr>
        <w:t>（20）《中共广西壮族自治区委员会、广西壮族自治区人民政府关于推进生态文明示范区建设的决定》（桂发〔2010〕4号）；</w:t>
      </w:r>
    </w:p>
    <w:p>
      <w:pPr>
        <w:spacing w:line="560" w:lineRule="exact"/>
        <w:ind w:firstLine="640"/>
        <w:rPr>
          <w:rFonts w:eastAsia="仿宋_GB2312" w:cs="Times New Roman"/>
        </w:rPr>
      </w:pPr>
      <w:r>
        <w:rPr>
          <w:rFonts w:eastAsia="仿宋_GB2312" w:cs="Times New Roman"/>
        </w:rPr>
        <w:t>（21）《全面推进生态文明示范区建设总体实施方案》（桂政办发〔2010〕239号）；</w:t>
      </w:r>
    </w:p>
    <w:p>
      <w:pPr>
        <w:spacing w:line="560" w:lineRule="exact"/>
        <w:ind w:firstLine="640"/>
        <w:rPr>
          <w:rFonts w:eastAsia="仿宋_GB2312" w:cs="Times New Roman"/>
        </w:rPr>
      </w:pPr>
      <w:r>
        <w:rPr>
          <w:rFonts w:eastAsia="仿宋_GB2312" w:cs="Times New Roman"/>
        </w:rPr>
        <w:t>（22）《中共广西壮族自治区委员会广西壮族自治区人民政府关于大力发展生态经济深入推进生态文明建设的意见》（桂发〔2015〕9号）；</w:t>
      </w:r>
    </w:p>
    <w:p>
      <w:pPr>
        <w:spacing w:line="560" w:lineRule="exact"/>
        <w:ind w:firstLine="640"/>
        <w:rPr>
          <w:rFonts w:eastAsia="仿宋_GB2312" w:cs="Times New Roman"/>
        </w:rPr>
      </w:pPr>
      <w:r>
        <w:rPr>
          <w:rFonts w:eastAsia="仿宋_GB2312" w:cs="Times New Roman"/>
        </w:rPr>
        <w:t>（23）《广西壮族自治区环境保护厅关于积极开展国家生态文明建设示范市区创建的通知》（桂环函〔2018〕231号）；</w:t>
      </w:r>
    </w:p>
    <w:p>
      <w:pPr>
        <w:spacing w:line="560" w:lineRule="exact"/>
        <w:ind w:firstLine="640"/>
        <w:rPr>
          <w:rFonts w:eastAsia="仿宋_GB2312" w:cs="Times New Roman"/>
        </w:rPr>
      </w:pPr>
      <w:r>
        <w:rPr>
          <w:rFonts w:eastAsia="仿宋_GB2312" w:cs="Times New Roman"/>
        </w:rPr>
        <w:t>（24）《关于印发自治区级生态建设示范区申报及管理规定的通知》（桂环发〔2010〕131号）；</w:t>
      </w:r>
    </w:p>
    <w:p>
      <w:pPr>
        <w:spacing w:line="560" w:lineRule="exact"/>
        <w:ind w:firstLine="640"/>
        <w:rPr>
          <w:rFonts w:eastAsia="仿宋_GB2312" w:cs="Times New Roman"/>
        </w:rPr>
      </w:pPr>
      <w:r>
        <w:rPr>
          <w:rFonts w:eastAsia="仿宋_GB2312" w:cs="Times New Roman"/>
        </w:rPr>
        <w:t>（25）《广西</w:t>
      </w:r>
      <w:r>
        <w:rPr>
          <w:rFonts w:hint="eastAsia" w:eastAsia="仿宋_GB2312" w:cs="Times New Roman"/>
          <w:lang w:val="en-US" w:eastAsia="zh-CN"/>
        </w:rPr>
        <w:t>壮族</w:t>
      </w:r>
      <w:r>
        <w:rPr>
          <w:rFonts w:eastAsia="仿宋_GB2312" w:cs="Times New Roman"/>
        </w:rPr>
        <w:t>自治区级生态县申报及管理规定（2017年修订）》（桂环发〔2017〕7号）；</w:t>
      </w:r>
    </w:p>
    <w:p>
      <w:pPr>
        <w:spacing w:line="560" w:lineRule="exact"/>
        <w:ind w:firstLine="640"/>
        <w:rPr>
          <w:rFonts w:eastAsia="仿宋_GB2312" w:cs="Times New Roman"/>
        </w:rPr>
      </w:pPr>
      <w:r>
        <w:rPr>
          <w:rFonts w:eastAsia="仿宋_GB2312" w:cs="Times New Roman"/>
        </w:rPr>
        <w:t>（26）《广西大气污染防治攻坚三年作战方案（2018-2020年）》（桂政办发〔2018〕80号）；</w:t>
      </w:r>
    </w:p>
    <w:p>
      <w:pPr>
        <w:spacing w:line="560" w:lineRule="exact"/>
        <w:ind w:firstLine="640"/>
        <w:rPr>
          <w:rFonts w:eastAsia="仿宋_GB2312" w:cs="Times New Roman"/>
        </w:rPr>
      </w:pPr>
      <w:r>
        <w:rPr>
          <w:rFonts w:eastAsia="仿宋_GB2312" w:cs="Times New Roman"/>
        </w:rPr>
        <w:t>（27）《广西水污染防治攻坚三年作战方案（2018-2020年）》；</w:t>
      </w:r>
    </w:p>
    <w:p>
      <w:pPr>
        <w:spacing w:line="560" w:lineRule="exact"/>
        <w:ind w:firstLine="640"/>
        <w:rPr>
          <w:rFonts w:eastAsia="仿宋_GB2312" w:cs="Times New Roman"/>
        </w:rPr>
      </w:pPr>
      <w:r>
        <w:rPr>
          <w:rFonts w:eastAsia="仿宋_GB2312" w:cs="Times New Roman"/>
        </w:rPr>
        <w:t>（28）《广西土壤污染防治攻坚三年作战方案（2018-2020年）》（桂政办发〔2018〕82号）；</w:t>
      </w:r>
    </w:p>
    <w:p>
      <w:pPr>
        <w:spacing w:line="560" w:lineRule="exact"/>
        <w:ind w:firstLine="640"/>
        <w:rPr>
          <w:rFonts w:eastAsia="仿宋_GB2312" w:cs="Times New Roman"/>
        </w:rPr>
      </w:pPr>
      <w:r>
        <w:rPr>
          <w:rFonts w:eastAsia="仿宋_GB2312" w:cs="Times New Roman"/>
        </w:rPr>
        <w:t>（29）《广西生态环境保护基础设施建设三年作战方案（2018-2020年）》（桂政办发〔2018〕83号）；</w:t>
      </w:r>
    </w:p>
    <w:p>
      <w:pPr>
        <w:spacing w:line="560" w:lineRule="exact"/>
        <w:ind w:firstLine="640"/>
        <w:rPr>
          <w:rFonts w:eastAsia="仿宋_GB2312" w:cs="Times New Roman"/>
        </w:rPr>
      </w:pPr>
      <w:r>
        <w:rPr>
          <w:rFonts w:eastAsia="仿宋_GB2312" w:cs="Times New Roman"/>
        </w:rPr>
        <w:t>（30）《地表水环境质量标准》（GB3838-2002）；</w:t>
      </w:r>
    </w:p>
    <w:p>
      <w:pPr>
        <w:spacing w:line="560" w:lineRule="exact"/>
        <w:ind w:firstLine="640"/>
        <w:rPr>
          <w:rFonts w:eastAsia="仿宋_GB2312" w:cs="Times New Roman"/>
        </w:rPr>
      </w:pPr>
      <w:r>
        <w:rPr>
          <w:rFonts w:eastAsia="仿宋_GB2312" w:cs="Times New Roman"/>
        </w:rPr>
        <w:t>（31）《地下水环境质量标准》（GB/T14848-2017）；</w:t>
      </w:r>
    </w:p>
    <w:p>
      <w:pPr>
        <w:spacing w:line="560" w:lineRule="exact"/>
        <w:ind w:firstLine="640"/>
        <w:rPr>
          <w:rFonts w:eastAsia="仿宋_GB2312" w:cs="Times New Roman"/>
        </w:rPr>
      </w:pPr>
      <w:r>
        <w:rPr>
          <w:rFonts w:eastAsia="仿宋_GB2312" w:cs="Times New Roman"/>
        </w:rPr>
        <w:t>（32）《环境空气质量标准》（GB3095-2012）；</w:t>
      </w:r>
    </w:p>
    <w:p>
      <w:pPr>
        <w:spacing w:line="560" w:lineRule="exact"/>
        <w:ind w:firstLine="640"/>
        <w:rPr>
          <w:rFonts w:eastAsia="仿宋_GB2312" w:cs="Times New Roman"/>
        </w:rPr>
      </w:pPr>
      <w:r>
        <w:rPr>
          <w:rFonts w:eastAsia="仿宋_GB2312" w:cs="Times New Roman"/>
        </w:rPr>
        <w:t>（33）《声环境质量标准》（GB3096-2008）；</w:t>
      </w:r>
    </w:p>
    <w:p>
      <w:pPr>
        <w:spacing w:line="560" w:lineRule="exact"/>
        <w:ind w:firstLine="640"/>
        <w:rPr>
          <w:rFonts w:eastAsia="仿宋_GB2312" w:cs="Times New Roman"/>
        </w:rPr>
      </w:pPr>
      <w:r>
        <w:rPr>
          <w:rFonts w:eastAsia="仿宋_GB2312" w:cs="Times New Roman"/>
        </w:rPr>
        <w:t>（34）《土壤环境质量农用地土壤污染风险管控标准（试行）》（GB15618-2018）；</w:t>
      </w:r>
    </w:p>
    <w:p>
      <w:pPr>
        <w:spacing w:line="560" w:lineRule="exact"/>
        <w:ind w:firstLine="640"/>
        <w:rPr>
          <w:rFonts w:eastAsia="仿宋_GB2312" w:cs="Times New Roman"/>
        </w:rPr>
      </w:pPr>
      <w:r>
        <w:rPr>
          <w:rFonts w:eastAsia="仿宋_GB2312" w:cs="Times New Roman"/>
        </w:rPr>
        <w:t>（35）《土壤环境质量建设用地土壤污染风险管控标准（试行）》（GB36600-2018）；</w:t>
      </w:r>
    </w:p>
    <w:p>
      <w:pPr>
        <w:spacing w:line="560" w:lineRule="exact"/>
        <w:ind w:firstLine="640"/>
        <w:rPr>
          <w:rFonts w:eastAsia="仿宋_GB2312" w:cs="Times New Roman"/>
        </w:rPr>
      </w:pPr>
      <w:r>
        <w:rPr>
          <w:rFonts w:eastAsia="仿宋_GB2312" w:cs="Times New Roman"/>
        </w:rPr>
        <w:t>（36）《生态环境状况评价技术规范》（HJ192-2015）；</w:t>
      </w:r>
    </w:p>
    <w:p>
      <w:pPr>
        <w:spacing w:line="560" w:lineRule="exact"/>
        <w:ind w:firstLine="640"/>
        <w:rPr>
          <w:rFonts w:eastAsia="仿宋_GB2312" w:cs="Times New Roman"/>
        </w:rPr>
      </w:pPr>
      <w:r>
        <w:rPr>
          <w:rFonts w:eastAsia="仿宋_GB2312" w:cs="Times New Roman"/>
        </w:rPr>
        <w:t>（37）《绿色建筑评价标准》（GB/T50378-201</w:t>
      </w:r>
      <w:r>
        <w:rPr>
          <w:rFonts w:hint="eastAsia" w:eastAsia="仿宋_GB2312" w:cs="Times New Roman"/>
        </w:rPr>
        <w:t>9</w:t>
      </w:r>
      <w:r>
        <w:rPr>
          <w:rFonts w:eastAsia="仿宋_GB2312" w:cs="Times New Roman"/>
        </w:rPr>
        <w:t>）；</w:t>
      </w:r>
    </w:p>
    <w:p>
      <w:pPr>
        <w:spacing w:line="560" w:lineRule="exact"/>
        <w:ind w:firstLine="640"/>
        <w:rPr>
          <w:rFonts w:eastAsia="仿宋_GB2312" w:cs="Times New Roman"/>
        </w:rPr>
      </w:pPr>
      <w:r>
        <w:rPr>
          <w:rFonts w:eastAsia="仿宋_GB2312" w:cs="Times New Roman"/>
        </w:rPr>
        <w:t>（38）《领导干部自然资源资产离任审计规定（试行）》</w:t>
      </w:r>
      <w:r>
        <w:rPr>
          <w:rFonts w:hint="eastAsia" w:eastAsia="仿宋_GB2312" w:cs="Times New Roman"/>
        </w:rPr>
        <w:t>；</w:t>
      </w:r>
    </w:p>
    <w:p>
      <w:pPr>
        <w:spacing w:line="560" w:lineRule="exact"/>
        <w:ind w:firstLine="640"/>
        <w:rPr>
          <w:rFonts w:eastAsia="仿宋_GB2312" w:cs="Times New Roman"/>
        </w:rPr>
      </w:pPr>
      <w:r>
        <w:rPr>
          <w:rFonts w:eastAsia="仿宋_GB2312" w:cs="Times New Roman"/>
        </w:rPr>
        <w:t>（3</w:t>
      </w:r>
      <w:r>
        <w:rPr>
          <w:rFonts w:hint="eastAsia" w:eastAsia="仿宋_GB2312" w:cs="Times New Roman"/>
        </w:rPr>
        <w:t>9</w:t>
      </w:r>
      <w:r>
        <w:rPr>
          <w:rFonts w:eastAsia="仿宋_GB2312" w:cs="Times New Roman"/>
        </w:rPr>
        <w:t>）</w:t>
      </w:r>
      <w:r>
        <w:rPr>
          <w:rFonts w:hint="eastAsia" w:eastAsia="仿宋_GB2312" w:cs="Times New Roman"/>
        </w:rPr>
        <w:t>中共柳州市委办公室  柳州市人民政府办公室关于印发《柳州市生态文明建设目标评价考核实施办法》的通知（柳办〔2018〕50号）；</w:t>
      </w:r>
    </w:p>
    <w:p>
      <w:pPr>
        <w:spacing w:line="560" w:lineRule="exact"/>
        <w:ind w:firstLine="640"/>
        <w:rPr>
          <w:rFonts w:eastAsia="仿宋_GB2312" w:cs="Times New Roman"/>
        </w:rPr>
      </w:pPr>
      <w:r>
        <w:rPr>
          <w:rFonts w:eastAsia="仿宋_GB2312" w:cs="Times New Roman"/>
        </w:rPr>
        <w:t>（</w:t>
      </w:r>
      <w:r>
        <w:rPr>
          <w:rFonts w:hint="eastAsia" w:eastAsia="仿宋_GB2312" w:cs="Times New Roman"/>
        </w:rPr>
        <w:t>40</w:t>
      </w:r>
      <w:r>
        <w:rPr>
          <w:rFonts w:eastAsia="仿宋_GB2312" w:cs="Times New Roman"/>
        </w:rPr>
        <w:t>）关于印发《柳州市绿色发展指标体系》《柳州市生态文明建设考核目标体系》的通知</w:t>
      </w:r>
      <w:r>
        <w:rPr>
          <w:rFonts w:hint="eastAsia" w:eastAsia="仿宋_GB2312" w:cs="Times New Roman"/>
        </w:rPr>
        <w:t>（</w:t>
      </w:r>
      <w:r>
        <w:rPr>
          <w:rFonts w:eastAsia="仿宋_GB2312" w:cs="Times New Roman"/>
        </w:rPr>
        <w:t>柳发改环资〔2019〕4号</w:t>
      </w:r>
      <w:r>
        <w:rPr>
          <w:rFonts w:hint="eastAsia" w:eastAsia="仿宋_GB2312" w:cs="Times New Roman"/>
        </w:rPr>
        <w:t>）</w:t>
      </w:r>
      <w:r>
        <w:rPr>
          <w:rFonts w:eastAsia="仿宋_GB2312" w:cs="Times New Roman"/>
        </w:rPr>
        <w:t>。</w:t>
      </w:r>
    </w:p>
    <w:p>
      <w:pPr>
        <w:pStyle w:val="5"/>
        <w:spacing w:line="560" w:lineRule="exact"/>
        <w:ind w:firstLine="640"/>
        <w:rPr>
          <w:rFonts w:eastAsia="楷体_GB2312" w:cs="Times New Roman"/>
        </w:rPr>
      </w:pPr>
      <w:r>
        <w:rPr>
          <w:rFonts w:eastAsia="楷体_GB2312" w:cs="Times New Roman"/>
        </w:rPr>
        <w:t>（三）相关规划</w:t>
      </w:r>
    </w:p>
    <w:p>
      <w:pPr>
        <w:spacing w:line="560" w:lineRule="exact"/>
        <w:ind w:firstLine="640"/>
        <w:rPr>
          <w:rFonts w:eastAsia="仿宋_GB2312" w:cs="Times New Roman"/>
        </w:rPr>
      </w:pPr>
      <w:r>
        <w:rPr>
          <w:rFonts w:eastAsia="仿宋_GB2312" w:cs="Times New Roman"/>
        </w:rPr>
        <w:t>（1）《中华人民共和国国民经济和社会发展第十三个五年规划纲要》（2016年）；</w:t>
      </w:r>
    </w:p>
    <w:p>
      <w:pPr>
        <w:spacing w:line="560" w:lineRule="exact"/>
        <w:ind w:firstLine="640"/>
        <w:rPr>
          <w:rFonts w:eastAsia="仿宋_GB2312" w:cs="Times New Roman"/>
        </w:rPr>
      </w:pPr>
      <w:r>
        <w:rPr>
          <w:rFonts w:eastAsia="仿宋_GB2312" w:cs="Times New Roman"/>
        </w:rPr>
        <w:t>（2）《“十三五”生态环境保护规划》；</w:t>
      </w:r>
    </w:p>
    <w:p>
      <w:pPr>
        <w:spacing w:line="560" w:lineRule="exact"/>
        <w:ind w:firstLine="640"/>
        <w:rPr>
          <w:rFonts w:eastAsia="仿宋_GB2312" w:cs="Times New Roman"/>
        </w:rPr>
      </w:pPr>
      <w:r>
        <w:rPr>
          <w:rFonts w:eastAsia="仿宋_GB2312" w:cs="Times New Roman"/>
        </w:rPr>
        <w:t>（3）《全国</w:t>
      </w:r>
      <w:r>
        <w:rPr>
          <w:rFonts w:hint="eastAsia" w:eastAsia="仿宋_GB2312" w:cs="Times New Roman"/>
        </w:rPr>
        <w:t>主体</w:t>
      </w:r>
      <w:r>
        <w:rPr>
          <w:rFonts w:eastAsia="仿宋_GB2312" w:cs="Times New Roman"/>
        </w:rPr>
        <w:t>功能区</w:t>
      </w:r>
      <w:r>
        <w:rPr>
          <w:rFonts w:hint="eastAsia" w:eastAsia="仿宋_GB2312" w:cs="Times New Roman"/>
        </w:rPr>
        <w:t>规划</w:t>
      </w:r>
      <w:r>
        <w:rPr>
          <w:rFonts w:eastAsia="仿宋_GB2312" w:cs="Times New Roman"/>
        </w:rPr>
        <w:t>》（20</w:t>
      </w:r>
      <w:r>
        <w:rPr>
          <w:rFonts w:hint="eastAsia" w:eastAsia="仿宋_GB2312" w:cs="Times New Roman"/>
        </w:rPr>
        <w:t>10</w:t>
      </w:r>
      <w:r>
        <w:rPr>
          <w:rFonts w:eastAsia="仿宋_GB2312" w:cs="Times New Roman"/>
        </w:rPr>
        <w:t>年）；</w:t>
      </w:r>
    </w:p>
    <w:p>
      <w:pPr>
        <w:spacing w:line="560" w:lineRule="exact"/>
        <w:ind w:firstLine="640"/>
        <w:rPr>
          <w:rFonts w:eastAsia="仿宋_GB2312" w:cs="Times New Roman"/>
        </w:rPr>
      </w:pPr>
      <w:r>
        <w:rPr>
          <w:rFonts w:eastAsia="仿宋_GB2312" w:cs="Times New Roman"/>
        </w:rPr>
        <w:t>（4）《国务院关于印发全国主体功能区规划的通知》（国发〔2010〕46号）；</w:t>
      </w:r>
    </w:p>
    <w:p>
      <w:pPr>
        <w:spacing w:line="560" w:lineRule="exact"/>
        <w:ind w:firstLine="640"/>
        <w:rPr>
          <w:rFonts w:eastAsia="仿宋_GB2312" w:cs="Times New Roman"/>
        </w:rPr>
      </w:pPr>
      <w:r>
        <w:rPr>
          <w:rFonts w:eastAsia="仿宋_GB2312" w:cs="Times New Roman"/>
        </w:rPr>
        <w:t>（5）《全国生态脆弱区保护规划纲要》（2008年）；</w:t>
      </w:r>
    </w:p>
    <w:p>
      <w:pPr>
        <w:spacing w:line="560" w:lineRule="exact"/>
        <w:ind w:firstLine="640"/>
        <w:rPr>
          <w:rFonts w:eastAsia="仿宋_GB2312" w:cs="Times New Roman"/>
        </w:rPr>
      </w:pPr>
      <w:r>
        <w:rPr>
          <w:rFonts w:eastAsia="仿宋_GB2312" w:cs="Times New Roman"/>
        </w:rPr>
        <w:t>（6）《全国生态功能区划（修编版）》（2015年）；</w:t>
      </w:r>
    </w:p>
    <w:p>
      <w:pPr>
        <w:spacing w:line="560" w:lineRule="exact"/>
        <w:ind w:firstLine="640"/>
        <w:rPr>
          <w:rFonts w:eastAsia="仿宋_GB2312" w:cs="Times New Roman"/>
        </w:rPr>
      </w:pPr>
      <w:r>
        <w:rPr>
          <w:rFonts w:eastAsia="仿宋_GB2312" w:cs="Times New Roman"/>
        </w:rPr>
        <w:t>（7）《全国生态保护“十三五”规划纲要》（2016年）；</w:t>
      </w:r>
    </w:p>
    <w:p>
      <w:pPr>
        <w:spacing w:line="560" w:lineRule="exact"/>
        <w:ind w:firstLine="640"/>
        <w:rPr>
          <w:rFonts w:eastAsia="仿宋_GB2312" w:cs="Times New Roman"/>
        </w:rPr>
      </w:pPr>
      <w:r>
        <w:rPr>
          <w:rFonts w:eastAsia="仿宋_GB2312" w:cs="Times New Roman"/>
        </w:rPr>
        <w:t>（8）《生态广西建设规划纲要》（桂政发〔2007〕34号）；</w:t>
      </w:r>
    </w:p>
    <w:p>
      <w:pPr>
        <w:spacing w:line="560" w:lineRule="exact"/>
        <w:ind w:firstLine="640"/>
        <w:rPr>
          <w:rFonts w:eastAsia="仿宋_GB2312" w:cs="Times New Roman"/>
        </w:rPr>
      </w:pPr>
      <w:r>
        <w:rPr>
          <w:rFonts w:eastAsia="仿宋_GB2312" w:cs="Times New Roman"/>
        </w:rPr>
        <w:t>（9）《广西国民经济和社会发展第十三个五年规划纲要》；</w:t>
      </w:r>
    </w:p>
    <w:p>
      <w:pPr>
        <w:spacing w:line="560" w:lineRule="exact"/>
        <w:ind w:firstLine="640"/>
        <w:rPr>
          <w:rFonts w:eastAsia="仿宋_GB2312" w:cs="Times New Roman"/>
        </w:rPr>
      </w:pPr>
      <w:r>
        <w:rPr>
          <w:rFonts w:eastAsia="仿宋_GB2312" w:cs="Times New Roman"/>
        </w:rPr>
        <w:t>（10）《广西环境保护和生态建设“十三五”规划》；</w:t>
      </w:r>
    </w:p>
    <w:p>
      <w:pPr>
        <w:spacing w:line="560" w:lineRule="exact"/>
        <w:ind w:firstLine="640"/>
        <w:rPr>
          <w:rFonts w:eastAsia="仿宋_GB2312" w:cs="Times New Roman"/>
        </w:rPr>
      </w:pPr>
      <w:r>
        <w:rPr>
          <w:rFonts w:eastAsia="仿宋_GB2312" w:cs="Times New Roman"/>
        </w:rPr>
        <w:t>（11）《关于印发广西壮族自治区主体功能区的通知》（桂政发〔2012〕89号）；</w:t>
      </w:r>
    </w:p>
    <w:p>
      <w:pPr>
        <w:spacing w:line="560" w:lineRule="exact"/>
        <w:ind w:firstLine="640"/>
        <w:rPr>
          <w:rFonts w:eastAsia="仿宋_GB2312" w:cs="Times New Roman"/>
        </w:rPr>
      </w:pPr>
      <w:r>
        <w:rPr>
          <w:rFonts w:eastAsia="仿宋_GB2312" w:cs="Times New Roman"/>
        </w:rPr>
        <w:t>（12）《关于印发广西壮族自治区生态功能区划的通知》（桂政办发〔2008〕8号）；</w:t>
      </w:r>
    </w:p>
    <w:p>
      <w:pPr>
        <w:spacing w:line="560" w:lineRule="exact"/>
        <w:ind w:firstLine="640"/>
        <w:rPr>
          <w:rFonts w:eastAsia="仿宋_GB2312" w:cs="Times New Roman"/>
        </w:rPr>
      </w:pPr>
      <w:r>
        <w:rPr>
          <w:rFonts w:eastAsia="仿宋_GB2312" w:cs="Times New Roman"/>
        </w:rPr>
        <w:t>（13）《“美丽广西”乡村建设重大活动规划纲要（2013-2020年）》（桂办发〔2013〕24号）；</w:t>
      </w:r>
    </w:p>
    <w:p>
      <w:pPr>
        <w:spacing w:line="560" w:lineRule="exact"/>
        <w:ind w:firstLine="640"/>
        <w:rPr>
          <w:rFonts w:eastAsia="仿宋_GB2312" w:cs="Times New Roman"/>
        </w:rPr>
      </w:pPr>
      <w:r>
        <w:rPr>
          <w:rFonts w:eastAsia="仿宋_GB2312" w:cs="Times New Roman"/>
        </w:rPr>
        <w:t>（14）《广西壮族自治区新型城镇化规划(2014-2020年)》（桂发〔2014〕13号）；</w:t>
      </w:r>
    </w:p>
    <w:p>
      <w:pPr>
        <w:spacing w:line="560" w:lineRule="exact"/>
        <w:ind w:firstLine="640"/>
        <w:rPr>
          <w:rFonts w:eastAsia="仿宋_GB2312" w:cs="Times New Roman"/>
        </w:rPr>
      </w:pPr>
      <w:r>
        <w:rPr>
          <w:rFonts w:eastAsia="仿宋_GB2312" w:cs="Times New Roman"/>
        </w:rPr>
        <w:t>（15）《广西壮族自治区资源综合利用规划（2012-2020年）》（桂发改环资〔2013〕1498号）；</w:t>
      </w:r>
    </w:p>
    <w:p>
      <w:pPr>
        <w:spacing w:line="560" w:lineRule="exact"/>
        <w:ind w:firstLine="640"/>
        <w:rPr>
          <w:rFonts w:eastAsia="仿宋_GB2312" w:cs="Times New Roman"/>
        </w:rPr>
      </w:pPr>
      <w:r>
        <w:rPr>
          <w:rFonts w:eastAsia="仿宋_GB2312" w:cs="Times New Roman"/>
        </w:rPr>
        <w:t>（16）《柳州生态市建设规划（2008年-2020年）》（柳政发〔2010〕68号）；</w:t>
      </w:r>
    </w:p>
    <w:p>
      <w:pPr>
        <w:spacing w:line="560" w:lineRule="exact"/>
        <w:ind w:firstLine="640"/>
        <w:rPr>
          <w:rFonts w:eastAsia="仿宋_GB2312" w:cs="Times New Roman"/>
        </w:rPr>
      </w:pPr>
      <w:r>
        <w:rPr>
          <w:rFonts w:eastAsia="仿宋_GB2312" w:cs="Times New Roman"/>
        </w:rPr>
        <w:t>（17）《柳州市国民经济和社会发展第十三个五年规划纲要》；</w:t>
      </w:r>
    </w:p>
    <w:p>
      <w:pPr>
        <w:spacing w:line="560" w:lineRule="exact"/>
        <w:ind w:firstLine="640"/>
        <w:rPr>
          <w:rFonts w:eastAsia="仿宋_GB2312" w:cs="Times New Roman"/>
        </w:rPr>
      </w:pPr>
      <w:r>
        <w:rPr>
          <w:rFonts w:eastAsia="仿宋_GB2312" w:cs="Times New Roman"/>
        </w:rPr>
        <w:t>（18）《柳州市环境保护“十三五”规划》；</w:t>
      </w:r>
    </w:p>
    <w:p>
      <w:pPr>
        <w:spacing w:line="560" w:lineRule="exact"/>
        <w:ind w:firstLine="640"/>
        <w:rPr>
          <w:rFonts w:eastAsia="仿宋_GB2312" w:cs="Times New Roman"/>
        </w:rPr>
      </w:pPr>
      <w:r>
        <w:rPr>
          <w:rFonts w:eastAsia="仿宋_GB2312" w:cs="Times New Roman"/>
        </w:rPr>
        <w:t>（19）《柳州市工业和信息化发展“十三五”规划》；</w:t>
      </w:r>
    </w:p>
    <w:p>
      <w:pPr>
        <w:spacing w:line="560" w:lineRule="exact"/>
        <w:ind w:firstLine="640"/>
        <w:rPr>
          <w:rFonts w:eastAsia="仿宋_GB2312" w:cs="Times New Roman"/>
        </w:rPr>
      </w:pPr>
      <w:r>
        <w:rPr>
          <w:rFonts w:eastAsia="仿宋_GB2312" w:cs="Times New Roman"/>
        </w:rPr>
        <w:t>（20）《柳州市“十三五”林业发展规划（2016-2020年）》；</w:t>
      </w:r>
    </w:p>
    <w:p>
      <w:pPr>
        <w:spacing w:line="560" w:lineRule="exact"/>
        <w:ind w:firstLine="640"/>
        <w:rPr>
          <w:rFonts w:eastAsia="仿宋_GB2312" w:cs="Times New Roman"/>
        </w:rPr>
      </w:pPr>
      <w:r>
        <w:rPr>
          <w:rFonts w:eastAsia="仿宋_GB2312" w:cs="Times New Roman"/>
        </w:rPr>
        <w:t>（21）《柳州市耕地土壤环境保护方案》（柳农业政发〔2017〕98号）；</w:t>
      </w:r>
    </w:p>
    <w:p>
      <w:pPr>
        <w:spacing w:line="560" w:lineRule="exact"/>
        <w:ind w:firstLine="640"/>
        <w:rPr>
          <w:rFonts w:eastAsia="仿宋_GB2312" w:cs="Times New Roman"/>
        </w:rPr>
      </w:pPr>
      <w:r>
        <w:rPr>
          <w:rFonts w:eastAsia="仿宋_GB2312" w:cs="Times New Roman"/>
        </w:rPr>
        <w:t>（22）《柳州市土地利用总体规划（2006-2020）》；</w:t>
      </w:r>
    </w:p>
    <w:p>
      <w:pPr>
        <w:spacing w:line="560" w:lineRule="exact"/>
        <w:ind w:firstLine="640"/>
        <w:rPr>
          <w:rFonts w:eastAsia="仿宋_GB2312" w:cs="Times New Roman"/>
        </w:rPr>
      </w:pPr>
      <w:r>
        <w:rPr>
          <w:rFonts w:eastAsia="仿宋_GB2312" w:cs="Times New Roman"/>
        </w:rPr>
        <w:t>（23）《柳州市水污染防治行动计划工作方案》（2016年）；</w:t>
      </w:r>
    </w:p>
    <w:p>
      <w:pPr>
        <w:spacing w:line="560" w:lineRule="exact"/>
        <w:ind w:firstLine="640"/>
        <w:rPr>
          <w:rFonts w:eastAsia="仿宋_GB2312" w:cs="Times New Roman"/>
        </w:rPr>
      </w:pPr>
      <w:r>
        <w:rPr>
          <w:rFonts w:eastAsia="仿宋_GB2312" w:cs="Times New Roman"/>
        </w:rPr>
        <w:t>（24）《广西柳州大气污染防治2018年度实施计划》（2018年）；</w:t>
      </w:r>
    </w:p>
    <w:p>
      <w:pPr>
        <w:spacing w:line="560" w:lineRule="exact"/>
        <w:ind w:firstLine="640"/>
        <w:rPr>
          <w:rFonts w:eastAsia="仿宋_GB2312" w:cs="Times New Roman"/>
        </w:rPr>
      </w:pPr>
      <w:r>
        <w:rPr>
          <w:rFonts w:eastAsia="仿宋_GB2312" w:cs="Times New Roman"/>
        </w:rPr>
        <w:t>（25）《柳州市土壤污染防治攻坚三年作战方案（2018-2020年）》（柳政规〔2018〕86号）；</w:t>
      </w:r>
    </w:p>
    <w:p>
      <w:pPr>
        <w:spacing w:line="560" w:lineRule="exact"/>
        <w:ind w:firstLine="640"/>
        <w:rPr>
          <w:rFonts w:eastAsia="仿宋_GB2312" w:cs="Times New Roman"/>
        </w:rPr>
      </w:pPr>
      <w:r>
        <w:rPr>
          <w:rFonts w:eastAsia="仿宋_GB2312" w:cs="Times New Roman"/>
        </w:rPr>
        <w:t>（26）柳州市低碳发展规划（2017-2026年）；</w:t>
      </w:r>
    </w:p>
    <w:p>
      <w:pPr>
        <w:spacing w:line="560" w:lineRule="exact"/>
        <w:ind w:firstLine="640"/>
        <w:rPr>
          <w:rFonts w:eastAsia="仿宋_GB2312" w:cs="Times New Roman"/>
        </w:rPr>
      </w:pPr>
      <w:r>
        <w:rPr>
          <w:rFonts w:eastAsia="仿宋_GB2312" w:cs="Times New Roman"/>
        </w:rPr>
        <w:t>（27）柳州市柳江区国家生态文明建设示范县（区）规划(2018-2022年)；</w:t>
      </w:r>
    </w:p>
    <w:p>
      <w:pPr>
        <w:spacing w:line="560" w:lineRule="exact"/>
        <w:ind w:firstLine="640"/>
        <w:rPr>
          <w:rFonts w:eastAsia="仿宋_GB2312" w:cs="Times New Roman"/>
        </w:rPr>
      </w:pPr>
      <w:r>
        <w:rPr>
          <w:rFonts w:eastAsia="仿宋_GB2312" w:cs="Times New Roman"/>
        </w:rPr>
        <w:t>（28）三江侗族自治县国家生态文明建设示范县规划（2018-2023年）。</w:t>
      </w:r>
    </w:p>
    <w:p>
      <w:pPr>
        <w:pStyle w:val="4"/>
        <w:spacing w:line="560" w:lineRule="exact"/>
        <w:ind w:firstLine="640"/>
        <w:rPr>
          <w:b w:val="0"/>
          <w:bCs w:val="0"/>
        </w:rPr>
      </w:pPr>
      <w:bookmarkStart w:id="40" w:name="_Toc4260"/>
      <w:bookmarkStart w:id="41" w:name="_Toc11681"/>
      <w:bookmarkStart w:id="42" w:name="_Toc309"/>
      <w:bookmarkStart w:id="43" w:name="_Toc31381"/>
      <w:bookmarkStart w:id="44" w:name="_Toc11923"/>
      <w:bookmarkStart w:id="45" w:name="_Toc8401"/>
      <w:bookmarkStart w:id="46" w:name="_Toc4913"/>
      <w:bookmarkStart w:id="47" w:name="_Toc23141"/>
      <w:r>
        <w:rPr>
          <w:rFonts w:hint="eastAsia"/>
          <w:b w:val="0"/>
          <w:bCs w:val="0"/>
        </w:rPr>
        <w:t>四、规划范围与时限</w:t>
      </w:r>
      <w:bookmarkEnd w:id="40"/>
      <w:bookmarkEnd w:id="41"/>
      <w:bookmarkEnd w:id="42"/>
      <w:bookmarkEnd w:id="43"/>
      <w:bookmarkEnd w:id="44"/>
      <w:bookmarkEnd w:id="45"/>
      <w:bookmarkEnd w:id="46"/>
      <w:bookmarkEnd w:id="47"/>
    </w:p>
    <w:p>
      <w:pPr>
        <w:spacing w:line="560" w:lineRule="exact"/>
        <w:ind w:firstLine="640"/>
        <w:rPr>
          <w:rFonts w:eastAsia="仿宋_GB2312" w:cs="Times New Roman"/>
        </w:rPr>
      </w:pPr>
      <w:r>
        <w:rPr>
          <w:rFonts w:eastAsia="仿宋_GB2312" w:cs="Times New Roman"/>
        </w:rPr>
        <w:t>本次规划范围为柳州市行政区所辖范围，包括城中区、柳北区、柳南区、鱼峰区、柳江区等5个城区和柳城县、鹿寨县、融安县、融水苗族自治县、三江侗族自治县等5个县</w:t>
      </w:r>
      <w:r>
        <w:rPr>
          <w:rFonts w:hint="eastAsia" w:eastAsia="仿宋_GB2312" w:cs="Times New Roman"/>
        </w:rPr>
        <w:t>以及柳东新区、北部生态新区（阳和工业新区）</w:t>
      </w:r>
      <w:r>
        <w:rPr>
          <w:rFonts w:eastAsia="仿宋_GB2312" w:cs="Times New Roman"/>
        </w:rPr>
        <w:t>，总面积18597平方公里。</w:t>
      </w:r>
    </w:p>
    <w:p>
      <w:pPr>
        <w:spacing w:line="560" w:lineRule="exact"/>
        <w:ind w:firstLine="640"/>
      </w:pPr>
      <w:r>
        <w:rPr>
          <w:rFonts w:eastAsia="仿宋_GB2312" w:cs="Times New Roman"/>
        </w:rPr>
        <w:t>规划基准年为2018年（缺少2018年数据的指标沿用2017年的数据），规划期为2019-2030年，其中启动期为2019年，创建期为2020-2025年，巩固提升期为2026-2030年。</w:t>
      </w:r>
    </w:p>
    <w:p>
      <w:pPr>
        <w:ind w:firstLine="640"/>
        <w:sectPr>
          <w:headerReference r:id="rId16" w:type="first"/>
          <w:footerReference r:id="rId19" w:type="first"/>
          <w:footerReference r:id="rId17" w:type="default"/>
          <w:headerReference r:id="rId15" w:type="even"/>
          <w:footerReference r:id="rId18" w:type="even"/>
          <w:pgSz w:w="11906" w:h="16838"/>
          <w:pgMar w:top="1418" w:right="1418" w:bottom="1418" w:left="1418" w:header="851" w:footer="992" w:gutter="0"/>
          <w:pgNumType w:start="1"/>
          <w:cols w:space="720" w:num="1"/>
          <w:docGrid w:type="lines" w:linePitch="435" w:charSpace="0"/>
        </w:sectPr>
      </w:pPr>
    </w:p>
    <w:p>
      <w:pPr>
        <w:pStyle w:val="3"/>
        <w:spacing w:line="560" w:lineRule="exact"/>
        <w:ind w:firstLine="198" w:firstLineChars="45"/>
        <w:jc w:val="center"/>
        <w:rPr>
          <w:b w:val="0"/>
          <w:bCs w:val="0"/>
        </w:rPr>
      </w:pPr>
      <w:bookmarkStart w:id="48" w:name="_Toc11825"/>
      <w:bookmarkStart w:id="49" w:name="_Toc25089"/>
      <w:bookmarkStart w:id="50" w:name="_Toc21875"/>
      <w:bookmarkStart w:id="51" w:name="_Toc11467"/>
      <w:bookmarkStart w:id="52" w:name="_Toc24188"/>
      <w:bookmarkStart w:id="53" w:name="_Toc4945"/>
      <w:bookmarkStart w:id="54" w:name="_Toc3654"/>
      <w:r>
        <w:rPr>
          <w:b w:val="0"/>
          <w:bCs w:val="0"/>
        </w:rPr>
        <w:t>第</w:t>
      </w:r>
      <w:r>
        <w:rPr>
          <w:rFonts w:hint="eastAsia"/>
          <w:b w:val="0"/>
          <w:bCs w:val="0"/>
        </w:rPr>
        <w:t>二</w:t>
      </w:r>
      <w:r>
        <w:rPr>
          <w:b w:val="0"/>
          <w:bCs w:val="0"/>
        </w:rPr>
        <w:t xml:space="preserve">章 </w:t>
      </w:r>
      <w:r>
        <w:rPr>
          <w:rFonts w:hint="eastAsia"/>
          <w:b w:val="0"/>
          <w:bCs w:val="0"/>
        </w:rPr>
        <w:t>现状评估与趋势分析</w:t>
      </w:r>
      <w:bookmarkEnd w:id="48"/>
      <w:bookmarkEnd w:id="49"/>
      <w:bookmarkEnd w:id="50"/>
      <w:bookmarkEnd w:id="51"/>
      <w:bookmarkEnd w:id="52"/>
      <w:bookmarkEnd w:id="53"/>
      <w:bookmarkEnd w:id="54"/>
    </w:p>
    <w:p>
      <w:pPr>
        <w:pStyle w:val="4"/>
        <w:spacing w:line="560" w:lineRule="exact"/>
        <w:ind w:left="-320" w:leftChars="-100" w:right="-339" w:rightChars="-106" w:firstLine="640"/>
        <w:rPr>
          <w:b w:val="0"/>
          <w:bCs w:val="0"/>
        </w:rPr>
      </w:pPr>
      <w:bookmarkStart w:id="55" w:name="_Toc4138"/>
      <w:bookmarkStart w:id="56" w:name="_Toc11640"/>
      <w:bookmarkStart w:id="57" w:name="_Toc10178"/>
      <w:bookmarkStart w:id="58" w:name="_Toc25494"/>
      <w:bookmarkStart w:id="59" w:name="_Toc8644"/>
      <w:bookmarkStart w:id="60" w:name="_Toc9488"/>
      <w:bookmarkStart w:id="61" w:name="_Toc5729"/>
      <w:r>
        <w:rPr>
          <w:rFonts w:hint="eastAsia"/>
          <w:b w:val="0"/>
          <w:bCs w:val="0"/>
        </w:rPr>
        <w:t>一、基础优势</w:t>
      </w:r>
      <w:bookmarkEnd w:id="55"/>
      <w:bookmarkEnd w:id="56"/>
      <w:bookmarkEnd w:id="57"/>
      <w:bookmarkEnd w:id="58"/>
      <w:bookmarkEnd w:id="59"/>
      <w:bookmarkEnd w:id="60"/>
      <w:bookmarkEnd w:id="61"/>
    </w:p>
    <w:p>
      <w:pPr>
        <w:pStyle w:val="5"/>
        <w:spacing w:line="560" w:lineRule="exact"/>
        <w:ind w:left="-320" w:leftChars="-100" w:right="-339" w:rightChars="-106" w:firstLine="640"/>
        <w:rPr>
          <w:rFonts w:ascii="楷体_GB2312" w:hAnsi="楷体_GB2312" w:eastAsia="楷体_GB2312" w:cs="楷体_GB2312"/>
        </w:rPr>
      </w:pPr>
      <w:r>
        <w:rPr>
          <w:rFonts w:hint="eastAsia" w:ascii="楷体_GB2312" w:hAnsi="楷体_GB2312" w:eastAsia="楷体_GB2312" w:cs="楷体_GB2312"/>
        </w:rPr>
        <w:t>（一）区位优势突出</w:t>
      </w:r>
    </w:p>
    <w:p>
      <w:pPr>
        <w:spacing w:line="560" w:lineRule="exact"/>
        <w:ind w:left="-320" w:leftChars="-100" w:right="-339" w:rightChars="-106" w:firstLine="640"/>
        <w:rPr>
          <w:rFonts w:eastAsia="仿宋_GB2312" w:cs="Times New Roman"/>
        </w:rPr>
      </w:pPr>
      <w:r>
        <w:rPr>
          <w:rFonts w:eastAsia="仿宋_GB2312" w:cs="Times New Roman"/>
        </w:rPr>
        <w:t>柳州市交通便利，区位优势突出。东北距桂林约150公里，西南距南宁约250公里，距北海港、防城港、钦州港约400公里；是西江经济带的组成部分，处于我国南方开发区（华南经济圈）与大西南待开发区（西南经济圈）的交汇带，是经济高梯度地区和经济低梯度地区的连接带。公路、铁路、航空、航运交通运输网络发达，是沟通西南与中南、华东、华南地区的重要铁路枢纽，湘桂、黔桂、焦柳铁路和衡柳高速铁路、柳南城际铁路（亦称柳南客运专线）在此交汇，是全国45个公路主枢纽城市之一，境内有桂海、宜柳高速公路贯通，柳江航运可上溯贵州，下航港、澳，航空开通至北京、上海、广州、深圳等地航线，交通便利，优越的区位条件，可为生态文明建设示范市</w:t>
      </w:r>
      <w:r>
        <w:rPr>
          <w:rFonts w:hint="eastAsia" w:eastAsia="仿宋_GB2312" w:cs="Times New Roman"/>
        </w:rPr>
        <w:t>创建</w:t>
      </w:r>
      <w:r>
        <w:rPr>
          <w:rFonts w:eastAsia="仿宋_GB2312" w:cs="Times New Roman"/>
        </w:rPr>
        <w:t>提供更多的可利用因素。</w:t>
      </w:r>
    </w:p>
    <w:p>
      <w:pPr>
        <w:pStyle w:val="5"/>
        <w:spacing w:line="560" w:lineRule="exact"/>
        <w:ind w:left="-320" w:leftChars="-100" w:right="-339" w:rightChars="-106" w:firstLine="640"/>
        <w:rPr>
          <w:rFonts w:ascii="楷体_GB2312" w:hAnsi="楷体_GB2312" w:eastAsia="楷体_GB2312" w:cs="楷体_GB2312"/>
        </w:rPr>
      </w:pPr>
      <w:r>
        <w:rPr>
          <w:rFonts w:hint="eastAsia" w:ascii="楷体_GB2312" w:hAnsi="楷体_GB2312" w:eastAsia="楷体_GB2312" w:cs="楷体_GB2312"/>
        </w:rPr>
        <w:t>（二）生态优势明显</w:t>
      </w:r>
    </w:p>
    <w:p>
      <w:pPr>
        <w:spacing w:line="560" w:lineRule="exact"/>
        <w:ind w:left="-320" w:leftChars="-100" w:right="-339" w:rightChars="-106" w:firstLine="640"/>
        <w:rPr>
          <w:rFonts w:eastAsia="仿宋_GB2312" w:cs="Times New Roman"/>
        </w:rPr>
      </w:pPr>
      <w:r>
        <w:rPr>
          <w:rFonts w:eastAsia="仿宋_GB2312" w:cs="Times New Roman"/>
        </w:rPr>
        <w:t>1.自然生态条件优越</w:t>
      </w:r>
    </w:p>
    <w:p>
      <w:pPr>
        <w:spacing w:line="560" w:lineRule="exact"/>
        <w:ind w:left="-320" w:leftChars="-100" w:right="-339" w:rightChars="-106" w:firstLine="640"/>
        <w:rPr>
          <w:rFonts w:eastAsia="仿宋_GB2312" w:cs="Times New Roman"/>
        </w:rPr>
      </w:pPr>
      <w:r>
        <w:rPr>
          <w:rFonts w:eastAsia="仿宋_GB2312" w:cs="Times New Roman"/>
        </w:rPr>
        <w:t>柳州市地处亚热带北缘，气候温和，夏长冬短，雨量充沛，光照充足，雨热同季，具有良好的气候条件。柳州境内地势北高南低，以山地和丘陵地貌为主，其面积占土地总面积76%；北部为云贵高原东南缘，西北部地处九万大山山脉，东部和东南部为大苗山架岭和大瑶山，中部和东南部为岩溶残蚀峰林、峰林丛洼地、低山丘陵和河谷平原等地形。</w:t>
      </w:r>
    </w:p>
    <w:p>
      <w:pPr>
        <w:spacing w:line="560" w:lineRule="exact"/>
        <w:ind w:left="-320" w:leftChars="-100" w:right="-339" w:rightChars="-106" w:firstLine="640"/>
        <w:rPr>
          <w:rFonts w:eastAsia="仿宋_GB2312" w:cs="Times New Roman"/>
        </w:rPr>
      </w:pPr>
      <w:r>
        <w:rPr>
          <w:rFonts w:eastAsia="仿宋_GB2312" w:cs="Times New Roman"/>
        </w:rPr>
        <w:t>2.动植物资源丰富</w:t>
      </w:r>
    </w:p>
    <w:p>
      <w:pPr>
        <w:spacing w:line="560" w:lineRule="exact"/>
        <w:ind w:left="-320" w:leftChars="-100" w:right="-339" w:rightChars="-106" w:firstLine="640"/>
        <w:rPr>
          <w:rFonts w:cs="Times New Roman"/>
        </w:rPr>
      </w:pPr>
      <w:r>
        <w:rPr>
          <w:rFonts w:eastAsia="仿宋_GB2312" w:cs="Times New Roman"/>
        </w:rPr>
        <w:t>柳州市多样的地貌条件形成了多样化的生态环境，物种丰富。目前柳州市境内记录有蕨类植物、裸子植物和被子植物等植物资源共计2800余种，其中国家I级保护植物包括元宝山冷杉、南方红豆杉、伯乐树、掌叶木、合柱金莲木等，国家II级保护植物包括金毛狗蕨、桫椤、华南五针松、大叶榉树、马尾树等20余种。药用植物有白芨、七仙桃、石斛、三百草、百檀、黄柏等；香料植物有灵芝、含笑、茉莉、栀子等；攀岩植物有白藤、九龙藤、鸡血藤等。野生脊椎动物500多种，其中国家I级保护动物包括熊猴、云豹、金钱豹、林麝、白颈长尾雉、黄腹角雉、鼋、蟒等，国家II级保护动物包括猕猴、黑熊、大灵猫、小灵猫、松雀鹰、红腹锦鸡、白鹇、三线闭壳龟、大鲵、花鳗鲡等50余种。</w:t>
      </w:r>
    </w:p>
    <w:p>
      <w:pPr>
        <w:spacing w:line="560" w:lineRule="exact"/>
        <w:ind w:left="-320" w:leftChars="-100" w:right="-339" w:rightChars="-106" w:firstLine="640"/>
        <w:rPr>
          <w:rFonts w:eastAsia="仿宋_GB2312" w:cs="Times New Roman"/>
        </w:rPr>
      </w:pPr>
      <w:r>
        <w:rPr>
          <w:rFonts w:eastAsia="仿宋_GB2312" w:cs="Times New Roman"/>
        </w:rPr>
        <w:t>3.林木资源储量大</w:t>
      </w:r>
    </w:p>
    <w:p>
      <w:pPr>
        <w:spacing w:line="560" w:lineRule="exact"/>
        <w:ind w:left="-320" w:leftChars="-100" w:right="-339" w:rightChars="-106" w:firstLine="640"/>
        <w:rPr>
          <w:rFonts w:eastAsia="仿宋_GB2312" w:cs="Times New Roman"/>
        </w:rPr>
      </w:pPr>
      <w:r>
        <w:rPr>
          <w:rFonts w:eastAsia="仿宋_GB2312" w:cs="Times New Roman"/>
        </w:rPr>
        <w:t>柳州市森林面积和活立木蓄积量均排广西前列，其中杉木产量居广西之首，毛竹产量居广西第二，油茶、油桐也居广西前列。</w:t>
      </w:r>
      <w:r>
        <w:rPr>
          <w:rFonts w:eastAsia="仿宋_GB2312" w:cs="Times New Roman"/>
          <w:kern w:val="0"/>
          <w:szCs w:val="32"/>
        </w:rPr>
        <w:t>据柳州市自然资源和规划局提供，2018年柳州市林地面积110.55万公顷，占土地总面积（185.97万公顷）59.44%，林地包括有林地、灌木林地和其他林地。2017年柳州市活立木蓄积6830万立方米，其中乔木林6411万立方米、农地乔木林10万立方米、疏林6万立方米、散生木325万立方米、四旁树78万立方米。全市森林覆盖率达65%以上。</w:t>
      </w:r>
    </w:p>
    <w:p>
      <w:pPr>
        <w:spacing w:line="560" w:lineRule="exact"/>
        <w:ind w:left="-320" w:leftChars="-100" w:right="-339" w:rightChars="-106" w:firstLine="640"/>
        <w:rPr>
          <w:rFonts w:eastAsia="仿宋_GB2312" w:cs="Times New Roman"/>
        </w:rPr>
      </w:pPr>
      <w:r>
        <w:rPr>
          <w:rFonts w:eastAsia="仿宋_GB2312" w:cs="Times New Roman"/>
        </w:rPr>
        <w:t>4.水资源丰富</w:t>
      </w:r>
    </w:p>
    <w:p>
      <w:pPr>
        <w:pStyle w:val="8"/>
        <w:spacing w:line="560" w:lineRule="exact"/>
        <w:ind w:left="-320" w:leftChars="-100" w:right="-339" w:rightChars="-106" w:firstLine="640"/>
        <w:rPr>
          <w:rFonts w:ascii="Times New Roman" w:hAnsi="Times New Roman" w:eastAsia="仿宋_GB2312" w:cs="Times New Roman"/>
        </w:rPr>
      </w:pPr>
      <w:r>
        <w:rPr>
          <w:rFonts w:ascii="Times New Roman" w:hAnsi="Times New Roman" w:eastAsia="仿宋_GB2312" w:cs="Times New Roman"/>
          <w:sz w:val="32"/>
          <w:szCs w:val="22"/>
        </w:rPr>
        <w:t>柳州市具有丰富的水资源。2018年平均降水量1585.1毫米，折合降水总量294.5亿立方米，水资源总量为131.7亿立方米，折合径流深708.2毫米，径流系数0.45，多年平均径流系数0.62；全市有各类水利工程11.9万处，其中水库313座，总库容5.65亿立方米，年初蓄水量14234万立方米，年末蓄水量11067万立方米，年末蓄水量比年初蓄水量增加3167万立方米，全年全市水库最大蓄水量为14495万立方米，最小蓄水量为10683万立方米；全年蓄水工程供水总量18991万立方米，全年蓄、引、提供水总量57467万立方米；还有塘坝工程1311座，窖池工程2635座，水电站工程134座，装机容量93.5万千瓦，发电量30.7亿千瓦时；泵站工程1059座，水闸工程120座，灌溉工程48处，城乡人饮工程9.5万处。</w:t>
      </w:r>
      <w:r>
        <w:rPr>
          <w:rFonts w:ascii="Times New Roman" w:hAnsi="Times New Roman" w:eastAsia="仿宋_GB2312" w:cs="Times New Roman"/>
          <w:sz w:val="32"/>
          <w:szCs w:val="32"/>
        </w:rPr>
        <w:t>此外，柳江干流开发建成的麻石、浮石、古顶、大埔、红花等水电站正常蓄水位相应库容分别16050万立方米、11500万立方米、6915万立方米、23700万立方米、57000万立方米，总库容达115165万立方米；单独运行多年平均发电量分别为4.55亿</w:t>
      </w:r>
      <w:r>
        <w:rPr>
          <w:rFonts w:ascii="Times New Roman" w:hAnsi="Times New Roman" w:eastAsia="仿宋_GB2312" w:cs="Times New Roman"/>
          <w:sz w:val="32"/>
          <w:szCs w:val="22"/>
        </w:rPr>
        <w:t>千瓦时</w:t>
      </w:r>
      <w:r>
        <w:rPr>
          <w:rFonts w:ascii="Times New Roman" w:hAnsi="Times New Roman" w:eastAsia="仿宋_GB2312" w:cs="Times New Roman"/>
          <w:sz w:val="32"/>
          <w:szCs w:val="32"/>
        </w:rPr>
        <w:t>、2.878亿</w:t>
      </w:r>
      <w:r>
        <w:rPr>
          <w:rFonts w:ascii="Times New Roman" w:hAnsi="Times New Roman" w:eastAsia="仿宋_GB2312" w:cs="Times New Roman"/>
          <w:sz w:val="32"/>
          <w:szCs w:val="22"/>
        </w:rPr>
        <w:t>千瓦时</w:t>
      </w:r>
      <w:r>
        <w:rPr>
          <w:rFonts w:ascii="Times New Roman" w:hAnsi="Times New Roman" w:eastAsia="仿宋_GB2312" w:cs="Times New Roman"/>
          <w:sz w:val="32"/>
          <w:szCs w:val="32"/>
        </w:rPr>
        <w:t>、3.3181亿</w:t>
      </w:r>
      <w:r>
        <w:rPr>
          <w:rFonts w:ascii="Times New Roman" w:hAnsi="Times New Roman" w:eastAsia="仿宋_GB2312" w:cs="Times New Roman"/>
          <w:sz w:val="32"/>
          <w:szCs w:val="22"/>
        </w:rPr>
        <w:t>千瓦时</w:t>
      </w:r>
      <w:r>
        <w:rPr>
          <w:rFonts w:ascii="Times New Roman" w:hAnsi="Times New Roman" w:eastAsia="仿宋_GB2312" w:cs="Times New Roman"/>
          <w:sz w:val="32"/>
          <w:szCs w:val="32"/>
        </w:rPr>
        <w:t>、4.52亿</w:t>
      </w:r>
      <w:r>
        <w:rPr>
          <w:rFonts w:ascii="Times New Roman" w:hAnsi="Times New Roman" w:eastAsia="仿宋_GB2312" w:cs="Times New Roman"/>
          <w:sz w:val="32"/>
          <w:szCs w:val="22"/>
        </w:rPr>
        <w:t>千瓦时</w:t>
      </w:r>
      <w:r>
        <w:rPr>
          <w:rFonts w:ascii="Times New Roman" w:hAnsi="Times New Roman" w:eastAsia="仿宋_GB2312" w:cs="Times New Roman"/>
          <w:sz w:val="32"/>
          <w:szCs w:val="32"/>
        </w:rPr>
        <w:t>、8.8亿</w:t>
      </w:r>
      <w:r>
        <w:rPr>
          <w:rFonts w:ascii="Times New Roman" w:hAnsi="Times New Roman" w:eastAsia="仿宋_GB2312" w:cs="Times New Roman"/>
          <w:sz w:val="32"/>
          <w:szCs w:val="22"/>
        </w:rPr>
        <w:t>千瓦时</w:t>
      </w:r>
      <w:r>
        <w:rPr>
          <w:rFonts w:ascii="Times New Roman" w:hAnsi="Times New Roman" w:eastAsia="仿宋_GB2312" w:cs="Times New Roman"/>
          <w:sz w:val="32"/>
          <w:szCs w:val="32"/>
        </w:rPr>
        <w:t>，总计24.0661亿</w:t>
      </w:r>
      <w:r>
        <w:rPr>
          <w:rFonts w:ascii="Times New Roman" w:hAnsi="Times New Roman" w:eastAsia="仿宋_GB2312" w:cs="Times New Roman"/>
          <w:sz w:val="32"/>
          <w:szCs w:val="22"/>
        </w:rPr>
        <w:t>千瓦时</w:t>
      </w:r>
      <w:r>
        <w:rPr>
          <w:rFonts w:ascii="Times New Roman" w:hAnsi="Times New Roman" w:eastAsia="仿宋_GB2312" w:cs="Times New Roman"/>
          <w:sz w:val="32"/>
          <w:szCs w:val="32"/>
        </w:rPr>
        <w:t>。</w:t>
      </w:r>
    </w:p>
    <w:p>
      <w:pPr>
        <w:spacing w:line="560" w:lineRule="exact"/>
        <w:ind w:left="-320" w:leftChars="-100" w:right="-339" w:rightChars="-106" w:firstLine="640"/>
        <w:rPr>
          <w:rFonts w:eastAsia="仿宋_GB2312" w:cs="Times New Roman"/>
        </w:rPr>
      </w:pPr>
      <w:r>
        <w:rPr>
          <w:rFonts w:eastAsia="仿宋_GB2312" w:cs="Times New Roman"/>
        </w:rPr>
        <w:t>5.矿产资源储量丰富</w:t>
      </w:r>
    </w:p>
    <w:p>
      <w:pPr>
        <w:spacing w:line="560" w:lineRule="exact"/>
        <w:ind w:left="-320" w:leftChars="-100" w:right="-339" w:rightChars="-106" w:firstLine="640"/>
        <w:rPr>
          <w:rFonts w:eastAsia="仿宋_GB2312" w:cs="Times New Roman"/>
        </w:rPr>
      </w:pPr>
      <w:r>
        <w:rPr>
          <w:rFonts w:eastAsia="仿宋_GB2312" w:cs="Times New Roman"/>
        </w:rPr>
        <w:t>柳州市有矿产种类47种，其中非金属矿产资源优势明显。主要优势矿种有白云岩、熔剂用灰岩、水泥用灰岩、蛇纹岩、重晶石、砖瓦用页岩、水泥配料用砂岩、水泥配料用页岩、水泥配料用粘土9种；主要开发利用的矿种有铁、铜、铅</w:t>
      </w:r>
      <w:r>
        <w:rPr>
          <w:rFonts w:hint="eastAsia" w:eastAsia="仿宋_GB2312" w:cs="Times New Roman"/>
        </w:rPr>
        <w:t>、</w:t>
      </w:r>
      <w:r>
        <w:rPr>
          <w:rFonts w:eastAsia="仿宋_GB2312" w:cs="Times New Roman"/>
        </w:rPr>
        <w:t>锰、锡、锌、重晶石、水泥用灰岩、水泥配料用砂页岩、水泥用粘土、石英砂岩、建筑石料灰岩、制灰灰岩、砖瓦粘土、砖瓦页岩、蛇纹岩、辉绿岩、高岭土等矿种。水泥原料矿产集中度好，其中蛇纹岩是广西唯一有探明储量的矿区。镍矿、铁矿、铜锡矿等金属矿产有一定资源优势，有色金属矿产共伴生成分居多，综合利用价值大。</w:t>
      </w:r>
    </w:p>
    <w:p>
      <w:pPr>
        <w:spacing w:line="560" w:lineRule="exact"/>
        <w:ind w:left="-320" w:leftChars="-100" w:right="-339" w:rightChars="-106" w:firstLine="640"/>
        <w:rPr>
          <w:rFonts w:eastAsia="仿宋_GB2312" w:cs="Times New Roman"/>
        </w:rPr>
      </w:pPr>
      <w:r>
        <w:rPr>
          <w:rFonts w:eastAsia="仿宋_GB2312" w:cs="Times New Roman"/>
        </w:rPr>
        <w:t>6.旅游资源丰富</w:t>
      </w:r>
    </w:p>
    <w:p>
      <w:pPr>
        <w:spacing w:line="560" w:lineRule="exact"/>
        <w:ind w:left="-320" w:leftChars="-100" w:right="-339" w:rightChars="-106" w:firstLine="640"/>
        <w:rPr>
          <w:rFonts w:eastAsia="仿宋_GB2312" w:cs="Times New Roman"/>
        </w:rPr>
      </w:pPr>
      <w:r>
        <w:rPr>
          <w:rFonts w:eastAsia="仿宋_GB2312" w:cs="Times New Roman"/>
        </w:rPr>
        <w:t>柳州市是山水景观奇特的国家历史文化名城和中国优秀旅游城市，以独特的少数民族文化、史前文化、柳宗元文化、山歌文化、奇石文化和城市景观而闻名。全市有国家级A级景区32个，其中4A景区19个，3A景区13个。柳州市柳侯公园、柳州奇石馆入选第二届旅游业融合与创新论坛暨2014最美中国榜·旅游业最美中国目的地。</w:t>
      </w:r>
    </w:p>
    <w:p>
      <w:pPr>
        <w:spacing w:line="560" w:lineRule="exact"/>
        <w:ind w:left="-320" w:leftChars="-100" w:right="-339" w:rightChars="-106" w:firstLine="640"/>
        <w:rPr>
          <w:rFonts w:eastAsia="仿宋_GB2312" w:cs="Times New Roman"/>
        </w:rPr>
      </w:pPr>
      <w:r>
        <w:rPr>
          <w:rFonts w:eastAsia="仿宋_GB2312" w:cs="Times New Roman"/>
        </w:rPr>
        <w:t>7.人文资源优势凸显</w:t>
      </w:r>
    </w:p>
    <w:p>
      <w:pPr>
        <w:spacing w:line="560" w:lineRule="exact"/>
        <w:ind w:left="-320" w:leftChars="-100" w:right="-339" w:rightChars="-106" w:firstLine="640"/>
        <w:rPr>
          <w:rFonts w:eastAsia="仿宋_GB2312" w:cs="Times New Roman"/>
        </w:rPr>
      </w:pPr>
      <w:r>
        <w:rPr>
          <w:rFonts w:eastAsia="仿宋_GB2312" w:cs="Times New Roman"/>
        </w:rPr>
        <w:t>柳州市人文资源丰富，其中全国重点文物保护单位11个，第一批国家级非物质文化遗产有三江侗族木构建筑营造技艺、侗族大歌，融水苗族系列坡会群和彩调4项，柳州市古遗址与古建筑10余个，古墓群7个，近现代重要史迹及代表性建筑7个。</w:t>
      </w:r>
    </w:p>
    <w:p>
      <w:pPr>
        <w:spacing w:line="560" w:lineRule="exact"/>
        <w:ind w:left="-320" w:leftChars="-100" w:right="-339" w:rightChars="-106" w:firstLine="640"/>
        <w:rPr>
          <w:rFonts w:ascii="仿宋_GB2312" w:hAnsi="仿宋_GB2312" w:eastAsia="仿宋_GB2312" w:cs="仿宋_GB2312"/>
        </w:rPr>
      </w:pPr>
      <w:r>
        <w:rPr>
          <w:rFonts w:hint="eastAsia" w:ascii="仿宋_GB2312" w:hAnsi="仿宋_GB2312" w:eastAsia="仿宋_GB2312" w:cs="仿宋_GB2312"/>
        </w:rPr>
        <w:t>8.生态功能地位突出</w:t>
      </w:r>
    </w:p>
    <w:p>
      <w:pPr>
        <w:spacing w:line="560" w:lineRule="exact"/>
        <w:ind w:left="-320" w:leftChars="-100" w:right="-339" w:rightChars="-106" w:firstLine="640"/>
      </w:pPr>
      <w:r>
        <w:rPr>
          <w:rFonts w:hint="eastAsia" w:ascii="仿宋_GB2312" w:hAnsi="仿宋_GB2312" w:eastAsia="仿宋_GB2312" w:cs="仿宋_GB2312"/>
        </w:rPr>
        <w:t>柳州市属于广西“一屏五区一走廊”生态安全战略格局中桂西生态屏障和桂中生态功能区的一部分，担负着石漠化治理、水源涵养、生物多样性维护、石漠化和水土流失治理、恢复林草植被等生态功能。三江、融水两县属于国家级重点生态功能区；柳州市5个城区和鹿寨县城镇化水平较高，功能定位是打造区域性先进制造业基地、综合交通运输枢纽和现代物流商贸中心；柳城县、融安县属于广西限制开发区域的农产品主产区，是全区重要的商品粮生产基地。</w:t>
      </w:r>
    </w:p>
    <w:p>
      <w:pPr>
        <w:pStyle w:val="5"/>
        <w:spacing w:line="560" w:lineRule="exact"/>
        <w:ind w:left="-320" w:leftChars="-100" w:right="-339" w:rightChars="-106" w:firstLine="640"/>
        <w:rPr>
          <w:rFonts w:eastAsia="楷体_GB2312" w:cs="Times New Roman"/>
        </w:rPr>
      </w:pPr>
      <w:r>
        <w:rPr>
          <w:rFonts w:eastAsia="楷体_GB2312" w:cs="Times New Roman"/>
        </w:rPr>
        <w:t>（三）生态经济发展基础优良</w:t>
      </w:r>
    </w:p>
    <w:p>
      <w:pPr>
        <w:adjustRightInd w:val="0"/>
        <w:snapToGrid w:val="0"/>
        <w:spacing w:line="560" w:lineRule="exact"/>
        <w:ind w:left="-320" w:leftChars="-100" w:right="-339" w:rightChars="-106" w:firstLine="640"/>
        <w:rPr>
          <w:rFonts w:cs="Times New Roman"/>
          <w:b/>
          <w:bCs/>
        </w:rPr>
      </w:pPr>
      <w:r>
        <w:rPr>
          <w:rFonts w:eastAsia="仿宋_GB2312" w:cs="Times New Roman"/>
        </w:rPr>
        <w:t>近年来，柳州市科学统筹“稳增长、促改革、调结构、惠民生、优环境”等各项工作，全面加快“经济升级，城市转型”步伐，经济社会发展取得重大成就，综合实力明显提升，社会发展综合水平位居广西前列，为生态经济发展打下了良好基础。</w:t>
      </w:r>
    </w:p>
    <w:p>
      <w:pPr>
        <w:spacing w:line="560" w:lineRule="exact"/>
        <w:ind w:left="-320" w:leftChars="-100" w:right="-339" w:rightChars="-106" w:firstLine="640"/>
        <w:rPr>
          <w:rFonts w:eastAsia="仿宋_GB2312" w:cs="Times New Roman"/>
        </w:rPr>
      </w:pPr>
      <w:r>
        <w:rPr>
          <w:rFonts w:eastAsia="仿宋_GB2312" w:cs="Times New Roman"/>
        </w:rPr>
        <w:t>1.经济发展稳中有进</w:t>
      </w:r>
    </w:p>
    <w:p>
      <w:pPr>
        <w:adjustRightInd w:val="0"/>
        <w:snapToGrid w:val="0"/>
        <w:spacing w:line="560" w:lineRule="exact"/>
        <w:ind w:left="-320" w:leftChars="-100" w:right="-339" w:rightChars="-106" w:firstLine="640"/>
        <w:rPr>
          <w:rFonts w:eastAsia="仿宋_GB2312" w:cs="Times New Roman"/>
        </w:rPr>
      </w:pPr>
      <w:r>
        <w:rPr>
          <w:rFonts w:eastAsia="仿宋_GB2312" w:cs="Times New Roman"/>
        </w:rPr>
        <w:t>2018年，柳州市实现地区生产总值3053.65亿元，同比增长6.4%；其中第一产业增加值为195.00亿元，同比增速4.9%；第二产业增加值为1608.66亿元，同比增速2.6%；第三产业增加值为1249.99亿元，同比增速11.9%；社会经济发展水平整体位于全区前列；规模以上工业增加值1409.5亿元，比上年增长3.6%；固定资产投资增长15%；财政收入436.2亿元，比上年增长8%</w:t>
      </w:r>
      <w:r>
        <w:rPr>
          <w:rFonts w:hint="eastAsia" w:eastAsia="仿宋_GB2312" w:cs="Times New Roman"/>
        </w:rPr>
        <w:t>，</w:t>
      </w:r>
      <w:r>
        <w:rPr>
          <w:rFonts w:eastAsia="仿宋_GB2312" w:cs="Times New Roman"/>
        </w:rPr>
        <w:t>经济发展呈现缓中趋稳、稳中向好的发展态势。</w:t>
      </w:r>
    </w:p>
    <w:p>
      <w:pPr>
        <w:spacing w:line="560" w:lineRule="exact"/>
        <w:ind w:left="-320" w:leftChars="-100" w:right="-339" w:rightChars="-106" w:firstLine="640"/>
        <w:rPr>
          <w:rFonts w:eastAsia="仿宋_GB2312" w:cs="Times New Roman"/>
        </w:rPr>
      </w:pPr>
      <w:r>
        <w:rPr>
          <w:rFonts w:eastAsia="仿宋_GB2312" w:cs="Times New Roman"/>
        </w:rPr>
        <w:t>2.逐步形成新兴产业的现代工业体系</w:t>
      </w:r>
    </w:p>
    <w:p>
      <w:pPr>
        <w:tabs>
          <w:tab w:val="left" w:pos="0"/>
        </w:tabs>
        <w:adjustRightInd w:val="0"/>
        <w:snapToGrid w:val="0"/>
        <w:spacing w:line="560" w:lineRule="exact"/>
        <w:ind w:left="-320" w:leftChars="-100" w:right="-339" w:rightChars="-106" w:firstLine="640"/>
        <w:rPr>
          <w:rFonts w:cs="Times New Roman"/>
        </w:rPr>
      </w:pPr>
      <w:r>
        <w:rPr>
          <w:rFonts w:eastAsia="仿宋_GB2312" w:cs="Times New Roman"/>
        </w:rPr>
        <w:t>柳州市是广西最大的制造业基地，形成以汽车、机械、冶金三大支柱产业为龙头，制糖、烟草、造纸、制药、化工、建材、日用化工等优势产业和新材料、新能源汽车、环保、先进装备、电子信息、生物等战略性新兴产业的现代工业体系，是辐射大西南、面向东部沿海和东南亚的区域性制造业基地。</w:t>
      </w:r>
    </w:p>
    <w:p>
      <w:pPr>
        <w:spacing w:line="560" w:lineRule="exact"/>
        <w:ind w:left="-320" w:leftChars="-100" w:right="-339" w:rightChars="-106" w:firstLine="640"/>
        <w:rPr>
          <w:rFonts w:eastAsia="仿宋_GB2312" w:cs="Times New Roman"/>
        </w:rPr>
      </w:pPr>
      <w:r>
        <w:rPr>
          <w:rFonts w:eastAsia="仿宋_GB2312" w:cs="Times New Roman"/>
        </w:rPr>
        <w:t>3.实体经济稳步发展</w:t>
      </w:r>
    </w:p>
    <w:p>
      <w:pPr>
        <w:adjustRightInd w:val="0"/>
        <w:snapToGrid w:val="0"/>
        <w:spacing w:line="560" w:lineRule="exact"/>
        <w:ind w:left="-320" w:leftChars="-100" w:right="-339" w:rightChars="-106" w:firstLine="640"/>
        <w:rPr>
          <w:rFonts w:cs="Times New Roman"/>
        </w:rPr>
      </w:pPr>
      <w:r>
        <w:rPr>
          <w:rFonts w:eastAsia="仿宋_GB2312" w:cs="Times New Roman"/>
        </w:rPr>
        <w:t>柳州市充分发挥实业引擎作用，着力在传统产业优化升级、新兴产业创新发展中推动产业集聚、要素集聚和人口集聚，实体经济稳步发展；加大强农惠农富农力度，加快农业转方式、调结构、强基础，现代农业实现新发展；围绕产业结构升级，推动生产性服务业向专业化转变和价值链高端延伸，加快推进现代服务业十大工程和服务业集聚区建设，推动服务业创新发展，优势特色产业快速发展，服务业布局调整和优化升级成效显著；创新驱动发展战略深入实施，科技创新成为推进产业调整升级和发展方式转变的重要支撑。</w:t>
      </w:r>
    </w:p>
    <w:p>
      <w:pPr>
        <w:spacing w:line="560" w:lineRule="exact"/>
        <w:ind w:left="-320" w:leftChars="-100" w:right="-339" w:rightChars="-106" w:firstLine="640"/>
        <w:rPr>
          <w:rFonts w:eastAsia="仿宋_GB2312" w:cs="Times New Roman"/>
        </w:rPr>
      </w:pPr>
      <w:r>
        <w:rPr>
          <w:rFonts w:eastAsia="仿宋_GB2312" w:cs="Times New Roman"/>
        </w:rPr>
        <w:t>4.循环经济发展成效突出</w:t>
      </w:r>
    </w:p>
    <w:p>
      <w:pPr>
        <w:adjustRightInd w:val="0"/>
        <w:snapToGrid w:val="0"/>
        <w:spacing w:line="560" w:lineRule="exact"/>
        <w:ind w:left="-320" w:leftChars="-100" w:right="-339" w:rightChars="-106" w:firstLine="640"/>
        <w:rPr>
          <w:rFonts w:eastAsia="仿宋_GB2312" w:cs="Times New Roman"/>
        </w:rPr>
      </w:pPr>
      <w:r>
        <w:rPr>
          <w:rFonts w:eastAsia="仿宋_GB2312" w:cs="Times New Roman"/>
        </w:rPr>
        <w:t>柳州市强化节能减排目标责任制，大力发展绿色经济、循环经济、低碳经济，推动生态优势转化为产业优势、经济优势和发展优势。积极构建汽车、钢铁、机械、化工及日化、轻工5个传统产业和高端装备制造、新一代电子信息技术、节能环保、生物与制药、生产性服务业5个新兴产业的“5+5”产业发展新格局。持续推进绿色循环低碳发展，加快传统产业智能化、清洁化改造，促进战略性新兴产业集聚发展。规模以上工业企业万元工业增加值能耗累计完成下降8.8%，淘汰落后水泥产能271.1万吨、淘汰落后造纸产能3.6万吨、落后铁合金产能2万吨、落后钢铁产能15万吨。</w:t>
      </w:r>
      <w:r>
        <w:rPr>
          <w:rFonts w:hint="eastAsia" w:eastAsia="仿宋_GB2312" w:cs="Times New Roman"/>
        </w:rPr>
        <w:t>柳州市</w:t>
      </w:r>
      <w:r>
        <w:rPr>
          <w:rFonts w:eastAsia="仿宋_GB2312" w:cs="Times New Roman"/>
        </w:rPr>
        <w:t>是国家循环经济示范城市、国家低碳试点城市、全国质量强市示范城市。</w:t>
      </w:r>
    </w:p>
    <w:p>
      <w:pPr>
        <w:pStyle w:val="5"/>
        <w:spacing w:line="560" w:lineRule="exact"/>
        <w:ind w:left="-320" w:leftChars="-100" w:right="-339" w:rightChars="-106" w:firstLine="640"/>
        <w:rPr>
          <w:rFonts w:ascii="楷体_GB2312" w:hAnsi="楷体_GB2312" w:eastAsia="楷体_GB2312" w:cs="楷体_GB2312"/>
        </w:rPr>
      </w:pPr>
      <w:r>
        <w:rPr>
          <w:rFonts w:eastAsia="楷体_GB2312" w:cs="Times New Roman"/>
        </w:rPr>
        <w:t>（四）生态文明建设基础扎实</w:t>
      </w:r>
    </w:p>
    <w:p>
      <w:pPr>
        <w:spacing w:line="560" w:lineRule="exact"/>
        <w:ind w:left="-320" w:leftChars="-100" w:right="-339" w:rightChars="-106" w:firstLine="640"/>
        <w:rPr>
          <w:rFonts w:eastAsia="仿宋_GB2312" w:cs="Times New Roman"/>
        </w:rPr>
      </w:pPr>
      <w:r>
        <w:rPr>
          <w:rFonts w:eastAsia="仿宋_GB2312" w:cs="Times New Roman"/>
        </w:rPr>
        <w:t>1.生态环境总体保持良好</w:t>
      </w:r>
    </w:p>
    <w:p>
      <w:pPr>
        <w:spacing w:line="560" w:lineRule="exact"/>
        <w:ind w:left="-320" w:leftChars="-100" w:right="-339" w:rightChars="-106" w:firstLine="640"/>
        <w:rPr>
          <w:rFonts w:cs="Times New Roman"/>
        </w:rPr>
      </w:pPr>
      <w:r>
        <w:rPr>
          <w:rFonts w:eastAsia="仿宋_GB2312" w:cs="Times New Roman"/>
        </w:rPr>
        <w:t>柳州市自然山体、岸线、湿地等得到严格保护，生态环境总体保持良好。市区空气环境质量PM</w:t>
      </w:r>
      <w:r>
        <w:rPr>
          <w:rFonts w:eastAsia="仿宋_GB2312" w:cs="Times New Roman"/>
          <w:vertAlign w:val="subscript"/>
        </w:rPr>
        <w:t>2.5</w:t>
      </w:r>
      <w:r>
        <w:rPr>
          <w:rFonts w:eastAsia="仿宋_GB2312" w:cs="Times New Roman"/>
        </w:rPr>
        <w:t>浓度均值为41微克/立方米、空气优良率为88.5%，均超额完成自治区下达的控制目标（自治区</w:t>
      </w:r>
      <w:r>
        <w:rPr>
          <w:rFonts w:hint="eastAsia" w:eastAsia="仿宋_GB2312" w:cs="Times New Roman"/>
        </w:rPr>
        <w:t>下达</w:t>
      </w:r>
      <w:r>
        <w:rPr>
          <w:rFonts w:eastAsia="仿宋_GB2312" w:cs="Times New Roman"/>
        </w:rPr>
        <w:t>目标：PM</w:t>
      </w:r>
      <w:r>
        <w:rPr>
          <w:rFonts w:eastAsia="仿宋_GB2312" w:cs="Times New Roman"/>
          <w:vertAlign w:val="subscript"/>
        </w:rPr>
        <w:t>2.5</w:t>
      </w:r>
      <w:r>
        <w:rPr>
          <w:rFonts w:eastAsia="仿宋_GB2312" w:cs="Times New Roman"/>
        </w:rPr>
        <w:t>为43微克/立方米，优良率为87.7%），市区二氧化硫、二氧化氮、PM</w:t>
      </w:r>
      <w:r>
        <w:rPr>
          <w:rFonts w:eastAsia="仿宋_GB2312" w:cs="Times New Roman"/>
          <w:vertAlign w:val="subscript"/>
        </w:rPr>
        <w:t>10</w:t>
      </w:r>
      <w:r>
        <w:rPr>
          <w:rFonts w:eastAsia="仿宋_GB2312" w:cs="Times New Roman"/>
        </w:rPr>
        <w:t>、一氧化碳、臭氧监测值及各县所测监测点二氧化硫、PM</w:t>
      </w:r>
      <w:r>
        <w:rPr>
          <w:rFonts w:eastAsia="仿宋_GB2312" w:cs="Times New Roman"/>
          <w:vertAlign w:val="subscript"/>
        </w:rPr>
        <w:t>10</w:t>
      </w:r>
      <w:r>
        <w:rPr>
          <w:rFonts w:eastAsia="仿宋_GB2312" w:cs="Times New Roman"/>
        </w:rPr>
        <w:t>、二氧化氮日均浓度值均达GB3095-2012《环境空气质量标准》二级标准要求。水环境治理稳步推进，地表河流所测的16个断面26项指标除粪大肠菌群偶有超标外，其他指标均达到GB3838-2002《地表水环境质量标准》Ⅲ类水质标准要求；柳州市、县两级城市集中式饮用水水源地水质达到Ⅲ类水质标准，达标率均为100%。</w:t>
      </w:r>
    </w:p>
    <w:p>
      <w:pPr>
        <w:spacing w:line="560" w:lineRule="exact"/>
        <w:ind w:left="-320" w:leftChars="-100" w:right="-339" w:rightChars="-106" w:firstLine="640"/>
        <w:rPr>
          <w:rFonts w:eastAsia="仿宋_GB2312" w:cs="Times New Roman"/>
        </w:rPr>
      </w:pPr>
      <w:r>
        <w:rPr>
          <w:rFonts w:eastAsia="仿宋_GB2312" w:cs="Times New Roman"/>
        </w:rPr>
        <w:t>2.生态环境建设成效明显</w:t>
      </w:r>
    </w:p>
    <w:p>
      <w:pPr>
        <w:spacing w:line="560" w:lineRule="exact"/>
        <w:ind w:left="-320" w:leftChars="-100" w:right="-339" w:rightChars="-106" w:firstLine="640"/>
        <w:rPr>
          <w:rFonts w:eastAsia="仿宋_GB2312" w:cs="Times New Roman"/>
        </w:rPr>
      </w:pPr>
      <w:r>
        <w:rPr>
          <w:rFonts w:eastAsia="仿宋_GB2312" w:cs="Times New Roman"/>
        </w:rPr>
        <w:t>柳州市“五彩画廊，花园城市”建设成效显著，城市环境更加干净整洁，城市人居环境持续改善，在广西绩效考评中连年位居前列，荣获国家卫生城市殊荣。通过开展“美丽柳州·清洁乡村”、“美丽柳州·生态乡村”活动及生态村创建工作，深入开展农村环境综合整治，加大农村污水处理设施建设力度，全市35个行政村66个屯建设农村污水处理系统，农村水环境得到有效改善；实行“屯收集、屯处理”垃圾处理模式，改变了农村脏、乱、差的局面，实现人居环境大提升，“山清水秀生态美”品牌进一步巩固。以生态示范创建活动为载体，推进高效低毒低残留农药的使用，推动农村生态环境保护，产业富民、基础便民等工作成效明显。</w:t>
      </w:r>
    </w:p>
    <w:p>
      <w:pPr>
        <w:spacing w:line="560" w:lineRule="exact"/>
        <w:ind w:left="-320" w:leftChars="-100" w:right="-339" w:rightChars="-106" w:firstLine="640"/>
        <w:rPr>
          <w:rFonts w:eastAsia="仿宋_GB2312" w:cs="Times New Roman"/>
        </w:rPr>
      </w:pPr>
      <w:bookmarkStart w:id="62" w:name="_Toc6772"/>
      <w:bookmarkStart w:id="63" w:name="_Toc515118034"/>
      <w:bookmarkStart w:id="64" w:name="_Toc25376"/>
      <w:bookmarkStart w:id="65" w:name="_Toc1334"/>
      <w:bookmarkStart w:id="66" w:name="_Toc13749"/>
      <w:bookmarkStart w:id="67" w:name="_Toc25332"/>
      <w:r>
        <w:rPr>
          <w:rFonts w:eastAsia="仿宋_GB2312" w:cs="Times New Roman"/>
        </w:rPr>
        <w:t>3.生态文明示范创建</w:t>
      </w:r>
      <w:bookmarkEnd w:id="62"/>
      <w:bookmarkEnd w:id="63"/>
      <w:bookmarkEnd w:id="64"/>
      <w:bookmarkEnd w:id="65"/>
      <w:bookmarkEnd w:id="66"/>
      <w:bookmarkEnd w:id="67"/>
      <w:r>
        <w:rPr>
          <w:rFonts w:eastAsia="仿宋_GB2312" w:cs="Times New Roman"/>
        </w:rPr>
        <w:t>工作有效推进</w:t>
      </w:r>
    </w:p>
    <w:p>
      <w:pPr>
        <w:adjustRightInd w:val="0"/>
        <w:snapToGrid w:val="0"/>
        <w:spacing w:line="560" w:lineRule="exact"/>
        <w:ind w:left="-320" w:leftChars="-100" w:right="-339" w:rightChars="-106" w:firstLine="640"/>
        <w:rPr>
          <w:rFonts w:eastAsia="仿宋_GB2312" w:cs="Times New Roman"/>
        </w:rPr>
      </w:pPr>
      <w:r>
        <w:rPr>
          <w:rFonts w:eastAsia="仿宋_GB2312" w:cs="Times New Roman"/>
        </w:rPr>
        <w:t>柳州市通过开展“国家生态园林城市”和“森林城市”创建活动，推进主要公路、铁路、江河两旁的防护林建设及森林公园、自然保护区建设。元宝山自然保护区晋升为国家级自然保护区，新增和改造绿地面积15.32平方公里，市区建成区绿化覆盖率44.0%。柳州市先后获得“中国人居环境范例奖”、“中国节能减排二十佳城市”、“国家园林城市”、“国家森林城市”、“中国十大美丽城市”、“全国绿化模范城市”、全国第三批“城市双修”试点城市等荣誉，“国家环保模范城市”通过环保部技术评估，成为广西唯一的国家循环经济示范城市，“绿色环保系列”创建活动取得丰硕成果；鹿寨县、三江侗族自治县获得“全国绿化模范县”的荣誉称号。三江侗族自治县</w:t>
      </w:r>
      <w:r>
        <w:rPr>
          <w:rFonts w:hint="eastAsia" w:eastAsia="仿宋_GB2312" w:cs="Times New Roman"/>
        </w:rPr>
        <w:t>已获评为国家生态文明建设示范县。</w:t>
      </w:r>
      <w:r>
        <w:rPr>
          <w:rFonts w:eastAsia="仿宋_GB2312" w:cs="Times New Roman"/>
        </w:rPr>
        <w:t>2018年，全市有3个县和6个乡镇分别获自治区级生态县和生态乡镇；截止2018年，全市有3个县获得自治区生态县命名，占全市5个县的60%，名列广西前茅；获命名生态乡镇数共58个，占全市86个乡镇的比例为67.44%。</w:t>
      </w:r>
    </w:p>
    <w:p>
      <w:pPr>
        <w:spacing w:line="560" w:lineRule="exact"/>
        <w:ind w:left="-320" w:leftChars="-100" w:right="-339" w:rightChars="-106" w:firstLine="640"/>
        <w:rPr>
          <w:rFonts w:eastAsia="仿宋_GB2312" w:cs="Times New Roman"/>
        </w:rPr>
      </w:pPr>
      <w:r>
        <w:rPr>
          <w:rFonts w:eastAsia="仿宋_GB2312" w:cs="Times New Roman"/>
        </w:rPr>
        <w:t>4.生态文明制度建设初具雏形</w:t>
      </w:r>
    </w:p>
    <w:p>
      <w:pPr>
        <w:spacing w:line="560" w:lineRule="exact"/>
        <w:ind w:left="-320" w:leftChars="-100" w:right="-339" w:rightChars="-106" w:firstLine="640"/>
        <w:rPr>
          <w:rFonts w:cs="Times New Roman"/>
        </w:rPr>
      </w:pPr>
      <w:r>
        <w:rPr>
          <w:rFonts w:eastAsia="仿宋_GB2312" w:cs="Times New Roman"/>
        </w:rPr>
        <w:t>柳州市以加强生态文明建设作为完善经济社会发展总体布局的重大措施，不断完善环境保护与治理的长效机制，严格落实环保目标责任制。市委、市政府制定并印发了《柳州市环境保护“一岗双责”责任制暂行办法》，明确规定了党政各相关部门环境保护工作职责、制定了责任落实保障措施以及环境保护过错责任追究办法等。建立了生态建设长效监管机制，深化了水、气、土壤环境污染防治及环境综合治理长效机制，实施了排污许可、重要水域、饮用水源地生态补偿机制改革、生态环境信息公开机制改革、环境违法行为有奖举报等制度。推进环境损害评估试点，探索开展环境污染第三方治理，鼓励社会资本及外资参与社会事业环境基础设施等公共建设，完善有利于资源节约和环境保护的资源价格形成机制等。坚持以人为本，不断加大民生领域投入，持续实施为民办实事项目，为民办实事的长效机制初步建立。柳州市实施了一批生态文明建设体制机制创新，是广西第一个实施行政审批的地级市。</w:t>
      </w:r>
    </w:p>
    <w:p>
      <w:pPr>
        <w:spacing w:line="560" w:lineRule="exact"/>
        <w:ind w:left="-320" w:leftChars="-100" w:right="-339" w:rightChars="-106" w:firstLine="640"/>
        <w:rPr>
          <w:rFonts w:eastAsia="仿宋_GB2312" w:cs="Times New Roman"/>
        </w:rPr>
      </w:pPr>
      <w:r>
        <w:rPr>
          <w:rFonts w:eastAsia="仿宋_GB2312" w:cs="Times New Roman"/>
        </w:rPr>
        <w:t>5.生态文化全国知名</w:t>
      </w:r>
    </w:p>
    <w:p>
      <w:pPr>
        <w:spacing w:line="560" w:lineRule="exact"/>
        <w:ind w:left="-320" w:leftChars="-100" w:right="-339" w:rightChars="-106" w:firstLine="640"/>
        <w:rPr>
          <w:rFonts w:ascii="仿宋_GB2312" w:hAnsi="仿宋_GB2312" w:eastAsia="仿宋_GB2312" w:cs="仿宋_GB2312"/>
        </w:rPr>
      </w:pPr>
      <w:r>
        <w:rPr>
          <w:rFonts w:hint="eastAsia" w:ascii="仿宋_GB2312" w:hAnsi="仿宋_GB2312" w:eastAsia="仿宋_GB2312" w:cs="仿宋_GB2312"/>
        </w:rPr>
        <w:t>柳州是一座具有深厚历史文化底蕴的城市，是中国南方人的祖先―“柳江人”的发祥地，唐宋八大家之一的柳宗元曾任柳州刺史。1994年，柳州市被国务院正式命名为第三批国家级历史文化名城。柳州市居住着壮、汉、瑶、苗、侗、仫佬等民族，柳州壮族的歌，瑶族的舞，苗族的节，侗族的楼，形成了丰富多彩的民俗文化和独具特色的民族风情。电影《刘三姐》是在柳州彩调剧基础上改编的；“白莲”、“八桂大歌”、“刘三姐故乡的歌”等一批文化精品层出不穷；“中国国际奇石节”、“国际小丑艺术节”等让柳州文化在国际国内享有声誉。此外，柳州“螺蛳粉”闻名遐迩，</w:t>
      </w:r>
      <w:r>
        <w:fldChar w:fldCharType="begin"/>
      </w:r>
      <w:r>
        <w:instrText xml:space="preserve"> HYPERLINK "https://baike.baidu.com/item/%E6%9F%B3%E5%9F%8E%E4%BA%91%E7%89%87%E7%B3%95" \t "https://baike.baidu.com/item/%E6%9F%B3%E5%B7%9E%E8%8F%9C/_blank" </w:instrText>
      </w:r>
      <w:r>
        <w:fldChar w:fldCharType="separate"/>
      </w:r>
      <w:r>
        <w:rPr>
          <w:rFonts w:hint="eastAsia" w:ascii="仿宋_GB2312" w:hAnsi="仿宋_GB2312" w:eastAsia="仿宋_GB2312" w:cs="仿宋_GB2312"/>
        </w:rPr>
        <w:t>柳城云片糕</w:t>
      </w:r>
      <w:r>
        <w:rPr>
          <w:rFonts w:hint="eastAsia" w:ascii="仿宋_GB2312" w:hAnsi="仿宋_GB2312" w:eastAsia="仿宋_GB2312" w:cs="仿宋_GB2312"/>
        </w:rPr>
        <w:fldChar w:fldCharType="end"/>
      </w:r>
      <w:r>
        <w:rPr>
          <w:rFonts w:hint="eastAsia" w:ascii="仿宋_GB2312" w:hAnsi="仿宋_GB2312" w:eastAsia="仿宋_GB2312" w:cs="仿宋_GB2312"/>
        </w:rPr>
        <w:t>、柳蜜柑、柳蜜橙、糯米柚、金桔、甜竹笋、三江油茶、双季玉藕、头菜、八婆豆腐等不仅驰名国内，也深受海内外朋友的喜爱。</w:t>
      </w:r>
    </w:p>
    <w:p>
      <w:pPr>
        <w:pStyle w:val="4"/>
        <w:spacing w:line="560" w:lineRule="exact"/>
        <w:ind w:left="-320" w:leftChars="-100" w:right="-339" w:rightChars="-106" w:firstLine="640"/>
        <w:rPr>
          <w:b w:val="0"/>
          <w:bCs w:val="0"/>
        </w:rPr>
      </w:pPr>
      <w:bookmarkStart w:id="68" w:name="_Toc23692"/>
      <w:bookmarkStart w:id="69" w:name="_Toc2229"/>
      <w:bookmarkStart w:id="70" w:name="_Toc8302"/>
      <w:bookmarkStart w:id="71" w:name="_Toc21873"/>
      <w:bookmarkStart w:id="72" w:name="_Toc14413"/>
      <w:bookmarkStart w:id="73" w:name="_Toc25653"/>
      <w:bookmarkStart w:id="74" w:name="_Toc7085"/>
      <w:r>
        <w:rPr>
          <w:rFonts w:hint="eastAsia"/>
          <w:b w:val="0"/>
          <w:bCs w:val="0"/>
        </w:rPr>
        <w:t>二、现状劣势</w:t>
      </w:r>
      <w:bookmarkEnd w:id="68"/>
      <w:bookmarkEnd w:id="69"/>
      <w:bookmarkEnd w:id="70"/>
      <w:bookmarkEnd w:id="71"/>
      <w:bookmarkEnd w:id="72"/>
      <w:bookmarkEnd w:id="73"/>
      <w:bookmarkEnd w:id="74"/>
    </w:p>
    <w:p>
      <w:pPr>
        <w:pStyle w:val="5"/>
        <w:spacing w:line="560" w:lineRule="exact"/>
        <w:ind w:left="-320" w:leftChars="-100" w:right="-339" w:rightChars="-106" w:firstLine="640"/>
        <w:rPr>
          <w:rFonts w:ascii="楷体_GB2312" w:hAnsi="楷体_GB2312" w:eastAsia="楷体_GB2312" w:cs="楷体_GB2312"/>
        </w:rPr>
      </w:pPr>
      <w:r>
        <w:rPr>
          <w:rFonts w:hint="eastAsia" w:ascii="楷体_GB2312" w:hAnsi="楷体_GB2312" w:eastAsia="楷体_GB2312" w:cs="楷体_GB2312"/>
        </w:rPr>
        <w:t>（一）生态文明体制机制需进一步健全</w:t>
      </w:r>
    </w:p>
    <w:p>
      <w:pPr>
        <w:spacing w:line="560" w:lineRule="exact"/>
        <w:ind w:left="-320" w:leftChars="-100" w:right="-339" w:rightChars="-106" w:firstLine="640"/>
      </w:pPr>
      <w:r>
        <w:rPr>
          <w:rFonts w:hint="eastAsia" w:ascii="仿宋_GB2312" w:hAnsi="仿宋_GB2312" w:eastAsia="仿宋_GB2312" w:cs="仿宋_GB2312"/>
        </w:rPr>
        <w:t>柳州市公众参与生态保护和监管的机制有待健全，各部门生态环境保护职责和企业生态保护责任需进一步明确，党政领导干部综合考评机制、追责机制等体现生态文明建设要求的相关制度尚未得到有效实施。需要以自然资源资产产权制度、国土空间开发保护制度、国土空间规划体系、资源总量管理和全面节约制度、资源有偿使用和生态补偿制度、环境治理体系、环境治理和生态保护市场体系、生态文明绩效评价考核和责任追究制度等八项制度的构建为契机，加快推进生态文明体制机制改革创新，建立产权清晰、多元参与、激励约束并重、系统完整的生态文明制度体系。</w:t>
      </w:r>
    </w:p>
    <w:p>
      <w:pPr>
        <w:pStyle w:val="5"/>
        <w:spacing w:line="560" w:lineRule="exact"/>
        <w:ind w:left="-320" w:leftChars="-100" w:right="-339" w:rightChars="-106" w:firstLine="640"/>
        <w:rPr>
          <w:rFonts w:ascii="楷体_GB2312" w:hAnsi="楷体_GB2312" w:eastAsia="楷体_GB2312" w:cs="楷体_GB2312"/>
        </w:rPr>
      </w:pPr>
      <w:r>
        <w:rPr>
          <w:rFonts w:hint="eastAsia" w:ascii="楷体_GB2312" w:hAnsi="楷体_GB2312" w:eastAsia="楷体_GB2312" w:cs="楷体_GB2312"/>
        </w:rPr>
        <w:t>（二）产业与能源结构不合理</w:t>
      </w:r>
    </w:p>
    <w:p>
      <w:pPr>
        <w:adjustRightInd w:val="0"/>
        <w:snapToGrid w:val="0"/>
        <w:spacing w:line="560" w:lineRule="exact"/>
        <w:ind w:left="-320" w:leftChars="-100" w:right="-339" w:rightChars="-106" w:firstLine="640"/>
        <w:rPr>
          <w:rFonts w:ascii="仿宋_GB2312" w:hAnsi="仿宋_GB2312" w:eastAsia="仿宋_GB2312" w:cs="仿宋_GB2312"/>
        </w:rPr>
      </w:pPr>
      <w:r>
        <w:rPr>
          <w:rFonts w:hint="eastAsia" w:ascii="仿宋_GB2312" w:hAnsi="仿宋_GB2312" w:eastAsia="仿宋_GB2312" w:cs="仿宋_GB2312"/>
        </w:rPr>
        <w:t>柳州市产业结构不合理。传统产业比重大，汽车、机械等支柱产业占全市比重大，上下游产业缺乏衔接，没能形成产业间联动发展。新兴产业发展较快，但规模不大，支撑有限，缺乏龙头企业，没能形成集群发展，在工业经济中所占份额偏低，对结构优化、产业升级缺乏带动作用。节能环保产业围绕汽车产业循环经济有所突破，但在工业废弃物再生资源、工程机械再制造等方面还需加强，静脉产业园等大型节能环保产业基地极少。柳州市能源消费结构以燃煤为主，煤炭消费量占全市能源消费量的三分之二。工业能源消费结构仍以燃煤为主，规模以上工业企业主要能源消费中以煤炭和焦炭消费比重为主，天然气消费比重不到</w:t>
      </w:r>
      <w:r>
        <w:rPr>
          <w:rFonts w:eastAsia="仿宋_GB2312" w:cs="Times New Roman"/>
        </w:rPr>
        <w:t>1%</w:t>
      </w:r>
      <w:r>
        <w:rPr>
          <w:rFonts w:hint="eastAsia" w:ascii="仿宋_GB2312" w:hAnsi="仿宋_GB2312" w:eastAsia="仿宋_GB2312" w:cs="仿宋_GB2312"/>
        </w:rPr>
        <w:t>，其中柳钢的能源消耗和污染物排放占比居全市首位。</w:t>
      </w:r>
    </w:p>
    <w:p>
      <w:pPr>
        <w:pStyle w:val="5"/>
        <w:spacing w:line="560" w:lineRule="exact"/>
        <w:ind w:left="-320" w:leftChars="-100" w:right="-339" w:rightChars="-106" w:firstLine="640"/>
        <w:rPr>
          <w:rFonts w:eastAsia="楷体_GB2312" w:cs="Times New Roman"/>
        </w:rPr>
      </w:pPr>
      <w:r>
        <w:rPr>
          <w:rFonts w:eastAsia="楷体_GB2312" w:cs="Times New Roman"/>
        </w:rPr>
        <w:t>（三）环境质量维护提升压力突出</w:t>
      </w:r>
    </w:p>
    <w:p>
      <w:pPr>
        <w:adjustRightInd w:val="0"/>
        <w:snapToGrid w:val="0"/>
        <w:spacing w:line="560" w:lineRule="exact"/>
        <w:ind w:left="-320" w:leftChars="-100" w:right="-339" w:rightChars="-106" w:firstLine="640"/>
        <w:rPr>
          <w:rFonts w:eastAsia="仿宋_GB2312" w:cs="Times New Roman"/>
        </w:rPr>
      </w:pPr>
      <w:r>
        <w:rPr>
          <w:rFonts w:eastAsia="仿宋_GB2312" w:cs="Times New Roman"/>
        </w:rPr>
        <w:t>柳州市的能源消费结构仍以燃煤为主，工业排放占主导，工业废气、二氧化硫、氮氧化物、烟（粉）尘等污染物排放量大。根据2015年的大气污染源解析成果，各类PM</w:t>
      </w:r>
      <w:r>
        <w:rPr>
          <w:rFonts w:eastAsia="仿宋_GB2312" w:cs="Times New Roman"/>
          <w:vertAlign w:val="subscript"/>
        </w:rPr>
        <w:t>2.5</w:t>
      </w:r>
      <w:r>
        <w:rPr>
          <w:rFonts w:eastAsia="仿宋_GB2312" w:cs="Times New Roman"/>
        </w:rPr>
        <w:t>的贡献源中，燃煤源占41.2%，工业工艺（含钢铁）占14.4%，这两项工业排放源的贡献共占到55.6%。柳州市的汽车产量已居全国第三位，并还逐年增加，其</w:t>
      </w:r>
      <w:r>
        <w:rPr>
          <w:rFonts w:hint="eastAsia" w:eastAsia="仿宋_GB2312" w:cs="Times New Roman"/>
        </w:rPr>
        <w:t>挥发性有机物</w:t>
      </w:r>
      <w:r>
        <w:rPr>
          <w:rFonts w:eastAsia="仿宋_GB2312" w:cs="Times New Roman"/>
        </w:rPr>
        <w:t>排放量将随之增加，未来可能存在因汽车产业排放</w:t>
      </w:r>
      <w:r>
        <w:rPr>
          <w:rFonts w:hint="eastAsia" w:eastAsia="仿宋_GB2312" w:cs="Times New Roman"/>
        </w:rPr>
        <w:t>挥发性有机物</w:t>
      </w:r>
      <w:r>
        <w:rPr>
          <w:rFonts w:eastAsia="仿宋_GB2312" w:cs="Times New Roman"/>
        </w:rPr>
        <w:t>造成臭氧和PM</w:t>
      </w:r>
      <w:r>
        <w:rPr>
          <w:rFonts w:eastAsia="仿宋_GB2312" w:cs="Times New Roman"/>
          <w:vertAlign w:val="subscript"/>
        </w:rPr>
        <w:t>2.5</w:t>
      </w:r>
      <w:r>
        <w:rPr>
          <w:rFonts w:eastAsia="仿宋_GB2312" w:cs="Times New Roman"/>
        </w:rPr>
        <w:t>超标的环境风险隐患，维持空气环境质量稳定达标的提升压力大。柳江上游来水的流域内矿业开采等工业活动对柳江水质及饮用水源存在一定的风险隐患。</w:t>
      </w:r>
    </w:p>
    <w:p>
      <w:pPr>
        <w:pStyle w:val="5"/>
        <w:spacing w:line="560" w:lineRule="exact"/>
        <w:ind w:left="-320" w:leftChars="-100" w:right="-339" w:rightChars="-106" w:firstLine="640"/>
        <w:rPr>
          <w:rFonts w:ascii="楷体_GB2312" w:hAnsi="楷体_GB2312" w:eastAsia="楷体_GB2312" w:cs="楷体_GB2312"/>
        </w:rPr>
      </w:pPr>
      <w:bookmarkStart w:id="75" w:name="_Toc498290260"/>
      <w:bookmarkStart w:id="76" w:name="_Toc457938011"/>
      <w:r>
        <w:rPr>
          <w:rFonts w:hint="eastAsia" w:ascii="楷体_GB2312" w:hAnsi="楷体_GB2312" w:eastAsia="楷体_GB2312" w:cs="楷体_GB2312"/>
        </w:rPr>
        <w:t>（四）</w:t>
      </w:r>
      <w:bookmarkEnd w:id="75"/>
      <w:bookmarkEnd w:id="76"/>
      <w:r>
        <w:rPr>
          <w:rFonts w:hint="eastAsia" w:ascii="楷体_GB2312" w:hAnsi="楷体_GB2312" w:eastAsia="楷体_GB2312" w:cs="楷体_GB2312"/>
        </w:rPr>
        <w:t>生态文化建设有待加强</w:t>
      </w:r>
    </w:p>
    <w:p>
      <w:pPr>
        <w:spacing w:line="560" w:lineRule="exact"/>
        <w:ind w:left="-320" w:leftChars="-100" w:right="-339" w:rightChars="-106" w:firstLine="640"/>
        <w:rPr>
          <w:rFonts w:ascii="仿宋_GB2312" w:hAnsi="仿宋_GB2312" w:eastAsia="仿宋_GB2312" w:cs="仿宋_GB2312"/>
        </w:rPr>
      </w:pPr>
      <w:r>
        <w:rPr>
          <w:rFonts w:hint="eastAsia" w:ascii="仿宋_GB2312" w:hAnsi="仿宋_GB2312" w:eastAsia="仿宋_GB2312" w:cs="仿宋_GB2312"/>
        </w:rPr>
        <w:t>近年来，柳州市在生态文化建设方面越来越重视，但生态文明理念还不牢固，尊重自然、顺应自然、保护自然的意识还没有真正形成。生态文明理念还未成为广大干部群众的自觉意识和行动，公民厉行节约、低碳生活、绿色出行、绿色消费的习惯有待进一步养成。部分领导干部尚未真正树立正确的政绩观，部分企业经营者缺乏社会责任意识和长远发展的战略眼光。</w:t>
      </w:r>
    </w:p>
    <w:p>
      <w:pPr>
        <w:pStyle w:val="4"/>
        <w:spacing w:line="560" w:lineRule="exact"/>
        <w:ind w:left="-320" w:leftChars="-100" w:right="-339" w:rightChars="-106" w:firstLine="640"/>
        <w:rPr>
          <w:b w:val="0"/>
          <w:bCs w:val="0"/>
        </w:rPr>
      </w:pPr>
      <w:bookmarkStart w:id="77" w:name="_Toc9140"/>
      <w:bookmarkStart w:id="78" w:name="_Toc29610"/>
      <w:bookmarkStart w:id="79" w:name="_Toc1996"/>
      <w:bookmarkStart w:id="80" w:name="_Toc19824"/>
      <w:bookmarkStart w:id="81" w:name="_Toc1192"/>
      <w:bookmarkStart w:id="82" w:name="_Toc18230"/>
      <w:bookmarkStart w:id="83" w:name="_Toc11035"/>
      <w:r>
        <w:rPr>
          <w:rFonts w:hint="eastAsia"/>
          <w:b w:val="0"/>
          <w:bCs w:val="0"/>
        </w:rPr>
        <w:t>三、面临的机遇</w:t>
      </w:r>
      <w:bookmarkEnd w:id="77"/>
      <w:bookmarkEnd w:id="78"/>
      <w:bookmarkEnd w:id="79"/>
      <w:bookmarkEnd w:id="80"/>
      <w:bookmarkEnd w:id="81"/>
      <w:bookmarkEnd w:id="82"/>
      <w:bookmarkEnd w:id="83"/>
    </w:p>
    <w:p>
      <w:pPr>
        <w:pStyle w:val="5"/>
        <w:spacing w:line="560" w:lineRule="exact"/>
        <w:ind w:left="-320" w:leftChars="-100" w:right="-339" w:rightChars="-106" w:firstLine="640"/>
        <w:rPr>
          <w:rFonts w:ascii="楷体_GB2312" w:hAnsi="楷体_GB2312" w:eastAsia="楷体_GB2312" w:cs="楷体_GB2312"/>
        </w:rPr>
      </w:pPr>
      <w:r>
        <w:rPr>
          <w:rFonts w:hint="eastAsia" w:ascii="楷体_GB2312" w:hAnsi="楷体_GB2312" w:eastAsia="楷体_GB2312" w:cs="楷体_GB2312"/>
        </w:rPr>
        <w:t>（一）生态文明建设战略地位日益凸显</w:t>
      </w:r>
    </w:p>
    <w:p>
      <w:pPr>
        <w:spacing w:line="560" w:lineRule="exact"/>
        <w:ind w:left="-320" w:leftChars="-100" w:right="-339" w:rightChars="-106" w:firstLine="640"/>
        <w:rPr>
          <w:rFonts w:ascii="仿宋_GB2312" w:hAnsi="仿宋_GB2312" w:eastAsia="仿宋_GB2312" w:cs="仿宋_GB2312"/>
        </w:rPr>
      </w:pPr>
      <w:r>
        <w:rPr>
          <w:rFonts w:hint="eastAsia" w:ascii="仿宋_GB2312" w:hAnsi="仿宋_GB2312" w:eastAsia="仿宋_GB2312" w:cs="仿宋_GB2312"/>
        </w:rPr>
        <w:t>党的十八大把生态文明建设纳入中国特色社会主义事业“五位一体”总体布局，党的十九大提出建设“富强民主文明和谐美丽”的社会主义现代化强国的目标，生态文明建设已经上升为新时代中国特色社会主义的重要组成部分。自治区深入贯彻国家推进生态文明建设的战略部署，相继出台了《广西加快推进生态文明建设实施方案》、《关于大力发展生态经济深入推进生态文明建设的意见》、《广西生态文明体制改革实施方案》等方案，把生态文明建设作为进一步巩固提升“山清水秀生态美”优势品牌和核心竞争力的重要途径和手段。在国家和自治区层面，生态文明建设的战略地位和基础性作用均日益凸显。</w:t>
      </w:r>
    </w:p>
    <w:p>
      <w:pPr>
        <w:pStyle w:val="5"/>
        <w:spacing w:line="560" w:lineRule="exact"/>
        <w:ind w:left="-320" w:leftChars="-100" w:right="-339" w:rightChars="-106" w:firstLine="640"/>
        <w:rPr>
          <w:rFonts w:ascii="楷体_GB2312" w:hAnsi="楷体_GB2312" w:eastAsia="楷体_GB2312" w:cs="楷体_GB2312"/>
        </w:rPr>
      </w:pPr>
      <w:r>
        <w:rPr>
          <w:rFonts w:hint="eastAsia" w:ascii="楷体_GB2312" w:hAnsi="楷体_GB2312" w:eastAsia="楷体_GB2312" w:cs="楷体_GB2312"/>
        </w:rPr>
        <w:t>（二）创新驱动发展为生态文明建设注入新动力</w:t>
      </w:r>
    </w:p>
    <w:p>
      <w:pPr>
        <w:spacing w:line="560" w:lineRule="exact"/>
        <w:ind w:left="-320" w:leftChars="-100" w:right="-339" w:rightChars="-106" w:firstLine="640"/>
        <w:rPr>
          <w:bCs/>
        </w:rPr>
      </w:pPr>
      <w:r>
        <w:rPr>
          <w:rFonts w:hint="eastAsia" w:ascii="仿宋_GB2312" w:hAnsi="仿宋_GB2312" w:eastAsia="仿宋_GB2312" w:cs="仿宋_GB2312"/>
        </w:rPr>
        <w:t>广西是西部唯一沿海省区，是民族边疆地区、贫困地区和革命老区，党和国家始终关心支持广西发展，深入推进西部大开发，国务院批准实施《珠江-西江经济带发展规划》，出台《关于进一步促进广西经济社会发展的若干意见》。习近平总书记明确指出，广西要构建面向东盟的国际大通道，打造西南中南地区开放发展新的战略支点，形成“一带一路”有机衔接的重要门户，这三大战略定位为广西实现全面小康指明了方向。自治区党委结合广西实际，作出深入实施创新驱动、开放带动、双核驱动、绿色发展四大战略，全面推进基础设施建设、产业转型升级、脱贫三大攻坚战，着力营造风清气正的政治生态、团结和谐的社会生态、山清水秀的自然生态的部署和安排。创新驱动发展为生态文明建设注入新动力。</w:t>
      </w:r>
    </w:p>
    <w:p>
      <w:pPr>
        <w:pStyle w:val="5"/>
        <w:spacing w:line="560" w:lineRule="exact"/>
        <w:ind w:left="-320" w:leftChars="-100" w:right="-339" w:rightChars="-106" w:firstLine="640"/>
        <w:rPr>
          <w:rFonts w:ascii="楷体_GB2312" w:hAnsi="楷体_GB2312" w:eastAsia="楷体_GB2312" w:cs="楷体_GB2312"/>
        </w:rPr>
      </w:pPr>
      <w:r>
        <w:rPr>
          <w:rFonts w:hint="eastAsia" w:ascii="楷体_GB2312" w:hAnsi="楷体_GB2312" w:eastAsia="楷体_GB2312" w:cs="楷体_GB2312"/>
        </w:rPr>
        <w:t>（三）社会环境意识显著提高逐渐形成环境保护合力</w:t>
      </w:r>
    </w:p>
    <w:p>
      <w:pPr>
        <w:spacing w:line="560" w:lineRule="exact"/>
        <w:ind w:left="-320" w:leftChars="-100" w:right="-339" w:rightChars="-106" w:firstLine="640"/>
      </w:pPr>
      <w:r>
        <w:rPr>
          <w:rFonts w:hint="eastAsia" w:ascii="仿宋_GB2312" w:hAnsi="仿宋_GB2312" w:eastAsia="仿宋_GB2312" w:cs="仿宋_GB2312"/>
        </w:rPr>
        <w:t>柳州环境保护群众基础日益牢固，自觉保护环境，减少资源浪费，公众开始主动充当社会监督角色。企业环境保护意识增强，政府环保投入力度加大，柳州市进入全民参与环境保护的时期，为解决复杂环境问题创造了有利条件。</w:t>
      </w:r>
    </w:p>
    <w:p>
      <w:pPr>
        <w:pStyle w:val="4"/>
        <w:spacing w:line="560" w:lineRule="exact"/>
        <w:ind w:left="-320" w:leftChars="-100" w:right="-339" w:rightChars="-106" w:firstLine="640"/>
        <w:rPr>
          <w:b w:val="0"/>
          <w:bCs w:val="0"/>
        </w:rPr>
      </w:pPr>
      <w:bookmarkStart w:id="84" w:name="_Toc1062"/>
      <w:bookmarkStart w:id="85" w:name="_Toc8115"/>
      <w:bookmarkStart w:id="86" w:name="_Toc7888"/>
      <w:bookmarkStart w:id="87" w:name="_Toc24072"/>
      <w:bookmarkStart w:id="88" w:name="_Toc266"/>
      <w:bookmarkStart w:id="89" w:name="_Toc3551"/>
      <w:bookmarkStart w:id="90" w:name="_Toc3094"/>
      <w:r>
        <w:rPr>
          <w:rFonts w:hint="eastAsia"/>
          <w:b w:val="0"/>
          <w:bCs w:val="0"/>
        </w:rPr>
        <w:t>四、面临的挑战</w:t>
      </w:r>
      <w:bookmarkEnd w:id="84"/>
      <w:bookmarkEnd w:id="85"/>
      <w:bookmarkEnd w:id="86"/>
      <w:bookmarkEnd w:id="87"/>
      <w:bookmarkEnd w:id="88"/>
      <w:bookmarkEnd w:id="89"/>
      <w:bookmarkEnd w:id="90"/>
    </w:p>
    <w:p>
      <w:pPr>
        <w:pStyle w:val="5"/>
        <w:spacing w:line="560" w:lineRule="exact"/>
        <w:ind w:left="-320" w:leftChars="-100" w:right="-339" w:rightChars="-106" w:firstLine="640"/>
        <w:rPr>
          <w:rFonts w:ascii="楷体_GB2312" w:hAnsi="楷体_GB2312" w:eastAsia="楷体_GB2312" w:cs="楷体_GB2312"/>
        </w:rPr>
      </w:pPr>
      <w:r>
        <w:rPr>
          <w:rFonts w:hint="eastAsia" w:ascii="楷体_GB2312" w:hAnsi="楷体_GB2312" w:eastAsia="楷体_GB2312" w:cs="楷体_GB2312"/>
        </w:rPr>
        <w:t>（一）经济发展带来的环境压力不断增大</w:t>
      </w:r>
    </w:p>
    <w:p>
      <w:pPr>
        <w:adjustRightInd w:val="0"/>
        <w:snapToGrid w:val="0"/>
        <w:spacing w:line="560" w:lineRule="exact"/>
        <w:ind w:left="-320" w:leftChars="-100" w:right="-339" w:rightChars="-106" w:firstLine="640"/>
        <w:rPr>
          <w:rFonts w:ascii="仿宋_GB2312" w:hAnsi="仿宋_GB2312" w:eastAsia="仿宋_GB2312" w:cs="仿宋_GB2312"/>
        </w:rPr>
      </w:pPr>
      <w:r>
        <w:rPr>
          <w:rFonts w:hint="eastAsia" w:ascii="仿宋_GB2312" w:hAnsi="仿宋_GB2312" w:eastAsia="仿宋_GB2312" w:cs="仿宋_GB2312"/>
        </w:rPr>
        <w:t>柳州市能源消费结构以燃煤为主，煤炭消费量占全市能源消费量的三分之二，主要消费行业包括钢铁、水泥、化工等工业企业。燃煤大气污染物排放给城市空气环境带来污染。随着经济的不断发展，环境负荷越来越大，存在较大的环境压力。另外，生态环境问题是整体性、全局性、长期性的问题，而区域一体化和城市化进程加快，区域环境协防协治面临巨大挑战。</w:t>
      </w:r>
    </w:p>
    <w:p>
      <w:pPr>
        <w:pStyle w:val="5"/>
        <w:spacing w:line="560" w:lineRule="exact"/>
        <w:ind w:left="-320" w:leftChars="-100" w:right="-339" w:rightChars="-106" w:firstLine="640"/>
        <w:rPr>
          <w:rFonts w:ascii="楷体_GB2312" w:hAnsi="楷体_GB2312" w:eastAsia="楷体_GB2312" w:cs="楷体_GB2312"/>
        </w:rPr>
      </w:pPr>
      <w:r>
        <w:rPr>
          <w:rFonts w:hint="eastAsia" w:ascii="楷体_GB2312" w:hAnsi="楷体_GB2312" w:eastAsia="楷体_GB2312" w:cs="楷体_GB2312"/>
        </w:rPr>
        <w:t>（二）污染防治形势依然严峻</w:t>
      </w:r>
    </w:p>
    <w:p>
      <w:pPr>
        <w:spacing w:line="560" w:lineRule="exact"/>
        <w:ind w:left="-320" w:leftChars="-100" w:right="-339" w:rightChars="-106" w:firstLine="640"/>
        <w:rPr>
          <w:rFonts w:ascii="仿宋_GB2312" w:hAnsi="仿宋_GB2312" w:eastAsia="仿宋_GB2312" w:cs="仿宋_GB2312"/>
        </w:rPr>
      </w:pPr>
      <w:r>
        <w:rPr>
          <w:rFonts w:hint="eastAsia" w:ascii="仿宋_GB2312" w:hAnsi="仿宋_GB2312" w:eastAsia="仿宋_GB2312" w:cs="仿宋_GB2312"/>
        </w:rPr>
        <w:t>随着城镇化建设的推进，经济社会发展与资源环境保护的矛盾日益突出，乱砍乱伐、毁林种地等各类不合理的开发活动及现象仍有发生，水土流失、石漠化等生态问题依然存在。一些矿产资源还未能得到有序、合理开发，导致一些区域生态环境受到破坏，土壤、地下水、生物多样性受到威胁，尾矿库安全隐患依然存在。矿产资源开发带来的生态破坏问题短期内难以解决，农村生态环境保护工作整体相对滞后，不科学的养殖和农药、化肥、农膜使用等造成的农业面源污染问题，农村居住环境脏乱差问题亟待解决。</w:t>
      </w:r>
    </w:p>
    <w:p>
      <w:pPr>
        <w:pStyle w:val="5"/>
        <w:spacing w:line="560" w:lineRule="exact"/>
        <w:ind w:left="-320" w:leftChars="-100" w:right="-339" w:rightChars="-106" w:firstLine="640"/>
        <w:rPr>
          <w:rFonts w:ascii="楷体_GB2312" w:hAnsi="楷体_GB2312" w:eastAsia="楷体_GB2312" w:cs="楷体_GB2312"/>
        </w:rPr>
      </w:pPr>
      <w:r>
        <w:rPr>
          <w:rFonts w:hint="eastAsia" w:ascii="楷体_GB2312" w:hAnsi="楷体_GB2312" w:eastAsia="楷体_GB2312" w:cs="楷体_GB2312"/>
        </w:rPr>
        <w:t>（三）环境改善进程与群众诉求存在落差</w:t>
      </w:r>
    </w:p>
    <w:p>
      <w:pPr>
        <w:spacing w:line="560" w:lineRule="exact"/>
        <w:ind w:left="-320" w:leftChars="-100" w:right="-339" w:rightChars="-106" w:firstLine="640"/>
      </w:pPr>
      <w:r>
        <w:rPr>
          <w:rFonts w:hint="eastAsia" w:ascii="仿宋_GB2312" w:hAnsi="仿宋_GB2312" w:eastAsia="仿宋_GB2312" w:cs="仿宋_GB2312"/>
        </w:rPr>
        <w:t>随着经济社会发展和人民生活水平提升，逐渐觉醒的公众环境意识、日益增长的优美生态环境需要与滞后的生态产品供给矛盾将长期存在，社会公众对环境健康的政府决策及相关环境信息公开的要求将持续提升，健全有效的公众参与环保的途径机制日益紧迫。新的环境问题不断显现，人民群众对环境质量要求越来越高，环境保护意识和环境维权意识在不断增强，加之环境质量标准、污染控制标准也会进一步严格，环境保护工作面临的压力将越来越大。</w:t>
      </w:r>
    </w:p>
    <w:p>
      <w:pPr>
        <w:ind w:left="-320" w:leftChars="-100" w:right="-339" w:rightChars="-106" w:firstLine="640"/>
        <w:rPr>
          <w:rFonts w:eastAsia="黑体"/>
          <w:b/>
          <w:bCs/>
          <w:kern w:val="44"/>
          <w:sz w:val="44"/>
          <w:szCs w:val="44"/>
        </w:rPr>
      </w:pPr>
      <w:r>
        <w:br w:type="page"/>
      </w:r>
    </w:p>
    <w:bookmarkEnd w:id="14"/>
    <w:p>
      <w:pPr>
        <w:pStyle w:val="3"/>
        <w:spacing w:line="560" w:lineRule="exact"/>
        <w:ind w:left="-320" w:leftChars="-100" w:right="-339" w:rightChars="-106" w:firstLine="880"/>
        <w:jc w:val="center"/>
        <w:rPr>
          <w:b w:val="0"/>
          <w:bCs w:val="0"/>
        </w:rPr>
      </w:pPr>
      <w:bookmarkStart w:id="91" w:name="_Toc11030"/>
      <w:bookmarkStart w:id="92" w:name="_Toc17758"/>
      <w:bookmarkStart w:id="93" w:name="_Toc5025"/>
      <w:bookmarkStart w:id="94" w:name="_Toc1937"/>
      <w:bookmarkStart w:id="95" w:name="_Toc11439"/>
      <w:bookmarkStart w:id="96" w:name="_Toc17017"/>
      <w:bookmarkStart w:id="97" w:name="_Toc31082"/>
      <w:bookmarkStart w:id="98" w:name="_Toc8201"/>
      <w:r>
        <w:rPr>
          <w:rFonts w:hint="eastAsia"/>
          <w:b w:val="0"/>
          <w:bCs w:val="0"/>
        </w:rPr>
        <w:t>第三章  规划目标与指标</w:t>
      </w:r>
      <w:bookmarkEnd w:id="91"/>
      <w:r>
        <w:rPr>
          <w:rFonts w:hint="eastAsia"/>
          <w:b w:val="0"/>
          <w:bCs w:val="0"/>
        </w:rPr>
        <w:t>体系</w:t>
      </w:r>
      <w:bookmarkEnd w:id="92"/>
      <w:bookmarkEnd w:id="93"/>
      <w:bookmarkEnd w:id="94"/>
      <w:bookmarkEnd w:id="95"/>
      <w:bookmarkEnd w:id="96"/>
      <w:bookmarkEnd w:id="97"/>
      <w:bookmarkEnd w:id="98"/>
    </w:p>
    <w:p>
      <w:pPr>
        <w:pStyle w:val="4"/>
        <w:spacing w:line="560" w:lineRule="exact"/>
        <w:ind w:left="-320" w:leftChars="-100" w:right="-339" w:rightChars="-106" w:firstLine="640"/>
        <w:rPr>
          <w:b w:val="0"/>
          <w:bCs w:val="0"/>
        </w:rPr>
      </w:pPr>
      <w:bookmarkStart w:id="99" w:name="_Toc8571"/>
      <w:bookmarkStart w:id="100" w:name="_Toc20918"/>
      <w:bookmarkStart w:id="101" w:name="_Toc17492"/>
      <w:bookmarkStart w:id="102" w:name="_Toc11186"/>
      <w:bookmarkStart w:id="103" w:name="_Toc5212"/>
      <w:bookmarkStart w:id="104" w:name="_Toc29604"/>
      <w:bookmarkStart w:id="105" w:name="_Toc28759"/>
      <w:bookmarkStart w:id="106" w:name="_Toc17350"/>
      <w:r>
        <w:rPr>
          <w:rFonts w:hint="eastAsia"/>
          <w:b w:val="0"/>
          <w:bCs w:val="0"/>
        </w:rPr>
        <w:t>一、规划目标</w:t>
      </w:r>
      <w:bookmarkEnd w:id="99"/>
      <w:bookmarkEnd w:id="100"/>
      <w:bookmarkEnd w:id="101"/>
      <w:bookmarkEnd w:id="102"/>
      <w:bookmarkEnd w:id="103"/>
      <w:bookmarkEnd w:id="104"/>
      <w:bookmarkEnd w:id="105"/>
      <w:bookmarkEnd w:id="106"/>
    </w:p>
    <w:p>
      <w:pPr>
        <w:pStyle w:val="5"/>
        <w:spacing w:line="560" w:lineRule="exact"/>
        <w:ind w:left="-320" w:leftChars="-100" w:right="-339" w:rightChars="-106" w:firstLine="640"/>
        <w:rPr>
          <w:rFonts w:eastAsia="楷体_GB2312" w:cs="Times New Roman"/>
        </w:rPr>
      </w:pPr>
      <w:r>
        <w:rPr>
          <w:rFonts w:eastAsia="楷体_GB2312" w:cs="Times New Roman"/>
        </w:rPr>
        <w:t>（一）总体目标</w:t>
      </w:r>
    </w:p>
    <w:p>
      <w:pPr>
        <w:spacing w:line="560" w:lineRule="exact"/>
        <w:ind w:left="-320" w:leftChars="-100" w:right="-339" w:rightChars="-106" w:firstLine="640"/>
        <w:rPr>
          <w:rFonts w:eastAsia="仿宋_GB2312" w:cs="Times New Roman"/>
        </w:rPr>
      </w:pPr>
      <w:r>
        <w:rPr>
          <w:rFonts w:eastAsia="仿宋_GB2312" w:cs="Times New Roman"/>
        </w:rPr>
        <w:t>力争用11年的时间，生态文明建设取得重大进展，国土空间开发格局进一步优化，促进经济绿色低碳循环发展，自然资源高效利用，生态环境质量总体改善，生态文明制度基本确立，生态文明主流价值观在全市得到普遍推行。至2025年，全面达到国家生态文明建设示范市各项指标要求。至2030年，生态文明建设水平明显提升，国家生态文明建设示范市创建成效显著。</w:t>
      </w:r>
    </w:p>
    <w:p>
      <w:pPr>
        <w:pStyle w:val="5"/>
        <w:spacing w:line="560" w:lineRule="exact"/>
        <w:ind w:left="-320" w:leftChars="-100" w:right="-339" w:rightChars="-106" w:firstLine="640"/>
        <w:rPr>
          <w:rFonts w:eastAsia="楷体_GB2312" w:cs="Times New Roman"/>
        </w:rPr>
      </w:pPr>
      <w:r>
        <w:rPr>
          <w:rFonts w:eastAsia="楷体_GB2312" w:cs="Times New Roman"/>
        </w:rPr>
        <w:t>（二）阶段目标</w:t>
      </w:r>
    </w:p>
    <w:p>
      <w:pPr>
        <w:spacing w:line="560" w:lineRule="exact"/>
        <w:ind w:left="-320" w:leftChars="-100" w:right="-339" w:rightChars="-106" w:firstLine="640"/>
        <w:rPr>
          <w:rFonts w:eastAsia="仿宋_GB2312" w:cs="Times New Roman"/>
        </w:rPr>
      </w:pPr>
      <w:r>
        <w:rPr>
          <w:rFonts w:eastAsia="仿宋_GB2312" w:cs="Times New Roman"/>
        </w:rPr>
        <w:t>1.启动期（2019年）</w:t>
      </w:r>
    </w:p>
    <w:p>
      <w:pPr>
        <w:adjustRightInd w:val="0"/>
        <w:snapToGrid w:val="0"/>
        <w:spacing w:line="560" w:lineRule="exact"/>
        <w:ind w:left="-320" w:leftChars="-100" w:right="-339" w:rightChars="-106" w:firstLine="640"/>
        <w:rPr>
          <w:rFonts w:eastAsia="仿宋_GB2312" w:cs="Times New Roman"/>
        </w:rPr>
      </w:pPr>
      <w:r>
        <w:rPr>
          <w:rFonts w:eastAsia="仿宋_GB2312" w:cs="Times New Roman"/>
        </w:rPr>
        <w:t>创建工作启动阶段。2019年，完成《规划》编制工作，经市人民政府审议后颁布实施。实施部分重点项目，未达标指标得到提升。</w:t>
      </w:r>
    </w:p>
    <w:p>
      <w:pPr>
        <w:spacing w:line="560" w:lineRule="exact"/>
        <w:ind w:left="-320" w:leftChars="-100" w:right="-339" w:rightChars="-106" w:firstLine="640"/>
        <w:rPr>
          <w:rFonts w:eastAsia="仿宋_GB2312" w:cs="Times New Roman"/>
        </w:rPr>
      </w:pPr>
      <w:r>
        <w:rPr>
          <w:rFonts w:eastAsia="仿宋_GB2312" w:cs="Times New Roman"/>
        </w:rPr>
        <w:t>2.创建期（2020-2025年）</w:t>
      </w:r>
    </w:p>
    <w:p>
      <w:pPr>
        <w:spacing w:line="560" w:lineRule="exact"/>
        <w:ind w:left="-320" w:leftChars="-100" w:right="-339" w:rightChars="-106" w:firstLine="640"/>
        <w:rPr>
          <w:rFonts w:eastAsia="仿宋_GB2312" w:cs="Times New Roman"/>
          <w:color w:val="0070C0"/>
        </w:rPr>
      </w:pPr>
      <w:r>
        <w:rPr>
          <w:rFonts w:eastAsia="仿宋_GB2312" w:cs="Times New Roman"/>
        </w:rPr>
        <w:t>全力创建阶段。到2025年，国家生态文明建设示范市各项约束性和参考性指标全面达到《国家生态文明建设示范市县建设指标》考核要求，争取申报国家级生态文明建设示范市。</w:t>
      </w:r>
    </w:p>
    <w:p>
      <w:pPr>
        <w:spacing w:line="560" w:lineRule="exact"/>
        <w:ind w:left="-320" w:leftChars="-100" w:right="-339" w:rightChars="-106" w:firstLine="640"/>
        <w:rPr>
          <w:rFonts w:ascii="仿宋_GB2312" w:hAnsi="仿宋_GB2312" w:eastAsia="仿宋_GB2312" w:cs="仿宋_GB2312"/>
        </w:rPr>
      </w:pPr>
      <w:r>
        <w:rPr>
          <w:rFonts w:eastAsia="仿宋_GB2312" w:cs="Times New Roman"/>
        </w:rPr>
        <w:t>3.巩固提升期（2026-2030年）</w:t>
      </w:r>
    </w:p>
    <w:p>
      <w:pPr>
        <w:spacing w:line="560" w:lineRule="exact"/>
        <w:ind w:left="-320" w:leftChars="-100" w:right="-339" w:rightChars="-106" w:firstLine="640"/>
        <w:rPr>
          <w:rFonts w:ascii="仿宋_GB2312" w:hAnsi="仿宋_GB2312" w:eastAsia="仿宋_GB2312" w:cs="仿宋_GB2312"/>
        </w:rPr>
      </w:pPr>
      <w:r>
        <w:rPr>
          <w:rFonts w:hint="eastAsia" w:ascii="仿宋_GB2312" w:hAnsi="仿宋_GB2312" w:eastAsia="仿宋_GB2312" w:cs="仿宋_GB2312"/>
        </w:rPr>
        <w:t>巩固提升阶段。继续优化提升国家生态文明建设示范市各项指标水平，进一步提高创建质量，巩固生态文明示范创建在各领域取得的成果，生态文明建设得到纵深推进，全面建成国家生态文明建设示范市。</w:t>
      </w:r>
    </w:p>
    <w:p>
      <w:pPr>
        <w:pStyle w:val="4"/>
        <w:spacing w:line="560" w:lineRule="exact"/>
        <w:ind w:left="-320" w:leftChars="-100" w:right="-339" w:rightChars="-106" w:firstLine="640"/>
        <w:rPr>
          <w:b w:val="0"/>
          <w:bCs w:val="0"/>
        </w:rPr>
      </w:pPr>
      <w:bookmarkStart w:id="107" w:name="_Toc4752"/>
      <w:bookmarkStart w:id="108" w:name="_Toc14971"/>
      <w:bookmarkStart w:id="109" w:name="_Toc31920"/>
      <w:bookmarkStart w:id="110" w:name="_Toc31344"/>
      <w:bookmarkStart w:id="111" w:name="_Toc17887"/>
      <w:bookmarkStart w:id="112" w:name="_Toc19293"/>
      <w:bookmarkStart w:id="113" w:name="_Toc27942"/>
      <w:bookmarkStart w:id="114" w:name="_Toc26266"/>
      <w:r>
        <w:rPr>
          <w:rFonts w:hint="eastAsia"/>
          <w:b w:val="0"/>
          <w:bCs w:val="0"/>
        </w:rPr>
        <w:t>二、规划指标体系</w:t>
      </w:r>
      <w:bookmarkEnd w:id="107"/>
      <w:bookmarkEnd w:id="108"/>
      <w:bookmarkEnd w:id="109"/>
      <w:bookmarkEnd w:id="110"/>
      <w:bookmarkEnd w:id="111"/>
      <w:bookmarkEnd w:id="112"/>
      <w:bookmarkEnd w:id="113"/>
      <w:bookmarkEnd w:id="114"/>
    </w:p>
    <w:p>
      <w:pPr>
        <w:spacing w:line="560" w:lineRule="exact"/>
        <w:ind w:left="-320" w:leftChars="-100" w:right="-339" w:rightChars="-106" w:firstLine="640"/>
        <w:rPr>
          <w:rFonts w:cs="Times New Roman"/>
        </w:rPr>
      </w:pPr>
      <w:r>
        <w:rPr>
          <w:rFonts w:eastAsia="仿宋_GB2312" w:cs="Times New Roman"/>
        </w:rPr>
        <w:t>依据生态环境部关于印发《国家生态文明建设示范市县建设指标》、《国家生态文明建设示范市县管理规程》（环生态〔2019〕76号），结合柳州市实际，确定柳州市国家生态文明建设示范市的指标体系，包括生态空间、生态经济、生态安全、生态生活、生态制度和生态文化六大体系，共34项考核指标（由于柳州市不属于沿海地区，故不评价</w:t>
      </w:r>
      <w:r>
        <w:rPr>
          <w:rFonts w:hint="eastAsia" w:eastAsia="仿宋_GB2312" w:cs="Times New Roman"/>
        </w:rPr>
        <w:t>“</w:t>
      </w:r>
      <w:r>
        <w:rPr>
          <w:rFonts w:eastAsia="仿宋_GB2312" w:cs="Times New Roman"/>
        </w:rPr>
        <w:t>近岸海域水质优</w:t>
      </w:r>
      <w:r>
        <w:rPr>
          <w:rFonts w:hint="eastAsia" w:eastAsia="仿宋_GB2312" w:cs="Times New Roman"/>
        </w:rPr>
        <w:t>良</w:t>
      </w:r>
      <w:r>
        <w:rPr>
          <w:rFonts w:eastAsia="仿宋_GB2312" w:cs="Times New Roman"/>
        </w:rPr>
        <w:t>（一、二类）比例</w:t>
      </w:r>
      <w:r>
        <w:rPr>
          <w:rFonts w:hint="eastAsia" w:eastAsia="仿宋_GB2312" w:cs="Times New Roman"/>
        </w:rPr>
        <w:t>”</w:t>
      </w:r>
      <w:r>
        <w:rPr>
          <w:rFonts w:eastAsia="仿宋_GB2312" w:cs="Times New Roman"/>
        </w:rPr>
        <w:t>、</w:t>
      </w:r>
      <w:r>
        <w:rPr>
          <w:rFonts w:hint="eastAsia" w:eastAsia="仿宋_GB2312" w:cs="Times New Roman"/>
        </w:rPr>
        <w:t>“</w:t>
      </w:r>
      <w:r>
        <w:rPr>
          <w:rFonts w:eastAsia="仿宋_GB2312" w:cs="Times New Roman"/>
        </w:rPr>
        <w:t>海岸生态修复</w:t>
      </w:r>
      <w:r>
        <w:rPr>
          <w:rFonts w:hint="eastAsia" w:eastAsia="仿宋_GB2312" w:cs="Times New Roman"/>
        </w:rPr>
        <w:t>”</w:t>
      </w:r>
      <w:r>
        <w:rPr>
          <w:rFonts w:eastAsia="仿宋_GB2312" w:cs="Times New Roman"/>
        </w:rPr>
        <w:t>、</w:t>
      </w:r>
      <w:r>
        <w:rPr>
          <w:rFonts w:hint="eastAsia" w:eastAsia="仿宋_GB2312" w:cs="Times New Roman"/>
        </w:rPr>
        <w:t>“</w:t>
      </w:r>
      <w:r>
        <w:rPr>
          <w:rFonts w:eastAsia="仿宋_GB2312" w:cs="Times New Roman"/>
        </w:rPr>
        <w:t>自然岸线保有率</w:t>
      </w:r>
      <w:r>
        <w:rPr>
          <w:rFonts w:hint="eastAsia" w:eastAsia="仿宋_GB2312" w:cs="Times New Roman"/>
        </w:rPr>
        <w:t>”</w:t>
      </w:r>
      <w:r>
        <w:rPr>
          <w:rFonts w:eastAsia="仿宋_GB2312" w:cs="Times New Roman"/>
        </w:rPr>
        <w:t>这三个指标），其中约束性指标19项、参考性指标15项，具体指标体系见表1。</w:t>
      </w:r>
    </w:p>
    <w:p>
      <w:pPr>
        <w:ind w:firstLine="640"/>
      </w:pPr>
    </w:p>
    <w:p>
      <w:pPr>
        <w:ind w:firstLine="640"/>
        <w:sectPr>
          <w:pgSz w:w="11906" w:h="16838"/>
          <w:pgMar w:top="1440" w:right="1803" w:bottom="1440" w:left="1803" w:header="851" w:footer="992" w:gutter="0"/>
          <w:cols w:space="720" w:num="1"/>
          <w:docGrid w:type="lines" w:linePitch="435" w:charSpace="0"/>
        </w:sectPr>
      </w:pPr>
    </w:p>
    <w:p>
      <w:pPr>
        <w:ind w:firstLine="640"/>
        <w:jc w:val="center"/>
      </w:pPr>
      <w:r>
        <w:rPr>
          <w:rFonts w:hint="eastAsia" w:ascii="方正小标宋简体" w:hAnsi="方正小标宋简体" w:eastAsia="方正小标宋简体" w:cs="方正小标宋简体"/>
          <w:bCs/>
          <w:szCs w:val="32"/>
        </w:rPr>
        <w:t>表</w:t>
      </w:r>
      <w:r>
        <w:rPr>
          <w:rFonts w:eastAsia="方正小标宋简体" w:cs="Times New Roman"/>
          <w:bCs/>
          <w:szCs w:val="32"/>
        </w:rPr>
        <w:t>1</w:t>
      </w:r>
      <w:r>
        <w:rPr>
          <w:rFonts w:hint="eastAsia" w:ascii="方正小标宋简体" w:hAnsi="方正小标宋简体" w:eastAsia="方正小标宋简体" w:cs="方正小标宋简体"/>
          <w:bCs/>
          <w:szCs w:val="32"/>
        </w:rPr>
        <w:t xml:space="preserve">   柳州市国家生态文明建设示范市指标体系</w:t>
      </w:r>
    </w:p>
    <w:tbl>
      <w:tblPr>
        <w:tblStyle w:val="25"/>
        <w:tblW w:w="14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8"/>
        <w:gridCol w:w="824"/>
        <w:gridCol w:w="517"/>
        <w:gridCol w:w="2683"/>
        <w:gridCol w:w="988"/>
        <w:gridCol w:w="1176"/>
        <w:gridCol w:w="1389"/>
        <w:gridCol w:w="823"/>
        <w:gridCol w:w="1482"/>
        <w:gridCol w:w="1429"/>
        <w:gridCol w:w="1186"/>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tblHeader/>
          <w:jc w:val="center"/>
        </w:trPr>
        <w:tc>
          <w:tcPr>
            <w:tcW w:w="408"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领域</w:t>
            </w:r>
          </w:p>
        </w:tc>
        <w:tc>
          <w:tcPr>
            <w:tcW w:w="824"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任务</w:t>
            </w:r>
          </w:p>
        </w:tc>
        <w:tc>
          <w:tcPr>
            <w:tcW w:w="517"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序号</w:t>
            </w:r>
          </w:p>
        </w:tc>
        <w:tc>
          <w:tcPr>
            <w:tcW w:w="2683"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指标名称</w:t>
            </w:r>
          </w:p>
        </w:tc>
        <w:tc>
          <w:tcPr>
            <w:tcW w:w="988"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指标属性</w:t>
            </w:r>
          </w:p>
        </w:tc>
        <w:tc>
          <w:tcPr>
            <w:tcW w:w="1176"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指标值</w:t>
            </w:r>
          </w:p>
        </w:tc>
        <w:tc>
          <w:tcPr>
            <w:tcW w:w="1389"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现状值</w:t>
            </w:r>
          </w:p>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（2018</w:t>
            </w:r>
            <w:r>
              <w:rPr>
                <w:rFonts w:hint="eastAsia" w:eastAsia="仿宋_GB2312" w:cs="Times New Roman"/>
                <w:b/>
                <w:sz w:val="24"/>
                <w:szCs w:val="24"/>
              </w:rPr>
              <w:t>年</w:t>
            </w:r>
            <w:r>
              <w:rPr>
                <w:rFonts w:eastAsia="仿宋_GB2312" w:cs="Times New Roman"/>
                <w:b/>
                <w:sz w:val="24"/>
                <w:szCs w:val="24"/>
              </w:rPr>
              <w:t>）</w:t>
            </w:r>
          </w:p>
        </w:tc>
        <w:tc>
          <w:tcPr>
            <w:tcW w:w="823"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是否</w:t>
            </w:r>
          </w:p>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达标</w:t>
            </w:r>
          </w:p>
        </w:tc>
        <w:tc>
          <w:tcPr>
            <w:tcW w:w="1482"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启动-创建期</w:t>
            </w:r>
          </w:p>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2019-2025年</w:t>
            </w:r>
          </w:p>
        </w:tc>
        <w:tc>
          <w:tcPr>
            <w:tcW w:w="1429"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巩固提升期</w:t>
            </w:r>
          </w:p>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2026-2030年</w:t>
            </w:r>
          </w:p>
        </w:tc>
        <w:tc>
          <w:tcPr>
            <w:tcW w:w="1186"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牵头单位</w:t>
            </w:r>
          </w:p>
        </w:tc>
        <w:tc>
          <w:tcPr>
            <w:tcW w:w="1620" w:type="dxa"/>
            <w:vAlign w:val="center"/>
          </w:tcPr>
          <w:p>
            <w:pPr>
              <w:widowControl/>
              <w:adjustRightInd w:val="0"/>
              <w:snapToGrid w:val="0"/>
              <w:spacing w:line="300" w:lineRule="exact"/>
              <w:ind w:firstLine="0" w:firstLineChars="0"/>
              <w:jc w:val="center"/>
              <w:rPr>
                <w:rFonts w:eastAsia="仿宋_GB2312" w:cs="Times New Roman"/>
                <w:b/>
                <w:sz w:val="24"/>
                <w:szCs w:val="24"/>
              </w:rPr>
            </w:pPr>
            <w:r>
              <w:rPr>
                <w:rFonts w:eastAsia="仿宋_GB2312" w:cs="Times New Roman"/>
                <w:b/>
                <w:sz w:val="24"/>
                <w:szCs w:val="24"/>
              </w:rPr>
              <w:t>配合单位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0" w:hRule="atLeast"/>
          <w:jc w:val="center"/>
        </w:trPr>
        <w:tc>
          <w:tcPr>
            <w:tcW w:w="408"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生</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态</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制</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度</w:t>
            </w:r>
          </w:p>
        </w:tc>
        <w:tc>
          <w:tcPr>
            <w:tcW w:w="824"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（一）</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目标责任体系与制度建设</w:t>
            </w: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生态文明建设规划</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制定实施</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正在制定实施</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制定实施</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制定实施</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市委组织部、</w:t>
            </w:r>
            <w:r>
              <w:rPr>
                <w:rFonts w:eastAsia="仿宋_GB2312" w:cs="Times New Roman"/>
                <w:bCs/>
                <w:sz w:val="24"/>
                <w:szCs w:val="24"/>
              </w:rPr>
              <w:t>市委督查绩效办</w:t>
            </w:r>
            <w:r>
              <w:rPr>
                <w:rFonts w:eastAsia="仿宋_GB2312" w:cs="Times New Roman"/>
                <w:sz w:val="24"/>
                <w:szCs w:val="24"/>
              </w:rPr>
              <w:t>、市发展改革委、市工业和信息化局、市住房城乡建设局、市自然资源和规划局、市财政局、市水利局、市林业和园林局、市统计局、市审计局、市行政审批局、市交通运输局、市农业农村局、国家统计局柳州调查队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08" w:type="dxa"/>
            <w:vMerge w:val="continue"/>
            <w:vAlign w:val="center"/>
          </w:tcPr>
          <w:p>
            <w:pPr>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党委政府对生态文明建设重大目标任务部署情况</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有效开展</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有效开展</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有效开展</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有效开展</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党委政府</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08" w:type="dxa"/>
            <w:vMerge w:val="continue"/>
            <w:vAlign w:val="center"/>
          </w:tcPr>
          <w:p>
            <w:pPr>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3</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生态文明建设工作占党政实绩考核的比例</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20.4%</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≥20%</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≥20%</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市委组织部、</w:t>
            </w:r>
            <w:r>
              <w:rPr>
                <w:rFonts w:eastAsia="仿宋_GB2312" w:cs="Times New Roman"/>
                <w:bCs/>
                <w:sz w:val="24"/>
                <w:szCs w:val="24"/>
              </w:rPr>
              <w:t>市委督查绩效办</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4</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河长制</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bCs/>
                <w:sz w:val="24"/>
                <w:szCs w:val="24"/>
              </w:rPr>
              <w:t>全面实施</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bCs/>
                <w:sz w:val="24"/>
                <w:szCs w:val="24"/>
              </w:rPr>
              <w:t>全面实施</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bCs/>
                <w:sz w:val="24"/>
                <w:szCs w:val="24"/>
              </w:rPr>
              <w:t>全面实施</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bCs/>
                <w:sz w:val="24"/>
                <w:szCs w:val="24"/>
              </w:rPr>
              <w:t>全面实施</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市水利局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5</w:t>
            </w:r>
          </w:p>
        </w:tc>
        <w:tc>
          <w:tcPr>
            <w:tcW w:w="2683" w:type="dxa"/>
            <w:vAlign w:val="center"/>
          </w:tcPr>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生态环境信息公开率</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3"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6</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依法开展规划环境影响评价</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62" w:hRule="atLeast"/>
          <w:jc w:val="center"/>
        </w:trPr>
        <w:tc>
          <w:tcPr>
            <w:tcW w:w="408"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生</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态</w:t>
            </w:r>
          </w:p>
          <w:p>
            <w:pPr>
              <w:adjustRightInd w:val="0"/>
              <w:snapToGrid w:val="0"/>
              <w:spacing w:line="300" w:lineRule="exact"/>
              <w:ind w:firstLine="0" w:firstLineChars="0"/>
              <w:jc w:val="center"/>
              <w:rPr>
                <w:rFonts w:eastAsia="仿宋_GB2312" w:cs="Times New Roman"/>
                <w:sz w:val="24"/>
                <w:szCs w:val="24"/>
              </w:rPr>
            </w:pPr>
            <w:r>
              <w:rPr>
                <w:rFonts w:hint="eastAsia" w:eastAsia="仿宋_GB2312" w:cs="Times New Roman"/>
                <w:sz w:val="24"/>
                <w:szCs w:val="24"/>
              </w:rPr>
              <w:t>安</w:t>
            </w:r>
          </w:p>
          <w:p>
            <w:pPr>
              <w:adjustRightInd w:val="0"/>
              <w:snapToGrid w:val="0"/>
              <w:spacing w:line="300" w:lineRule="exact"/>
              <w:ind w:firstLine="0" w:firstLineChars="0"/>
              <w:jc w:val="center"/>
              <w:rPr>
                <w:rFonts w:eastAsia="仿宋_GB2312" w:cs="Times New Roman"/>
                <w:sz w:val="24"/>
                <w:szCs w:val="24"/>
              </w:rPr>
            </w:pPr>
            <w:r>
              <w:rPr>
                <w:rFonts w:hint="eastAsia" w:eastAsia="仿宋_GB2312" w:cs="Times New Roman"/>
                <w:sz w:val="24"/>
                <w:szCs w:val="24"/>
              </w:rPr>
              <w:t>全</w:t>
            </w:r>
          </w:p>
        </w:tc>
        <w:tc>
          <w:tcPr>
            <w:tcW w:w="824"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（二）</w:t>
            </w:r>
          </w:p>
          <w:p>
            <w:pPr>
              <w:widowControl/>
              <w:adjustRightInd w:val="0"/>
              <w:snapToGrid w:val="0"/>
              <w:spacing w:line="300" w:lineRule="exact"/>
              <w:ind w:firstLine="0" w:firstLineChars="0"/>
              <w:jc w:val="center"/>
              <w:rPr>
                <w:rFonts w:eastAsia="仿宋_GB2312" w:cs="Times New Roman"/>
                <w:sz w:val="24"/>
                <w:szCs w:val="24"/>
              </w:rPr>
            </w:pPr>
            <w:r>
              <w:rPr>
                <w:rFonts w:hint="eastAsia" w:eastAsia="仿宋_GB2312" w:cs="Times New Roman"/>
                <w:sz w:val="24"/>
                <w:szCs w:val="24"/>
              </w:rPr>
              <w:t>生态</w:t>
            </w:r>
            <w:r>
              <w:rPr>
                <w:rFonts w:eastAsia="仿宋_GB2312" w:cs="Times New Roman"/>
                <w:sz w:val="24"/>
                <w:szCs w:val="24"/>
              </w:rPr>
              <w:t>环境质量改善</w:t>
            </w: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7</w:t>
            </w:r>
          </w:p>
        </w:tc>
        <w:tc>
          <w:tcPr>
            <w:tcW w:w="2683" w:type="dxa"/>
            <w:vAlign w:val="center"/>
          </w:tcPr>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环境空气质量</w:t>
            </w:r>
          </w:p>
          <w:p>
            <w:pPr>
              <w:widowControl/>
              <w:adjustRightInd w:val="0"/>
              <w:snapToGrid w:val="0"/>
              <w:spacing w:line="300" w:lineRule="exact"/>
              <w:ind w:firstLine="240" w:firstLineChars="100"/>
              <w:rPr>
                <w:rFonts w:eastAsia="仿宋_GB2312" w:cs="Times New Roman"/>
                <w:sz w:val="24"/>
                <w:szCs w:val="24"/>
              </w:rPr>
            </w:pPr>
            <w:r>
              <w:rPr>
                <w:rFonts w:eastAsia="仿宋_GB2312" w:cs="Times New Roman"/>
                <w:sz w:val="24"/>
                <w:szCs w:val="24"/>
              </w:rPr>
              <w:t>优良天数比例</w:t>
            </w:r>
          </w:p>
          <w:p>
            <w:pPr>
              <w:widowControl/>
              <w:adjustRightInd w:val="0"/>
              <w:snapToGrid w:val="0"/>
              <w:spacing w:line="300" w:lineRule="exact"/>
              <w:ind w:firstLine="240" w:firstLineChars="100"/>
              <w:rPr>
                <w:rFonts w:eastAsia="仿宋_GB2312" w:cs="Times New Roman"/>
                <w:sz w:val="24"/>
                <w:szCs w:val="24"/>
              </w:rPr>
            </w:pPr>
            <w:r>
              <w:rPr>
                <w:rFonts w:eastAsia="仿宋_GB2312" w:cs="Times New Roman"/>
                <w:sz w:val="24"/>
                <w:szCs w:val="24"/>
              </w:rPr>
              <w:t>PM</w:t>
            </w:r>
            <w:r>
              <w:rPr>
                <w:rFonts w:eastAsia="仿宋_GB2312" w:cs="Times New Roman"/>
                <w:sz w:val="24"/>
                <w:szCs w:val="24"/>
                <w:vertAlign w:val="subscript"/>
              </w:rPr>
              <w:t>2.5</w:t>
            </w:r>
            <w:r>
              <w:rPr>
                <w:rFonts w:eastAsia="仿宋_GB2312" w:cs="Times New Roman"/>
                <w:sz w:val="24"/>
                <w:szCs w:val="24"/>
              </w:rPr>
              <w:t>浓度下降幅度</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▲空气优良率为87.7%，PM</w:t>
            </w:r>
            <w:r>
              <w:rPr>
                <w:rFonts w:eastAsia="仿宋_GB2312" w:cs="Times New Roman"/>
                <w:sz w:val="24"/>
                <w:szCs w:val="24"/>
                <w:vertAlign w:val="subscript"/>
              </w:rPr>
              <w:t>2.5</w:t>
            </w:r>
            <w:r>
              <w:rPr>
                <w:rFonts w:eastAsia="仿宋_GB2312" w:cs="Times New Roman"/>
                <w:sz w:val="24"/>
                <w:szCs w:val="24"/>
              </w:rPr>
              <w:t>浓度均值为43微克/立方米。</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优良天数比例88.5%；PM</w:t>
            </w:r>
            <w:r>
              <w:rPr>
                <w:rFonts w:eastAsia="仿宋_GB2312" w:cs="Times New Roman"/>
                <w:sz w:val="24"/>
                <w:szCs w:val="24"/>
                <w:vertAlign w:val="subscript"/>
              </w:rPr>
              <w:t>2.5</w:t>
            </w:r>
            <w:r>
              <w:rPr>
                <w:rFonts w:eastAsia="仿宋_GB2312" w:cs="Times New Roman"/>
                <w:sz w:val="24"/>
                <w:szCs w:val="24"/>
              </w:rPr>
              <w:t>浓度均值为41微克/立方米</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完成上级规定的考核任务</w:t>
            </w:r>
            <w:r>
              <w:rPr>
                <w:rFonts w:hint="eastAsia" w:eastAsia="仿宋_GB2312" w:cs="Times New Roman"/>
                <w:sz w:val="24"/>
                <w:szCs w:val="24"/>
              </w:rPr>
              <w:t>；保持稳定或持续改善</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完成上级规定的考核任务</w:t>
            </w:r>
            <w:r>
              <w:rPr>
                <w:rFonts w:hint="eastAsia" w:eastAsia="仿宋_GB2312" w:cs="Times New Roman"/>
                <w:sz w:val="24"/>
                <w:szCs w:val="24"/>
              </w:rPr>
              <w:t>；保持稳定或持续改善</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市</w:t>
            </w:r>
            <w:r>
              <w:rPr>
                <w:rFonts w:hint="eastAsia" w:eastAsia="仿宋_GB2312" w:cs="Times New Roman"/>
                <w:sz w:val="24"/>
                <w:szCs w:val="24"/>
              </w:rPr>
              <w:t>发展改革委</w:t>
            </w:r>
            <w:r>
              <w:rPr>
                <w:rFonts w:eastAsia="仿宋_GB2312" w:cs="Times New Roman"/>
                <w:sz w:val="24"/>
                <w:szCs w:val="24"/>
              </w:rPr>
              <w:t>、市</w:t>
            </w:r>
            <w:r>
              <w:rPr>
                <w:rFonts w:hint="eastAsia" w:eastAsia="仿宋_GB2312" w:cs="Times New Roman"/>
                <w:sz w:val="24"/>
                <w:szCs w:val="24"/>
              </w:rPr>
              <w:t>工业和信息化局</w:t>
            </w:r>
            <w:r>
              <w:rPr>
                <w:rFonts w:eastAsia="仿宋_GB2312" w:cs="Times New Roman"/>
                <w:sz w:val="24"/>
                <w:szCs w:val="24"/>
              </w:rPr>
              <w:t>、市</w:t>
            </w:r>
            <w:r>
              <w:rPr>
                <w:rFonts w:hint="eastAsia" w:eastAsia="仿宋_GB2312" w:cs="Times New Roman"/>
                <w:sz w:val="24"/>
                <w:szCs w:val="24"/>
              </w:rPr>
              <w:t>住房城乡建设</w:t>
            </w:r>
            <w:r>
              <w:rPr>
                <w:rFonts w:eastAsia="仿宋_GB2312" w:cs="Times New Roman"/>
                <w:sz w:val="24"/>
                <w:szCs w:val="24"/>
              </w:rPr>
              <w:t>局、市城管执法局、市公安局、市农业农村局、市交通运输局、市市场监管局、市应急局、市自然资源和规划局</w:t>
            </w:r>
            <w:r>
              <w:rPr>
                <w:rFonts w:hint="eastAsia" w:eastAsia="仿宋_GB2312" w:cs="Times New Roman"/>
                <w:sz w:val="24"/>
                <w:szCs w:val="24"/>
              </w:rPr>
              <w:t>、</w:t>
            </w:r>
            <w:r>
              <w:rPr>
                <w:rFonts w:eastAsia="仿宋_GB2312" w:cs="Times New Roman"/>
                <w:sz w:val="24"/>
                <w:szCs w:val="24"/>
              </w:rPr>
              <w:t>市财政局、市气象局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3"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w:t>
            </w:r>
          </w:p>
        </w:tc>
        <w:tc>
          <w:tcPr>
            <w:tcW w:w="2683" w:type="dxa"/>
            <w:vAlign w:val="center"/>
          </w:tcPr>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水环境质量</w:t>
            </w:r>
          </w:p>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　水质达到或优于III类比例提高幅度</w:t>
            </w:r>
          </w:p>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　劣V类水体比例下降幅度</w:t>
            </w:r>
          </w:p>
          <w:p>
            <w:pPr>
              <w:widowControl/>
              <w:adjustRightInd w:val="0"/>
              <w:snapToGrid w:val="0"/>
              <w:spacing w:line="300" w:lineRule="exact"/>
              <w:ind w:firstLine="0" w:firstLineChars="0"/>
              <w:rPr>
                <w:rFonts w:eastAsia="仿宋_GB2312" w:cs="Times New Roman"/>
              </w:rPr>
            </w:pPr>
            <w:r>
              <w:rPr>
                <w:rFonts w:eastAsia="仿宋_GB2312" w:cs="Times New Roman"/>
                <w:sz w:val="24"/>
                <w:szCs w:val="24"/>
              </w:rPr>
              <w:t>　黑臭水体消除比例</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▲露塘、木洞及大洲3个断面水质目标达Ⅱ类，渔村、象州运江老街断面水质目标达Ⅲ类。</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露塘、木洞及大洲3个断面水质达Ⅱ类，渔村断面水质达Ⅲ类，均达考核目标要求（除象州运江老街断面由来宾市负责监测，未取得数据外），无V类水质断面，柳州建成区唯一一条黑臭水体竹鹅溪整治2018年10月份已通过自治区督查组的核验。</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完成上级规定的考核任务</w:t>
            </w:r>
            <w:r>
              <w:rPr>
                <w:rFonts w:hint="eastAsia" w:eastAsia="仿宋_GB2312" w:cs="Times New Roman"/>
                <w:sz w:val="24"/>
                <w:szCs w:val="24"/>
              </w:rPr>
              <w:t>；保持稳定或持续改善</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完成上级规定的考核任务</w:t>
            </w:r>
            <w:r>
              <w:rPr>
                <w:rFonts w:hint="eastAsia" w:eastAsia="仿宋_GB2312" w:cs="Times New Roman"/>
                <w:sz w:val="24"/>
                <w:szCs w:val="24"/>
              </w:rPr>
              <w:t>；保持稳定或持续改善</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市生态环境局、市住房城乡建设局</w:t>
            </w:r>
          </w:p>
        </w:tc>
        <w:tc>
          <w:tcPr>
            <w:tcW w:w="1620"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市发展改革委、市水利局、市农业农村局、市交通运输局、柳州海事局、市自然资源和规划局、市行政审批局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6"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（三）</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生态系统保护</w:t>
            </w: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生态环境状况指数（EI）</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≥60</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（其他地区）</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80.4★</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≥80.4</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≥81</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市自然资源和规划局、市</w:t>
            </w:r>
            <w:r>
              <w:rPr>
                <w:rFonts w:eastAsia="仿宋_GB2312" w:cs="Times New Roman"/>
                <w:kern w:val="0"/>
                <w:sz w:val="24"/>
                <w:szCs w:val="24"/>
              </w:rPr>
              <w:t>林业和园林局</w:t>
            </w:r>
            <w:r>
              <w:rPr>
                <w:rFonts w:eastAsia="仿宋_GB2312" w:cs="Times New Roman"/>
                <w:sz w:val="24"/>
                <w:szCs w:val="24"/>
              </w:rPr>
              <w:t>、市水利局、市住房城乡建设局等部门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林草覆盖率</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≥40%</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（丘陵地区）</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72.95%</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240" w:lineRule="auto"/>
              <w:ind w:firstLine="0" w:firstLineChars="0"/>
              <w:jc w:val="center"/>
              <w:rPr>
                <w:rFonts w:eastAsia="仿宋_GB2312" w:cs="Times New Roman"/>
                <w:sz w:val="24"/>
                <w:szCs w:val="24"/>
              </w:rPr>
            </w:pPr>
            <w:r>
              <w:rPr>
                <w:rFonts w:eastAsia="仿宋_GB2312" w:cs="Times New Roman"/>
                <w:sz w:val="24"/>
                <w:szCs w:val="24"/>
              </w:rPr>
              <w:t>不低于现状值</w:t>
            </w:r>
          </w:p>
        </w:tc>
        <w:tc>
          <w:tcPr>
            <w:tcW w:w="1429" w:type="dxa"/>
            <w:vAlign w:val="center"/>
          </w:tcPr>
          <w:p>
            <w:pPr>
              <w:widowControl/>
              <w:adjustRightInd w:val="0"/>
              <w:snapToGrid w:val="0"/>
              <w:spacing w:line="240" w:lineRule="auto"/>
              <w:ind w:firstLine="0" w:firstLineChars="0"/>
              <w:jc w:val="center"/>
              <w:rPr>
                <w:rFonts w:eastAsia="仿宋_GB2312" w:cs="Times New Roman"/>
                <w:sz w:val="24"/>
                <w:szCs w:val="24"/>
              </w:rPr>
            </w:pPr>
            <w:r>
              <w:rPr>
                <w:rFonts w:eastAsia="仿宋_GB2312" w:cs="Times New Roman"/>
                <w:sz w:val="24"/>
                <w:szCs w:val="24"/>
              </w:rPr>
              <w:t>不低于现状值</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市林业和园林局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bCs/>
                <w:sz w:val="24"/>
                <w:szCs w:val="24"/>
              </w:rPr>
              <w:t>市自然资源和规划局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01"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11</w:t>
            </w:r>
          </w:p>
        </w:tc>
        <w:tc>
          <w:tcPr>
            <w:tcW w:w="2683" w:type="dxa"/>
            <w:vAlign w:val="center"/>
          </w:tcPr>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生物多样性保护</w:t>
            </w:r>
          </w:p>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　国家重点保护野生动植物保护率</w:t>
            </w:r>
          </w:p>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　外来物种入侵</w:t>
            </w:r>
          </w:p>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　特有性或指示性水生物种保</w:t>
            </w:r>
            <w:r>
              <w:rPr>
                <w:rFonts w:hint="eastAsia" w:eastAsia="仿宋_GB2312" w:cs="Times New Roman"/>
                <w:sz w:val="24"/>
                <w:szCs w:val="24"/>
              </w:rPr>
              <w:t>持</w:t>
            </w:r>
            <w:r>
              <w:rPr>
                <w:rFonts w:eastAsia="仿宋_GB2312" w:cs="Times New Roman"/>
                <w:sz w:val="24"/>
                <w:szCs w:val="24"/>
              </w:rPr>
              <w:t>率</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tcPr>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≥95%</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不明显</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不降低</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≥95%</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不明显</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不降低</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≥95%</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不明显</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不降低</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≥95%</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不明显</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不降低</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市林业和园林局</w:t>
            </w:r>
          </w:p>
        </w:tc>
        <w:tc>
          <w:tcPr>
            <w:tcW w:w="1620"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市生态环境局、市农业农村局等部门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9"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（四）</w:t>
            </w:r>
          </w:p>
          <w:p>
            <w:pPr>
              <w:widowControl/>
              <w:adjustRightInd w:val="0"/>
              <w:snapToGrid w:val="0"/>
              <w:spacing w:line="300" w:lineRule="exact"/>
              <w:ind w:firstLine="0" w:firstLineChars="0"/>
              <w:jc w:val="center"/>
              <w:rPr>
                <w:rFonts w:eastAsia="仿宋_GB2312" w:cs="Times New Roman"/>
                <w:sz w:val="24"/>
                <w:szCs w:val="24"/>
              </w:rPr>
            </w:pPr>
            <w:r>
              <w:rPr>
                <w:rFonts w:hint="eastAsia" w:eastAsia="仿宋_GB2312" w:cs="Times New Roman"/>
                <w:sz w:val="24"/>
                <w:szCs w:val="24"/>
              </w:rPr>
              <w:t>生态</w:t>
            </w:r>
            <w:r>
              <w:rPr>
                <w:rFonts w:eastAsia="仿宋_GB2312" w:cs="Times New Roman"/>
                <w:sz w:val="24"/>
                <w:szCs w:val="24"/>
              </w:rPr>
              <w:t>环境风险防范</w:t>
            </w: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12</w:t>
            </w:r>
          </w:p>
        </w:tc>
        <w:tc>
          <w:tcPr>
            <w:tcW w:w="2683" w:type="dxa"/>
            <w:vAlign w:val="center"/>
          </w:tcPr>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危险废物利用处置率</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13</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建设用地土壤污染风险管控和修复名录制度</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建立</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已建立</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执行</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执行</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市工业和信息化局、工业园管委会、市自然资源和规划局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14</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突发生态环境事件应急管理机制</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建立</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已建立</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执行</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执行</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柳州市突发环境事件应急指挥部各成员单位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4" w:hRule="atLeast"/>
          <w:jc w:val="center"/>
        </w:trPr>
        <w:tc>
          <w:tcPr>
            <w:tcW w:w="408"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生</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态</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空</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间</w:t>
            </w:r>
          </w:p>
        </w:tc>
        <w:tc>
          <w:tcPr>
            <w:tcW w:w="824"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（五）</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空间格局优化</w:t>
            </w: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15</w:t>
            </w:r>
          </w:p>
        </w:tc>
        <w:tc>
          <w:tcPr>
            <w:tcW w:w="2683" w:type="dxa"/>
            <w:vAlign w:val="center"/>
          </w:tcPr>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自然生态空间</w:t>
            </w:r>
          </w:p>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　生态保护红线</w:t>
            </w:r>
          </w:p>
          <w:p>
            <w:pPr>
              <w:widowControl/>
              <w:adjustRightInd w:val="0"/>
              <w:snapToGrid w:val="0"/>
              <w:spacing w:line="300" w:lineRule="exact"/>
              <w:ind w:firstLine="0" w:firstLineChars="0"/>
              <w:rPr>
                <w:rFonts w:eastAsia="仿宋_GB2312" w:cs="Times New Roman"/>
                <w:sz w:val="24"/>
                <w:szCs w:val="24"/>
              </w:rPr>
            </w:pPr>
            <w:r>
              <w:rPr>
                <w:rFonts w:eastAsia="仿宋_GB2312" w:cs="Times New Roman"/>
                <w:sz w:val="24"/>
                <w:szCs w:val="24"/>
              </w:rPr>
              <w:t>　自然保护地</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面积不减少，性质不改变，功能不降低</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◆自然保护地总面积约130300.396公顷，占全市国土面积比例为7.01%。</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面积不减少，性质不改变，功能不降低</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面积不减少，性质不改变，功能不降低</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市自然资源和规划局、市生态环境局、市林业和园林局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市发展改革委、市工业和信息化局、市住房城乡建设局、市财政局、市水利局、市农业农村局、市统计局等部门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1"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16</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河湖岸线保护率（%）</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完成上级管控目标</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未开展</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否</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完成上级管控目标</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完成上级管控目标</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市水利局</w:t>
            </w:r>
          </w:p>
        </w:tc>
        <w:tc>
          <w:tcPr>
            <w:tcW w:w="1620"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市自然资源和规划局等部门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6" w:hRule="atLeast"/>
          <w:jc w:val="center"/>
        </w:trPr>
        <w:tc>
          <w:tcPr>
            <w:tcW w:w="408"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生</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态</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经</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济</w:t>
            </w:r>
          </w:p>
        </w:tc>
        <w:tc>
          <w:tcPr>
            <w:tcW w:w="824" w:type="dxa"/>
            <w:vMerge w:val="restart"/>
            <w:vAlign w:val="center"/>
          </w:tcPr>
          <w:p>
            <w:pPr>
              <w:widowControl/>
              <w:adjustRightInd w:val="0"/>
              <w:snapToGrid w:val="0"/>
              <w:spacing w:line="240" w:lineRule="auto"/>
              <w:ind w:firstLine="0" w:firstLineChars="0"/>
              <w:jc w:val="center"/>
              <w:rPr>
                <w:rFonts w:eastAsia="仿宋_GB2312" w:cs="Times New Roman"/>
                <w:bCs/>
                <w:sz w:val="24"/>
                <w:szCs w:val="24"/>
              </w:rPr>
            </w:pPr>
            <w:r>
              <w:rPr>
                <w:rFonts w:eastAsia="仿宋_GB2312" w:cs="Times New Roman"/>
                <w:bCs/>
                <w:sz w:val="24"/>
                <w:szCs w:val="24"/>
              </w:rPr>
              <w:t>（六）</w:t>
            </w:r>
          </w:p>
          <w:p>
            <w:pPr>
              <w:widowControl/>
              <w:adjustRightInd w:val="0"/>
              <w:snapToGrid w:val="0"/>
              <w:spacing w:line="240" w:lineRule="auto"/>
              <w:ind w:firstLine="0" w:firstLineChars="0"/>
              <w:jc w:val="center"/>
              <w:rPr>
                <w:rFonts w:eastAsia="仿宋_GB2312" w:cs="Times New Roman"/>
                <w:bCs/>
                <w:sz w:val="24"/>
                <w:szCs w:val="24"/>
              </w:rPr>
            </w:pPr>
            <w:r>
              <w:rPr>
                <w:rFonts w:eastAsia="仿宋_GB2312" w:cs="Times New Roman"/>
                <w:bCs/>
                <w:sz w:val="24"/>
                <w:szCs w:val="24"/>
              </w:rPr>
              <w:t>资源节约与利用</w:t>
            </w: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17</w:t>
            </w:r>
          </w:p>
        </w:tc>
        <w:tc>
          <w:tcPr>
            <w:tcW w:w="2683" w:type="dxa"/>
            <w:vAlign w:val="center"/>
          </w:tcPr>
          <w:p>
            <w:pPr>
              <w:widowControl/>
              <w:adjustRightInd w:val="0"/>
              <w:snapToGrid w:val="0"/>
              <w:spacing w:line="300" w:lineRule="exact"/>
              <w:ind w:firstLine="0" w:firstLineChars="0"/>
              <w:jc w:val="left"/>
              <w:rPr>
                <w:rFonts w:eastAsia="仿宋_GB2312" w:cs="Times New Roman"/>
                <w:color w:val="000000" w:themeColor="text1"/>
                <w:sz w:val="24"/>
                <w:szCs w:val="24"/>
              </w:rPr>
            </w:pPr>
            <w:r>
              <w:rPr>
                <w:rFonts w:eastAsia="仿宋_GB2312" w:cs="Times New Roman"/>
                <w:color w:val="000000" w:themeColor="text1"/>
                <w:sz w:val="24"/>
                <w:szCs w:val="24"/>
              </w:rPr>
              <w:t>单位地区生产总值能耗</w:t>
            </w:r>
          </w:p>
        </w:tc>
        <w:tc>
          <w:tcPr>
            <w:tcW w:w="988" w:type="dxa"/>
            <w:vAlign w:val="center"/>
          </w:tcPr>
          <w:p>
            <w:pPr>
              <w:widowControl/>
              <w:adjustRightInd w:val="0"/>
              <w:snapToGrid w:val="0"/>
              <w:spacing w:line="300" w:lineRule="exact"/>
              <w:ind w:firstLine="0" w:firstLineChars="0"/>
              <w:jc w:val="center"/>
              <w:rPr>
                <w:rFonts w:eastAsia="仿宋_GB2312" w:cs="Times New Roman"/>
                <w:color w:val="000000" w:themeColor="text1"/>
                <w:sz w:val="24"/>
                <w:szCs w:val="24"/>
              </w:rPr>
            </w:pPr>
            <w:r>
              <w:rPr>
                <w:rFonts w:eastAsia="仿宋_GB2312" w:cs="Times New Roman"/>
                <w:color w:val="000000" w:themeColor="text1"/>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color w:val="000000" w:themeColor="text1"/>
                <w:sz w:val="24"/>
                <w:szCs w:val="24"/>
              </w:rPr>
            </w:pPr>
            <w:r>
              <w:rPr>
                <w:rFonts w:eastAsia="仿宋_GB2312" w:cs="Times New Roman"/>
                <w:color w:val="000000" w:themeColor="text1"/>
                <w:sz w:val="24"/>
                <w:szCs w:val="24"/>
              </w:rPr>
              <w:t>▲0.57吨标</w:t>
            </w:r>
            <w:r>
              <w:rPr>
                <w:rFonts w:hint="eastAsia" w:eastAsia="仿宋_GB2312" w:cs="Times New Roman"/>
                <w:color w:val="000000" w:themeColor="text1"/>
                <w:sz w:val="24"/>
                <w:szCs w:val="24"/>
              </w:rPr>
              <w:t>准</w:t>
            </w:r>
            <w:r>
              <w:rPr>
                <w:rFonts w:eastAsia="仿宋_GB2312" w:cs="Times New Roman"/>
                <w:color w:val="000000" w:themeColor="text1"/>
                <w:sz w:val="24"/>
                <w:szCs w:val="24"/>
              </w:rPr>
              <w:t>煤/万元</w:t>
            </w:r>
          </w:p>
        </w:tc>
        <w:tc>
          <w:tcPr>
            <w:tcW w:w="1389" w:type="dxa"/>
            <w:vAlign w:val="center"/>
          </w:tcPr>
          <w:p>
            <w:pPr>
              <w:widowControl/>
              <w:adjustRightInd w:val="0"/>
              <w:snapToGrid w:val="0"/>
              <w:spacing w:line="300" w:lineRule="exact"/>
              <w:ind w:firstLine="0" w:firstLineChars="0"/>
              <w:jc w:val="center"/>
              <w:rPr>
                <w:rFonts w:eastAsia="仿宋_GB2312" w:cs="Times New Roman"/>
                <w:color w:val="000000" w:themeColor="text1"/>
                <w:sz w:val="24"/>
                <w:szCs w:val="24"/>
              </w:rPr>
            </w:pPr>
            <w:r>
              <w:rPr>
                <w:rFonts w:eastAsia="仿宋_GB2312" w:cs="Times New Roman"/>
                <w:color w:val="000000" w:themeColor="text1"/>
                <w:sz w:val="24"/>
                <w:szCs w:val="24"/>
              </w:rPr>
              <w:t>0.58吨标</w:t>
            </w:r>
            <w:r>
              <w:rPr>
                <w:rFonts w:hint="eastAsia" w:eastAsia="仿宋_GB2312" w:cs="Times New Roman"/>
                <w:color w:val="000000" w:themeColor="text1"/>
                <w:sz w:val="24"/>
                <w:szCs w:val="24"/>
              </w:rPr>
              <w:t>准</w:t>
            </w:r>
            <w:r>
              <w:rPr>
                <w:rFonts w:eastAsia="仿宋_GB2312" w:cs="Times New Roman"/>
                <w:color w:val="000000" w:themeColor="text1"/>
                <w:sz w:val="24"/>
                <w:szCs w:val="24"/>
              </w:rPr>
              <w:t>煤/万元</w:t>
            </w:r>
          </w:p>
        </w:tc>
        <w:tc>
          <w:tcPr>
            <w:tcW w:w="823" w:type="dxa"/>
            <w:vAlign w:val="center"/>
          </w:tcPr>
          <w:p>
            <w:pPr>
              <w:widowControl/>
              <w:adjustRightInd w:val="0"/>
              <w:snapToGrid w:val="0"/>
              <w:spacing w:line="300" w:lineRule="exact"/>
              <w:ind w:firstLine="0" w:firstLineChars="0"/>
              <w:jc w:val="center"/>
              <w:rPr>
                <w:rFonts w:eastAsia="仿宋_GB2312" w:cs="Times New Roman"/>
                <w:color w:val="000000" w:themeColor="text1"/>
                <w:sz w:val="24"/>
                <w:szCs w:val="24"/>
              </w:rPr>
            </w:pPr>
            <w:r>
              <w:rPr>
                <w:rFonts w:eastAsia="仿宋_GB2312" w:cs="Times New Roman"/>
                <w:color w:val="000000" w:themeColor="text1"/>
                <w:sz w:val="24"/>
                <w:szCs w:val="24"/>
              </w:rPr>
              <w:t>否</w:t>
            </w:r>
          </w:p>
        </w:tc>
        <w:tc>
          <w:tcPr>
            <w:tcW w:w="1482" w:type="dxa"/>
            <w:vAlign w:val="center"/>
          </w:tcPr>
          <w:p>
            <w:pPr>
              <w:widowControl/>
              <w:adjustRightInd w:val="0"/>
              <w:snapToGrid w:val="0"/>
              <w:spacing w:line="300" w:lineRule="exact"/>
              <w:ind w:firstLine="0" w:firstLineChars="0"/>
              <w:jc w:val="center"/>
              <w:rPr>
                <w:rFonts w:eastAsia="仿宋_GB2312" w:cs="Times New Roman"/>
                <w:color w:val="000000" w:themeColor="text1"/>
                <w:sz w:val="24"/>
                <w:szCs w:val="24"/>
              </w:rPr>
            </w:pPr>
            <w:r>
              <w:rPr>
                <w:rFonts w:eastAsia="仿宋_GB2312" w:cs="Times New Roman"/>
                <w:color w:val="000000" w:themeColor="text1"/>
                <w:sz w:val="24"/>
                <w:szCs w:val="24"/>
              </w:rPr>
              <w:t>完成上级规定的目标任务</w:t>
            </w:r>
            <w:r>
              <w:rPr>
                <w:rFonts w:hint="eastAsia" w:eastAsia="仿宋_GB2312" w:cs="Times New Roman"/>
                <w:sz w:val="24"/>
                <w:szCs w:val="24"/>
              </w:rPr>
              <w:t>；保持稳定或持续改善</w:t>
            </w:r>
          </w:p>
        </w:tc>
        <w:tc>
          <w:tcPr>
            <w:tcW w:w="1429" w:type="dxa"/>
            <w:vAlign w:val="center"/>
          </w:tcPr>
          <w:p>
            <w:pPr>
              <w:widowControl/>
              <w:adjustRightInd w:val="0"/>
              <w:snapToGrid w:val="0"/>
              <w:spacing w:line="300" w:lineRule="exact"/>
              <w:ind w:firstLine="0" w:firstLineChars="0"/>
              <w:jc w:val="center"/>
              <w:rPr>
                <w:rFonts w:eastAsia="仿宋_GB2312" w:cs="Times New Roman"/>
                <w:color w:val="000000" w:themeColor="text1"/>
                <w:sz w:val="24"/>
                <w:szCs w:val="24"/>
              </w:rPr>
            </w:pPr>
            <w:r>
              <w:rPr>
                <w:rFonts w:eastAsia="仿宋_GB2312" w:cs="Times New Roman"/>
                <w:color w:val="000000" w:themeColor="text1"/>
                <w:sz w:val="24"/>
                <w:szCs w:val="24"/>
              </w:rPr>
              <w:t>完成上级规定的目标任务</w:t>
            </w:r>
            <w:r>
              <w:rPr>
                <w:rFonts w:hint="eastAsia" w:eastAsia="仿宋_GB2312" w:cs="Times New Roman"/>
                <w:sz w:val="24"/>
                <w:szCs w:val="24"/>
              </w:rPr>
              <w:t>；保持稳定或持续改善</w:t>
            </w:r>
          </w:p>
        </w:tc>
        <w:tc>
          <w:tcPr>
            <w:tcW w:w="1186" w:type="dxa"/>
            <w:vAlign w:val="center"/>
          </w:tcPr>
          <w:p>
            <w:pPr>
              <w:widowControl/>
              <w:adjustRightInd w:val="0"/>
              <w:snapToGrid w:val="0"/>
              <w:spacing w:line="300" w:lineRule="exact"/>
              <w:ind w:firstLine="0" w:firstLineChars="0"/>
              <w:jc w:val="center"/>
              <w:rPr>
                <w:rFonts w:eastAsia="仿宋_GB2312" w:cs="Times New Roman"/>
                <w:color w:val="000000" w:themeColor="text1"/>
                <w:sz w:val="24"/>
                <w:szCs w:val="24"/>
              </w:rPr>
            </w:pPr>
            <w:r>
              <w:rPr>
                <w:rFonts w:eastAsia="仿宋_GB2312" w:cs="Times New Roman"/>
                <w:color w:val="000000" w:themeColor="text1"/>
                <w:sz w:val="24"/>
                <w:szCs w:val="24"/>
              </w:rPr>
              <w:t>市发展改革委</w:t>
            </w:r>
          </w:p>
        </w:tc>
        <w:tc>
          <w:tcPr>
            <w:tcW w:w="1620" w:type="dxa"/>
            <w:vAlign w:val="center"/>
          </w:tcPr>
          <w:p>
            <w:pPr>
              <w:widowControl/>
              <w:adjustRightInd w:val="0"/>
              <w:snapToGrid w:val="0"/>
              <w:spacing w:line="300" w:lineRule="exact"/>
              <w:ind w:firstLine="0" w:firstLineChars="0"/>
              <w:jc w:val="left"/>
              <w:rPr>
                <w:rFonts w:eastAsia="仿宋_GB2312" w:cs="Times New Roman"/>
                <w:color w:val="000000" w:themeColor="text1"/>
                <w:sz w:val="24"/>
                <w:szCs w:val="24"/>
              </w:rPr>
            </w:pPr>
            <w:r>
              <w:rPr>
                <w:rFonts w:eastAsia="仿宋_GB2312" w:cs="Times New Roman"/>
                <w:color w:val="000000" w:themeColor="text1"/>
                <w:sz w:val="24"/>
                <w:szCs w:val="24"/>
              </w:rPr>
              <w:t>市工业和信息化局、市统计局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98"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240" w:lineRule="auto"/>
              <w:ind w:firstLine="0" w:firstLineChars="0"/>
              <w:jc w:val="center"/>
              <w:rPr>
                <w:rFonts w:eastAsia="仿宋_GB2312" w:cs="Times New Roman"/>
                <w:bCs/>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18</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单位地区生产总值用水量</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▲74.4立方米/万元</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69.3立方米/万元</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完成上级规定的目标任务</w:t>
            </w:r>
            <w:r>
              <w:rPr>
                <w:rFonts w:hint="eastAsia" w:eastAsia="仿宋_GB2312" w:cs="Times New Roman"/>
                <w:sz w:val="24"/>
                <w:szCs w:val="24"/>
              </w:rPr>
              <w:t>；保持稳定或持续改善</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完成上级规定的目标任务</w:t>
            </w:r>
            <w:r>
              <w:rPr>
                <w:rFonts w:hint="eastAsia" w:eastAsia="仿宋_GB2312" w:cs="Times New Roman"/>
                <w:sz w:val="24"/>
                <w:szCs w:val="24"/>
              </w:rPr>
              <w:t>；保持稳定或持续改善</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市水利局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98"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240" w:lineRule="auto"/>
              <w:ind w:firstLine="0" w:firstLineChars="0"/>
              <w:jc w:val="center"/>
              <w:rPr>
                <w:rFonts w:eastAsia="仿宋_GB2312" w:cs="Times New Roman"/>
                <w:bCs/>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19</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单位国内生产总值建设用地使用面积下降率</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≥4.5%</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7.37</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不低于现状值</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不低于现状值</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市自然资源和规划局</w:t>
            </w:r>
          </w:p>
        </w:tc>
        <w:tc>
          <w:tcPr>
            <w:tcW w:w="1620"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市统计局、市工业和信息化局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3"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240" w:lineRule="auto"/>
              <w:ind w:firstLine="0" w:firstLineChars="0"/>
              <w:jc w:val="center"/>
              <w:rPr>
                <w:rFonts w:eastAsia="仿宋_GB2312" w:cs="Times New Roman"/>
                <w:bCs/>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20</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碳排放强度（吨/万元）</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完成上级管控目标（下降4.4%）</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3.6%</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否</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完成上级管控目标</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完成上级管控目标</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市工业和信息化局、市发展改革委、市统计局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6" w:hRule="atLeast"/>
          <w:jc w:val="center"/>
        </w:trPr>
        <w:tc>
          <w:tcPr>
            <w:tcW w:w="408" w:type="dxa"/>
            <w:vMerge w:val="continue"/>
            <w:vAlign w:val="center"/>
          </w:tcPr>
          <w:p>
            <w:pPr>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240" w:lineRule="auto"/>
              <w:ind w:firstLine="0" w:firstLineChars="0"/>
              <w:jc w:val="center"/>
              <w:rPr>
                <w:rFonts w:eastAsia="仿宋_GB2312" w:cs="Times New Roman"/>
                <w:bCs/>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21</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应当实施强制性清洁生产企业通过审核的比例（%）</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完成年度审核计划</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完成年度审核计划</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完成年度审核计划</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完成年度审核计划</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6" w:hRule="atLeast"/>
          <w:jc w:val="center"/>
        </w:trPr>
        <w:tc>
          <w:tcPr>
            <w:tcW w:w="408" w:type="dxa"/>
            <w:vMerge w:val="continue"/>
            <w:vAlign w:val="center"/>
          </w:tcPr>
          <w:p>
            <w:pPr>
              <w:adjustRightInd w:val="0"/>
              <w:snapToGrid w:val="0"/>
              <w:spacing w:line="300" w:lineRule="exact"/>
              <w:ind w:firstLine="0" w:firstLineChars="0"/>
              <w:jc w:val="center"/>
              <w:rPr>
                <w:rFonts w:eastAsia="仿宋_GB2312" w:cs="Times New Roman"/>
                <w:sz w:val="24"/>
                <w:szCs w:val="24"/>
              </w:rPr>
            </w:pPr>
          </w:p>
        </w:tc>
        <w:tc>
          <w:tcPr>
            <w:tcW w:w="824" w:type="dxa"/>
            <w:vAlign w:val="center"/>
          </w:tcPr>
          <w:p>
            <w:pPr>
              <w:widowControl/>
              <w:adjustRightInd w:val="0"/>
              <w:snapToGrid w:val="0"/>
              <w:spacing w:line="240" w:lineRule="auto"/>
              <w:ind w:firstLine="0" w:firstLineChars="0"/>
              <w:rPr>
                <w:rFonts w:eastAsia="仿宋_GB2312" w:cs="Times New Roman"/>
                <w:sz w:val="24"/>
                <w:szCs w:val="24"/>
              </w:rPr>
            </w:pPr>
            <w:r>
              <w:rPr>
                <w:rFonts w:eastAsia="仿宋_GB2312" w:cs="Times New Roman"/>
                <w:sz w:val="24"/>
                <w:szCs w:val="24"/>
              </w:rPr>
              <w:t>（七）产业循环发展</w:t>
            </w: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22</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一般工业固体废物综合利用率</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93.56%</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不低于现状值</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不低于现状值</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市工业和信息化局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1" w:hRule="atLeast"/>
          <w:jc w:val="center"/>
        </w:trPr>
        <w:tc>
          <w:tcPr>
            <w:tcW w:w="408"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生</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态</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生</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活</w:t>
            </w:r>
          </w:p>
        </w:tc>
        <w:tc>
          <w:tcPr>
            <w:tcW w:w="824"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w:t>
            </w:r>
            <w:r>
              <w:rPr>
                <w:rFonts w:hint="eastAsia" w:eastAsia="仿宋_GB2312" w:cs="Times New Roman"/>
                <w:sz w:val="24"/>
                <w:szCs w:val="24"/>
              </w:rPr>
              <w:t>八</w:t>
            </w:r>
            <w:r>
              <w:rPr>
                <w:rFonts w:eastAsia="仿宋_GB2312" w:cs="Times New Roman"/>
                <w:sz w:val="24"/>
                <w:szCs w:val="24"/>
              </w:rPr>
              <w:t>）</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人居环境改善</w:t>
            </w: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23</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集中式饮用水水源地水质优良比例</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c>
          <w:tcPr>
            <w:tcW w:w="1620"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市水利局</w:t>
            </w:r>
            <w:r>
              <w:rPr>
                <w:rFonts w:hint="eastAsia" w:eastAsia="仿宋_GB2312" w:cs="Times New Roman"/>
                <w:sz w:val="24"/>
                <w:szCs w:val="24"/>
              </w:rPr>
              <w:t>、市住房城乡建设局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24</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城镇污水处理率</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≥95%</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94.8%</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否</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≥95%</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≥95%</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市住房城乡建设局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25</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城镇生活垃圾无害化处理率</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≥95%</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97.23%</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240" w:lineRule="auto"/>
              <w:ind w:firstLine="0" w:firstLineChars="0"/>
              <w:jc w:val="center"/>
              <w:rPr>
                <w:rFonts w:eastAsia="仿宋_GB2312" w:cs="Times New Roman"/>
                <w:sz w:val="24"/>
                <w:szCs w:val="24"/>
              </w:rPr>
            </w:pPr>
            <w:r>
              <w:rPr>
                <w:rFonts w:eastAsia="仿宋_GB2312" w:cs="Times New Roman"/>
                <w:sz w:val="24"/>
                <w:szCs w:val="24"/>
              </w:rPr>
              <w:t>不低于现状值</w:t>
            </w:r>
          </w:p>
        </w:tc>
        <w:tc>
          <w:tcPr>
            <w:tcW w:w="1429" w:type="dxa"/>
            <w:vAlign w:val="center"/>
          </w:tcPr>
          <w:p>
            <w:pPr>
              <w:widowControl/>
              <w:adjustRightInd w:val="0"/>
              <w:snapToGrid w:val="0"/>
              <w:spacing w:line="240" w:lineRule="auto"/>
              <w:ind w:firstLine="0" w:firstLineChars="0"/>
              <w:jc w:val="center"/>
              <w:rPr>
                <w:rFonts w:eastAsia="仿宋_GB2312" w:cs="Times New Roman"/>
                <w:sz w:val="24"/>
                <w:szCs w:val="24"/>
              </w:rPr>
            </w:pPr>
            <w:r>
              <w:rPr>
                <w:rFonts w:eastAsia="仿宋_GB2312" w:cs="Times New Roman"/>
                <w:sz w:val="24"/>
                <w:szCs w:val="24"/>
              </w:rPr>
              <w:t>不低于现状值</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hint="eastAsia" w:eastAsia="仿宋_GB2312" w:cs="Times New Roman"/>
                <w:sz w:val="24"/>
                <w:szCs w:val="24"/>
              </w:rPr>
              <w:t>市</w:t>
            </w:r>
            <w:r>
              <w:rPr>
                <w:rFonts w:eastAsia="仿宋_GB2312" w:cs="Times New Roman"/>
                <w:sz w:val="24"/>
                <w:szCs w:val="24"/>
              </w:rPr>
              <w:t>城管执法局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市水务集团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08" w:type="dxa"/>
            <w:vMerge w:val="continue"/>
            <w:vAlign w:val="center"/>
          </w:tcPr>
          <w:p>
            <w:pPr>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26</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城镇人均公园绿地面积</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≥15平方米/人</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12.89平方米/人</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否</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≥15平方米/人</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≥15平方米/人</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市林业和园林局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8"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w:t>
            </w:r>
            <w:r>
              <w:rPr>
                <w:rFonts w:hint="eastAsia" w:eastAsia="仿宋_GB2312" w:cs="Times New Roman"/>
                <w:sz w:val="24"/>
                <w:szCs w:val="24"/>
              </w:rPr>
              <w:t>九</w:t>
            </w:r>
            <w:r>
              <w:rPr>
                <w:rFonts w:eastAsia="仿宋_GB2312" w:cs="Times New Roman"/>
                <w:sz w:val="24"/>
                <w:szCs w:val="24"/>
              </w:rPr>
              <w:t>）</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生活方式绿色化</w:t>
            </w: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27</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城镇新建绿色建筑比例</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≥50%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39%</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否</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≥50%</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≥50%</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市住房城乡建设局</w:t>
            </w:r>
          </w:p>
        </w:tc>
        <w:tc>
          <w:tcPr>
            <w:tcW w:w="1620"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市自然资源和规划局、市发展改革委、市生态环境局、各县区政府、新区管委会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28</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公共交通出行分担率</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≥50%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未开展</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否</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≥50%</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≥50%</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市交通运输局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29</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生活废弃物综合利用</w:t>
            </w:r>
          </w:p>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　城镇生活垃圾分类减量化行动</w:t>
            </w:r>
          </w:p>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　农村生活垃圾集中收集储运</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实施</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实施</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实施</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实施</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市城管执法局</w:t>
            </w:r>
          </w:p>
        </w:tc>
        <w:tc>
          <w:tcPr>
            <w:tcW w:w="1620"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市农业农村局、市环卫处、市生态环境局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8"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30</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绿色产品市场占有率</w:t>
            </w:r>
          </w:p>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　节能家电市场占有率</w:t>
            </w:r>
          </w:p>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　在售用水器具中节水型器具占比</w:t>
            </w:r>
          </w:p>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　一次性消费品人均使用量（千克）</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≥50%</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逐步下降</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未开展</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否</w:t>
            </w:r>
          </w:p>
        </w:tc>
        <w:tc>
          <w:tcPr>
            <w:tcW w:w="1482" w:type="dxa"/>
          </w:tcPr>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≥50%</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逐步下降</w:t>
            </w:r>
          </w:p>
        </w:tc>
        <w:tc>
          <w:tcPr>
            <w:tcW w:w="1429" w:type="dxa"/>
          </w:tcPr>
          <w:p>
            <w:pPr>
              <w:widowControl/>
              <w:adjustRightInd w:val="0"/>
              <w:snapToGrid w:val="0"/>
              <w:spacing w:line="300" w:lineRule="exact"/>
              <w:ind w:firstLine="0" w:firstLineChars="0"/>
              <w:jc w:val="center"/>
              <w:rPr>
                <w:rFonts w:eastAsia="仿宋_GB2312" w:cs="Times New Roman"/>
                <w:sz w:val="24"/>
                <w:szCs w:val="24"/>
              </w:rPr>
            </w:pP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≥50%</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逐步下降</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国家统计局柳州调查队</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市住房城乡建设局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31</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政府绿色采购比例</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约束性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99.4%</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240" w:lineRule="auto"/>
              <w:ind w:firstLine="0" w:firstLineChars="0"/>
              <w:jc w:val="center"/>
              <w:rPr>
                <w:rFonts w:eastAsia="仿宋_GB2312" w:cs="Times New Roman"/>
                <w:sz w:val="24"/>
                <w:szCs w:val="24"/>
              </w:rPr>
            </w:pPr>
            <w:r>
              <w:rPr>
                <w:rFonts w:eastAsia="仿宋_GB2312" w:cs="Times New Roman"/>
                <w:sz w:val="24"/>
                <w:szCs w:val="24"/>
              </w:rPr>
              <w:t>不低于现状值</w:t>
            </w:r>
          </w:p>
        </w:tc>
        <w:tc>
          <w:tcPr>
            <w:tcW w:w="1429" w:type="dxa"/>
            <w:vAlign w:val="center"/>
          </w:tcPr>
          <w:p>
            <w:pPr>
              <w:widowControl/>
              <w:adjustRightInd w:val="0"/>
              <w:snapToGrid w:val="0"/>
              <w:spacing w:line="240" w:lineRule="auto"/>
              <w:ind w:firstLine="0" w:firstLineChars="0"/>
              <w:jc w:val="center"/>
              <w:rPr>
                <w:rFonts w:eastAsia="仿宋_GB2312" w:cs="Times New Roman"/>
                <w:sz w:val="24"/>
                <w:szCs w:val="24"/>
              </w:rPr>
            </w:pPr>
            <w:r>
              <w:rPr>
                <w:rFonts w:eastAsia="仿宋_GB2312" w:cs="Times New Roman"/>
                <w:sz w:val="24"/>
                <w:szCs w:val="24"/>
              </w:rPr>
              <w:t>不低于现状值</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市财政局</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5" w:hRule="atLeast"/>
          <w:jc w:val="center"/>
        </w:trPr>
        <w:tc>
          <w:tcPr>
            <w:tcW w:w="408"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生</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态</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文</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化</w:t>
            </w:r>
          </w:p>
        </w:tc>
        <w:tc>
          <w:tcPr>
            <w:tcW w:w="824" w:type="dxa"/>
            <w:vMerge w:val="restart"/>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w:t>
            </w:r>
            <w:r>
              <w:rPr>
                <w:rFonts w:hint="eastAsia" w:eastAsia="仿宋_GB2312" w:cs="Times New Roman"/>
                <w:sz w:val="24"/>
                <w:szCs w:val="24"/>
              </w:rPr>
              <w:t>十</w:t>
            </w:r>
            <w:r>
              <w:rPr>
                <w:rFonts w:eastAsia="仿宋_GB2312" w:cs="Times New Roman"/>
                <w:sz w:val="24"/>
                <w:szCs w:val="24"/>
              </w:rPr>
              <w:t>）</w:t>
            </w:r>
          </w:p>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观念意识普及</w:t>
            </w: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32</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党政领导干部参加生态文明培训的人数比例</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是</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100%</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市委组织部</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33</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公众对生态文明建设的满意度</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未统计</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否</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≥80%</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≥80%</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国家统计局柳州调查队</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408"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824" w:type="dxa"/>
            <w:vMerge w:val="continue"/>
            <w:vAlign w:val="center"/>
          </w:tcPr>
          <w:p>
            <w:pPr>
              <w:widowControl/>
              <w:adjustRightInd w:val="0"/>
              <w:snapToGrid w:val="0"/>
              <w:spacing w:line="300" w:lineRule="exact"/>
              <w:ind w:firstLine="0" w:firstLineChars="0"/>
              <w:jc w:val="center"/>
              <w:rPr>
                <w:rFonts w:eastAsia="仿宋_GB2312" w:cs="Times New Roman"/>
                <w:sz w:val="24"/>
                <w:szCs w:val="24"/>
              </w:rPr>
            </w:pPr>
          </w:p>
        </w:tc>
        <w:tc>
          <w:tcPr>
            <w:tcW w:w="517"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34</w:t>
            </w:r>
          </w:p>
        </w:tc>
        <w:tc>
          <w:tcPr>
            <w:tcW w:w="2683" w:type="dxa"/>
            <w:vAlign w:val="center"/>
          </w:tcPr>
          <w:p>
            <w:pPr>
              <w:widowControl/>
              <w:adjustRightInd w:val="0"/>
              <w:snapToGrid w:val="0"/>
              <w:spacing w:line="300" w:lineRule="exact"/>
              <w:ind w:firstLine="0" w:firstLineChars="0"/>
              <w:jc w:val="left"/>
              <w:rPr>
                <w:rFonts w:eastAsia="仿宋_GB2312" w:cs="Times New Roman"/>
                <w:sz w:val="24"/>
                <w:szCs w:val="24"/>
              </w:rPr>
            </w:pPr>
            <w:r>
              <w:rPr>
                <w:rFonts w:eastAsia="仿宋_GB2312" w:cs="Times New Roman"/>
                <w:sz w:val="24"/>
                <w:szCs w:val="24"/>
              </w:rPr>
              <w:t>公众对生态文明建设的参与度</w:t>
            </w:r>
          </w:p>
        </w:tc>
        <w:tc>
          <w:tcPr>
            <w:tcW w:w="988"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参考性</w:t>
            </w:r>
          </w:p>
        </w:tc>
        <w:tc>
          <w:tcPr>
            <w:tcW w:w="117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≥80%</w:t>
            </w:r>
          </w:p>
        </w:tc>
        <w:tc>
          <w:tcPr>
            <w:tcW w:w="138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未统计</w:t>
            </w:r>
          </w:p>
        </w:tc>
        <w:tc>
          <w:tcPr>
            <w:tcW w:w="823"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否</w:t>
            </w:r>
          </w:p>
        </w:tc>
        <w:tc>
          <w:tcPr>
            <w:tcW w:w="1482"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≥80%</w:t>
            </w:r>
          </w:p>
        </w:tc>
        <w:tc>
          <w:tcPr>
            <w:tcW w:w="1429"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≥80%</w:t>
            </w:r>
          </w:p>
        </w:tc>
        <w:tc>
          <w:tcPr>
            <w:tcW w:w="1186"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国家统计局柳州调查队</w:t>
            </w:r>
          </w:p>
        </w:tc>
        <w:tc>
          <w:tcPr>
            <w:tcW w:w="1620" w:type="dxa"/>
            <w:vAlign w:val="center"/>
          </w:tcPr>
          <w:p>
            <w:pPr>
              <w:widowControl/>
              <w:adjustRightInd w:val="0"/>
              <w:snapToGrid w:val="0"/>
              <w:spacing w:line="300" w:lineRule="exact"/>
              <w:ind w:firstLine="0" w:firstLineChars="0"/>
              <w:jc w:val="center"/>
              <w:rPr>
                <w:rFonts w:eastAsia="仿宋_GB2312" w:cs="Times New Roman"/>
                <w:sz w:val="24"/>
                <w:szCs w:val="24"/>
              </w:rPr>
            </w:pPr>
            <w:r>
              <w:rPr>
                <w:rFonts w:eastAsia="仿宋_GB2312" w:cs="Times New Roman"/>
                <w:sz w:val="24"/>
                <w:szCs w:val="24"/>
              </w:rPr>
              <w:t>市生态环境局</w:t>
            </w:r>
          </w:p>
        </w:tc>
      </w:tr>
    </w:tbl>
    <w:p>
      <w:pPr>
        <w:spacing w:line="560" w:lineRule="exact"/>
        <w:ind w:firstLine="480"/>
        <w:jc w:val="left"/>
        <w:rPr>
          <w:rFonts w:eastAsia="仿宋_GB2312" w:cs="Times New Roman"/>
          <w:sz w:val="24"/>
          <w:szCs w:val="24"/>
        </w:rPr>
      </w:pPr>
      <w:r>
        <w:rPr>
          <w:rFonts w:eastAsia="仿宋_GB2312" w:cs="Times New Roman"/>
          <w:sz w:val="24"/>
          <w:szCs w:val="24"/>
        </w:rPr>
        <w:t>注：表中现状值有★为2017年数据。</w:t>
      </w:r>
    </w:p>
    <w:p>
      <w:pPr>
        <w:pStyle w:val="24"/>
        <w:spacing w:line="560" w:lineRule="exact"/>
        <w:rPr>
          <w:rFonts w:eastAsia="仿宋_GB2312" w:cs="Times New Roman"/>
          <w:kern w:val="2"/>
        </w:rPr>
      </w:pPr>
      <w:r>
        <w:rPr>
          <w:rFonts w:eastAsia="仿宋_GB2312" w:cs="Times New Roman"/>
          <w:kern w:val="2"/>
        </w:rPr>
        <w:t>　　表中指标值有▲为2018年下达的目标值。</w:t>
      </w:r>
    </w:p>
    <w:p>
      <w:pPr>
        <w:pStyle w:val="24"/>
        <w:spacing w:line="560" w:lineRule="exact"/>
        <w:rPr>
          <w:rFonts w:eastAsia="仿宋_GB2312" w:cs="Times New Roman"/>
          <w:kern w:val="2"/>
        </w:rPr>
      </w:pPr>
      <w:r>
        <w:rPr>
          <w:rFonts w:eastAsia="仿宋_GB2312" w:cs="Times New Roman"/>
          <w:kern w:val="2"/>
        </w:rPr>
        <w:t>　　表中指标值有◆柳州市自然保护地为柳州市相关部门提供的包括自然保护区以及森林公园、地质公园、水产种质资源保护区及地质遗迹、风景名胜区等各类自然公园的面积统计数据。</w:t>
      </w:r>
    </w:p>
    <w:p>
      <w:pPr>
        <w:spacing w:line="240" w:lineRule="auto"/>
        <w:ind w:firstLine="560"/>
        <w:rPr>
          <w:rFonts w:eastAsia="宋体" w:cs="Times New Roman"/>
          <w:sz w:val="28"/>
        </w:rPr>
      </w:pPr>
    </w:p>
    <w:p>
      <w:pPr>
        <w:spacing w:line="240" w:lineRule="auto"/>
        <w:ind w:firstLine="560"/>
        <w:rPr>
          <w:rFonts w:eastAsia="宋体" w:cs="Times New Roman"/>
          <w:sz w:val="28"/>
        </w:rPr>
        <w:sectPr>
          <w:pgSz w:w="16783" w:h="11850" w:orient="landscape"/>
          <w:pgMar w:top="1418" w:right="1134" w:bottom="1418" w:left="1134" w:header="851" w:footer="992" w:gutter="0"/>
          <w:cols w:space="720" w:num="1"/>
          <w:docGrid w:type="lines" w:linePitch="435" w:charSpace="0"/>
        </w:sectPr>
      </w:pPr>
    </w:p>
    <w:p>
      <w:pPr>
        <w:pStyle w:val="3"/>
        <w:spacing w:line="560" w:lineRule="exact"/>
        <w:ind w:firstLine="880"/>
        <w:jc w:val="center"/>
        <w:rPr>
          <w:b w:val="0"/>
          <w:bCs w:val="0"/>
        </w:rPr>
      </w:pPr>
      <w:bookmarkStart w:id="115" w:name="_Toc15148"/>
      <w:bookmarkStart w:id="116" w:name="_Toc4928"/>
      <w:bookmarkStart w:id="117" w:name="_Toc19588"/>
      <w:bookmarkStart w:id="118" w:name="_Toc17614"/>
      <w:bookmarkStart w:id="119" w:name="_Toc20833"/>
      <w:bookmarkStart w:id="120" w:name="_Toc3074"/>
      <w:bookmarkStart w:id="121" w:name="_Toc16592"/>
      <w:bookmarkStart w:id="122" w:name="_Toc24139"/>
      <w:r>
        <w:rPr>
          <w:rFonts w:hint="eastAsia"/>
          <w:b w:val="0"/>
          <w:bCs w:val="0"/>
        </w:rPr>
        <w:t>第四章  规划重点任务</w:t>
      </w:r>
      <w:bookmarkEnd w:id="115"/>
      <w:bookmarkEnd w:id="116"/>
      <w:bookmarkEnd w:id="117"/>
      <w:bookmarkEnd w:id="118"/>
      <w:bookmarkEnd w:id="119"/>
      <w:bookmarkEnd w:id="120"/>
      <w:bookmarkEnd w:id="121"/>
      <w:bookmarkEnd w:id="122"/>
    </w:p>
    <w:p>
      <w:pPr>
        <w:pStyle w:val="4"/>
        <w:spacing w:line="560" w:lineRule="exact"/>
        <w:ind w:firstLine="640"/>
        <w:rPr>
          <w:b w:val="0"/>
          <w:bCs w:val="0"/>
        </w:rPr>
      </w:pPr>
      <w:bookmarkStart w:id="123" w:name="_Toc8646"/>
      <w:bookmarkStart w:id="124" w:name="_Toc4789"/>
      <w:bookmarkStart w:id="125" w:name="_Toc21658"/>
      <w:bookmarkStart w:id="126" w:name="_Toc6716"/>
      <w:bookmarkStart w:id="127" w:name="_Toc204"/>
      <w:bookmarkStart w:id="128" w:name="_Toc289"/>
      <w:bookmarkStart w:id="129" w:name="_Toc24961"/>
      <w:bookmarkStart w:id="130" w:name="_Toc491434894"/>
      <w:bookmarkStart w:id="131" w:name="_Toc16595"/>
      <w:bookmarkStart w:id="132" w:name="_Toc491434549"/>
      <w:bookmarkStart w:id="133" w:name="_Toc491434491"/>
      <w:r>
        <w:rPr>
          <w:rFonts w:hint="eastAsia"/>
          <w:b w:val="0"/>
          <w:bCs w:val="0"/>
        </w:rPr>
        <w:t>一、构建优化的生态空间</w:t>
      </w:r>
      <w:bookmarkEnd w:id="123"/>
      <w:bookmarkEnd w:id="124"/>
      <w:bookmarkEnd w:id="125"/>
      <w:bookmarkEnd w:id="126"/>
      <w:bookmarkEnd w:id="127"/>
      <w:bookmarkEnd w:id="128"/>
      <w:bookmarkEnd w:id="129"/>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（一）严格落实主体功能区划</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根据《广西壮族自治区主体功能区规划》，柳州市城中区、鱼峰区、柳南区、柳北区、柳江区、鹿寨县为重点开发区域，三江县、融水县为限制开发区域（国家层面重点生态功能区），柳城县、融安县为限制开发区域（农产品主产区），分布于各县（区）的县级以上的自然保护区、风景名胜区、森林公园、地质公园、世界文化遗产、重要水源地等为禁止开发区域。按照三类空间布局要求，明确功能定位和发展方向，禁止从事不符合生态功能定位的开发与建设活动，强化发展规划与城市总体规划、土地利用规划、生态环境保护规划的衔接。加快推进柳州市国土空间总体规划编制工作，搭建国土空间规划“一张图”实施监督信息平台，实现覆盖国土空间规划编制、审批、实施、监测、评估、预警以及公众服务等全过程的信息化应用。以实现“多规合一”，做到市县一本规划、一张蓝图。</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（二）优化空间格局</w:t>
      </w:r>
    </w:p>
    <w:p>
      <w:pPr>
        <w:spacing w:line="560" w:lineRule="exact"/>
        <w:ind w:firstLine="640"/>
        <w:rPr>
          <w:rFonts w:eastAsia="仿宋_GB2312" w:cs="Times New Roman"/>
        </w:rPr>
      </w:pPr>
      <w:r>
        <w:rPr>
          <w:rFonts w:eastAsia="仿宋_GB2312" w:cs="Times New Roman"/>
        </w:rPr>
        <w:t>1.严守生态保护红线</w:t>
      </w:r>
    </w:p>
    <w:p>
      <w:pPr>
        <w:spacing w:line="560" w:lineRule="exact"/>
        <w:ind w:firstLine="640"/>
        <w:rPr>
          <w:rFonts w:eastAsia="仿宋_GB2312" w:cs="Times New Roman"/>
        </w:rPr>
      </w:pPr>
      <w:r>
        <w:rPr>
          <w:rFonts w:eastAsia="仿宋_GB2312" w:cs="Times New Roman"/>
        </w:rPr>
        <w:t>（1）严格执行生态保护制度</w:t>
      </w:r>
    </w:p>
    <w:p>
      <w:pPr>
        <w:pStyle w:val="24"/>
        <w:adjustRightInd w:val="0"/>
        <w:snapToGrid w:val="0"/>
        <w:spacing w:line="560" w:lineRule="exact"/>
        <w:ind w:firstLine="640"/>
        <w:rPr>
          <w:rFonts w:eastAsia="仿宋_GB2312" w:cs="Times New Roman"/>
        </w:rPr>
      </w:pPr>
      <w:r>
        <w:rPr>
          <w:rFonts w:eastAsia="仿宋_GB2312" w:cs="Times New Roman"/>
          <w:kern w:val="2"/>
          <w:sz w:val="32"/>
          <w:szCs w:val="22"/>
        </w:rPr>
        <w:t>按照《广西壮族自治区生态保护红线划定方案》，加快推进</w:t>
      </w:r>
      <w:r>
        <w:rPr>
          <w:rFonts w:hint="eastAsia" w:eastAsia="仿宋_GB2312" w:cs="Times New Roman"/>
          <w:kern w:val="2"/>
          <w:sz w:val="32"/>
          <w:szCs w:val="22"/>
        </w:rPr>
        <w:t>柳州市</w:t>
      </w:r>
      <w:r>
        <w:rPr>
          <w:rFonts w:eastAsia="仿宋_GB2312" w:cs="Times New Roman"/>
          <w:kern w:val="2"/>
          <w:sz w:val="32"/>
          <w:szCs w:val="22"/>
        </w:rPr>
        <w:t>生态保护红线评估调整工作，并按调整后的生态保护红线评估调整方案进行严格管控。生态保护红线内，自然保护地核心保护区原则上禁止人为活动，其他区域严格禁止开发性、生产性建设活动，在符合现行法律法规前提下，除国家重大战略项目外，仅允许对生态功能不造成破坏的有限人为活动。</w:t>
      </w:r>
    </w:p>
    <w:p>
      <w:pPr>
        <w:spacing w:line="560" w:lineRule="exact"/>
        <w:ind w:firstLine="640"/>
        <w:rPr>
          <w:rFonts w:eastAsia="仿宋_GB2312" w:cs="Times New Roman"/>
        </w:rPr>
      </w:pPr>
      <w:r>
        <w:rPr>
          <w:rFonts w:eastAsia="仿宋_GB2312" w:cs="Times New Roman"/>
        </w:rPr>
        <w:t>（2）切实落实耕地保护制度</w:t>
      </w:r>
    </w:p>
    <w:p>
      <w:pPr>
        <w:spacing w:line="560" w:lineRule="exact"/>
        <w:ind w:firstLine="640"/>
        <w:rPr>
          <w:rFonts w:eastAsia="仿宋_GB2312" w:cs="Times New Roman"/>
        </w:rPr>
      </w:pPr>
      <w:r>
        <w:rPr>
          <w:rFonts w:eastAsia="仿宋_GB2312" w:cs="Times New Roman"/>
        </w:rPr>
        <w:t>遵循严格保护耕地，节约集约用地的原则，持续加大耕地保护力度，严格控制非农建设占用耕地。履行法定占补平衡义务，严格落实“耕地占优补优、占水田补水田”的要求，保证补充耕地数量质量与被占用的耕地数量质量相当。强化耕地保护主体责任，严格落实占补平衡，严守耕地红线，对永久基本农田实行严格特殊的保护制度，凡是违法占用永久基本农田的，一经查处，必须复耕。</w:t>
      </w:r>
    </w:p>
    <w:p>
      <w:pPr>
        <w:spacing w:line="560" w:lineRule="exact"/>
        <w:ind w:firstLine="640"/>
        <w:rPr>
          <w:rFonts w:eastAsia="仿宋_GB2312" w:cs="Times New Roman"/>
        </w:rPr>
      </w:pPr>
      <w:r>
        <w:rPr>
          <w:rFonts w:eastAsia="仿宋_GB2312" w:cs="Times New Roman"/>
        </w:rPr>
        <w:t>2.构建生态安全格局</w:t>
      </w:r>
    </w:p>
    <w:p>
      <w:pPr>
        <w:spacing w:line="560" w:lineRule="exact"/>
        <w:ind w:firstLine="640"/>
        <w:rPr>
          <w:rFonts w:eastAsia="仿宋_GB2312" w:cs="Times New Roman"/>
        </w:rPr>
      </w:pPr>
      <w:r>
        <w:rPr>
          <w:rFonts w:eastAsia="仿宋_GB2312" w:cs="Times New Roman"/>
        </w:rPr>
        <w:t>以柳州市北部三县山区生态林为主体、柳江流域防护林为屏障、自然保护区为支撑</w:t>
      </w:r>
      <w:r>
        <w:rPr>
          <w:rFonts w:hint="eastAsia" w:eastAsia="仿宋_GB2312" w:cs="Times New Roman"/>
        </w:rPr>
        <w:t>，</w:t>
      </w:r>
      <w:r>
        <w:rPr>
          <w:rFonts w:eastAsia="仿宋_GB2312" w:cs="Times New Roman"/>
        </w:rPr>
        <w:t>加快形成柳州生态安全格局。实施北部三县</w:t>
      </w:r>
      <w:r>
        <w:rPr>
          <w:rFonts w:hint="eastAsia" w:eastAsia="仿宋_GB2312" w:cs="Times New Roman"/>
        </w:rPr>
        <w:t>-</w:t>
      </w:r>
      <w:r>
        <w:rPr>
          <w:rFonts w:eastAsia="仿宋_GB2312" w:cs="Times New Roman"/>
        </w:rPr>
        <w:t>柳州生态廊道建设工程，构建生态廊道；实施北部三县水源林增殖涵养工程，构建水资源和生态湿地保护生态屏障；实施城市周边小流域综合治理工程，重点推进竹鹅溪、都乐河、九曲河等大型小流域综合治理项目；城市组团之间、城市周围划定城市绿带，实施城市绿带试点示范项目，因地制宜选用公园绿地、风景绿地、防护林带、道路绿廊、城市田园等模式建设城市绿带。实行水域岸线分区管理和用途管制，加强河湖岸线保护，确保河湖岸线保护率达到上级管制目标。</w:t>
      </w:r>
    </w:p>
    <w:p>
      <w:pPr>
        <w:spacing w:line="560" w:lineRule="exact"/>
        <w:ind w:firstLine="640"/>
        <w:rPr>
          <w:rFonts w:eastAsia="仿宋_GB2312" w:cs="Times New Roman"/>
        </w:rPr>
      </w:pPr>
      <w:r>
        <w:rPr>
          <w:rFonts w:eastAsia="仿宋_GB2312" w:cs="Times New Roman"/>
        </w:rPr>
        <w:t>3.优化产业生产空间</w:t>
      </w:r>
    </w:p>
    <w:p>
      <w:pPr>
        <w:spacing w:line="560" w:lineRule="exact"/>
        <w:ind w:firstLine="640"/>
      </w:pPr>
      <w:r>
        <w:rPr>
          <w:rFonts w:hint="eastAsia" w:ascii="仿宋_GB2312" w:hAnsi="仿宋_GB2312" w:eastAsia="仿宋_GB2312" w:cs="仿宋_GB2312"/>
        </w:rPr>
        <w:t>加快发展绿色经济，构建科技含量高、资源消耗低、环境污染少的产业结构和生产方式，提升工业领域重点行业能效，改造提升传统工业优势产业，加快推进农业现代化，发展战略性新兴产业和现代服务业，构建以绿色工业、绿色农业、绿色服务业、绿色能源为主要内容的绿色产业发展格局。加快工业布局优化调整，提升产业集约发展水平。着力推进先进制造业核心产业区建设，积极发展城市快环经济圈，加快战略性新兴产业示范基地建设，壮大县域工业园区，努力形成布局合理、特色鲜明、优势互补的“双核一圈一带”工业发展新格局。</w:t>
      </w:r>
    </w:p>
    <w:p>
      <w:pPr>
        <w:spacing w:line="560" w:lineRule="exact"/>
        <w:ind w:firstLine="640"/>
        <w:rPr>
          <w:rFonts w:eastAsia="仿宋" w:cs="Times New Roman"/>
          <w:b/>
          <w:bCs/>
        </w:rPr>
      </w:pPr>
      <w:r>
        <w:rPr>
          <w:rFonts w:eastAsia="仿宋_GB2312" w:cs="Times New Roman"/>
        </w:rPr>
        <w:t>4.构建新型城镇空间发展格局</w:t>
      </w:r>
    </w:p>
    <w:p>
      <w:pPr>
        <w:spacing w:line="560" w:lineRule="exact"/>
        <w:ind w:firstLine="640"/>
        <w:rPr>
          <w:rFonts w:cs="Times New Roman"/>
        </w:rPr>
      </w:pPr>
      <w:r>
        <w:rPr>
          <w:rFonts w:eastAsia="仿宋_GB2312" w:cs="Times New Roman"/>
        </w:rPr>
        <w:t>构建</w:t>
      </w:r>
      <w:r>
        <w:rPr>
          <w:rFonts w:hint="eastAsia" w:eastAsia="仿宋_GB2312" w:cs="Times New Roman"/>
        </w:rPr>
        <w:t>“</w:t>
      </w:r>
      <w:r>
        <w:rPr>
          <w:rFonts w:eastAsia="仿宋_GB2312" w:cs="Times New Roman"/>
        </w:rPr>
        <w:t>市域中心城市</w:t>
      </w:r>
      <w:r>
        <w:rPr>
          <w:rFonts w:hint="eastAsia" w:eastAsia="仿宋_GB2312" w:cs="Times New Roman"/>
        </w:rPr>
        <w:t>-</w:t>
      </w:r>
      <w:r>
        <w:rPr>
          <w:rFonts w:eastAsia="仿宋_GB2312" w:cs="Times New Roman"/>
        </w:rPr>
        <w:t>市域次中心城市</w:t>
      </w:r>
      <w:r>
        <w:rPr>
          <w:rFonts w:hint="eastAsia" w:eastAsia="仿宋_GB2312" w:cs="Times New Roman"/>
        </w:rPr>
        <w:t>-</w:t>
      </w:r>
      <w:r>
        <w:rPr>
          <w:rFonts w:eastAsia="仿宋_GB2312" w:cs="Times New Roman"/>
        </w:rPr>
        <w:t>县城</w:t>
      </w:r>
      <w:r>
        <w:rPr>
          <w:rFonts w:hint="eastAsia" w:eastAsia="仿宋_GB2312" w:cs="Times New Roman"/>
        </w:rPr>
        <w:t>-</w:t>
      </w:r>
      <w:r>
        <w:rPr>
          <w:rFonts w:eastAsia="仿宋_GB2312" w:cs="Times New Roman"/>
        </w:rPr>
        <w:t>重点镇</w:t>
      </w:r>
      <w:r>
        <w:rPr>
          <w:rFonts w:hint="eastAsia" w:eastAsia="仿宋_GB2312" w:cs="Times New Roman"/>
        </w:rPr>
        <w:t>-</w:t>
      </w:r>
      <w:r>
        <w:rPr>
          <w:rFonts w:eastAsia="仿宋_GB2312" w:cs="Times New Roman"/>
        </w:rPr>
        <w:t>小城镇</w:t>
      </w:r>
      <w:r>
        <w:rPr>
          <w:rFonts w:hint="eastAsia" w:eastAsia="仿宋_GB2312" w:cs="Times New Roman"/>
        </w:rPr>
        <w:t>”</w:t>
      </w:r>
      <w:r>
        <w:rPr>
          <w:rFonts w:eastAsia="仿宋_GB2312" w:cs="Times New Roman"/>
        </w:rPr>
        <w:t>五级新型城镇体系，打造</w:t>
      </w:r>
      <w:r>
        <w:rPr>
          <w:rFonts w:hint="eastAsia" w:eastAsia="仿宋_GB2312" w:cs="Times New Roman"/>
        </w:rPr>
        <w:t>“</w:t>
      </w:r>
      <w:r>
        <w:rPr>
          <w:rFonts w:eastAsia="仿宋_GB2312" w:cs="Times New Roman"/>
        </w:rPr>
        <w:t>一圈一带四轴</w:t>
      </w:r>
      <w:r>
        <w:rPr>
          <w:rFonts w:hint="eastAsia" w:eastAsia="仿宋_GB2312" w:cs="Times New Roman"/>
        </w:rPr>
        <w:t>”</w:t>
      </w:r>
      <w:r>
        <w:rPr>
          <w:rFonts w:eastAsia="仿宋_GB2312" w:cs="Times New Roman"/>
        </w:rPr>
        <w:t>城镇空间组织结构和柳来城镇群发展经济带、柳桂旅游发展带城镇群，形成一批规划合理、经济繁荣、生态优良、分工协调的小城镇群，推动中心城市向生产空间集约高效、生活空间宜居适度、生态空间山清水秀发展。将绿色、人文、宜居等理念全面融入城镇建设，合理布局城镇绿地生态空间，严格保护城市规划区范围内的自然保护区、风景名胜区、森林公园、湿地、水源地等重要生态功能区，推动城镇绿化美化，建设生态园林城镇。打造集自然山水、历史文化、现代化建设于一体的综合城市及绿色城镇、人文城镇和特色城镇。</w:t>
      </w:r>
    </w:p>
    <w:p>
      <w:pPr>
        <w:pStyle w:val="4"/>
        <w:spacing w:line="560" w:lineRule="exact"/>
        <w:ind w:firstLine="640"/>
        <w:rPr>
          <w:b w:val="0"/>
          <w:bCs w:val="0"/>
        </w:rPr>
      </w:pPr>
      <w:bookmarkStart w:id="134" w:name="_Toc11061"/>
      <w:bookmarkStart w:id="135" w:name="_Toc16809"/>
      <w:bookmarkStart w:id="136" w:name="_Toc429"/>
      <w:bookmarkStart w:id="137" w:name="_Toc25140"/>
      <w:bookmarkStart w:id="138" w:name="_Toc32479"/>
      <w:bookmarkStart w:id="139" w:name="_Toc564"/>
      <w:bookmarkStart w:id="140" w:name="_Toc5288"/>
      <w:r>
        <w:rPr>
          <w:rFonts w:hint="eastAsia"/>
          <w:b w:val="0"/>
          <w:bCs w:val="0"/>
        </w:rPr>
        <w:t>二、发展绿色的生态经济</w:t>
      </w:r>
      <w:bookmarkEnd w:id="134"/>
      <w:bookmarkEnd w:id="135"/>
      <w:bookmarkEnd w:id="136"/>
      <w:bookmarkEnd w:id="137"/>
      <w:bookmarkEnd w:id="138"/>
      <w:bookmarkEnd w:id="139"/>
      <w:bookmarkEnd w:id="140"/>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（一）调整产业结构</w:t>
      </w:r>
    </w:p>
    <w:p>
      <w:pPr>
        <w:spacing w:line="560" w:lineRule="exact"/>
        <w:ind w:firstLine="640"/>
        <w:rPr>
          <w:rFonts w:eastAsia="仿宋_GB2312" w:cs="Times New Roman"/>
        </w:rPr>
      </w:pPr>
      <w:r>
        <w:rPr>
          <w:rFonts w:eastAsia="仿宋_GB2312" w:cs="Times New Roman"/>
        </w:rPr>
        <w:t>1.优化提升现有优势产业</w:t>
      </w:r>
    </w:p>
    <w:p>
      <w:pPr>
        <w:spacing w:line="560" w:lineRule="exact"/>
        <w:ind w:firstLine="640"/>
        <w:rPr>
          <w:rFonts w:cs="Times New Roman"/>
        </w:rPr>
      </w:pPr>
      <w:r>
        <w:rPr>
          <w:rFonts w:eastAsia="仿宋_GB2312" w:cs="Times New Roman"/>
        </w:rPr>
        <w:t>立足柳州现有产业基础和优势，加快产业高端化进程。紧密对接</w:t>
      </w:r>
      <w:r>
        <w:rPr>
          <w:rFonts w:hint="eastAsia" w:eastAsia="仿宋_GB2312" w:cs="Times New Roman"/>
        </w:rPr>
        <w:t>《</w:t>
      </w:r>
      <w:r>
        <w:rPr>
          <w:rFonts w:eastAsia="仿宋_GB2312" w:cs="Times New Roman"/>
        </w:rPr>
        <w:t>中国制造2025</w:t>
      </w:r>
      <w:r>
        <w:rPr>
          <w:rFonts w:hint="eastAsia" w:eastAsia="仿宋_GB2312" w:cs="Times New Roman"/>
        </w:rPr>
        <w:t>》</w:t>
      </w:r>
      <w:r>
        <w:rPr>
          <w:rFonts w:eastAsia="仿宋_GB2312" w:cs="Times New Roman"/>
        </w:rPr>
        <w:t>，着力推进智能制造和互联网+，加快新一代信息技术与制造业深度融合，突出发展先进制造业，提档升级汽车、机械等支柱产业，提升发展食品、化工、纺织服装、建材四个传统优势产业，大力发展新能源汽车、高端装备制造、电子信息、新材料、节能环保、生物与制药六个战略性新兴产业。促进先进制造业与现代服务业融合发展，鼓励制造业企业向服务增值环节延伸价值链，推动制造业由生产型向生产服务型转变，形成制造业产业生态链。全力构建结构优化、技术先进、清洁安全现代工业体系。</w:t>
      </w:r>
    </w:p>
    <w:p>
      <w:pPr>
        <w:spacing w:line="560" w:lineRule="exact"/>
        <w:ind w:firstLine="640"/>
        <w:rPr>
          <w:rFonts w:ascii="仿宋_GB2312" w:hAnsi="仿宋_GB2312" w:eastAsia="仿宋_GB2312" w:cs="仿宋_GB2312"/>
        </w:rPr>
      </w:pPr>
      <w:r>
        <w:rPr>
          <w:rFonts w:eastAsia="仿宋_GB2312" w:cs="Times New Roman"/>
        </w:rPr>
        <w:t>2.大力发展循环经济</w:t>
      </w:r>
    </w:p>
    <w:p>
      <w:pPr>
        <w:spacing w:line="560" w:lineRule="exact"/>
        <w:ind w:firstLine="640"/>
      </w:pPr>
      <w:r>
        <w:rPr>
          <w:rFonts w:hint="eastAsia" w:ascii="仿宋_GB2312" w:hAnsi="仿宋_GB2312" w:eastAsia="仿宋_GB2312" w:cs="仿宋_GB2312"/>
        </w:rPr>
        <w:t>依托现有主导优势产业，以发展循环型工业为重点，加快构建循环型工业、农业、服务业体系；加快推进企业间、行业间、产业间的循环化改造，初步形成循环型生产方式，率先构建起覆盖全社会的资源循环利用体系。加快推进汽车、机械制造、化工、建材、制糖、林浆纸等行业循环经济发展，加快构建循环型工业体系；实施生态农业畜牧业循环提升工程，推进种植业、畜牧水产业、林业循环经济发展，打造种植养殖</w:t>
      </w:r>
      <w:r>
        <w:rPr>
          <w:rFonts w:hint="eastAsia" w:eastAsia="仿宋_GB2312" w:cs="Times New Roman"/>
        </w:rPr>
        <w:t>-</w:t>
      </w:r>
      <w:r>
        <w:rPr>
          <w:rFonts w:hint="eastAsia" w:ascii="仿宋_GB2312" w:hAnsi="仿宋_GB2312" w:eastAsia="仿宋_GB2312" w:cs="仿宋_GB2312"/>
        </w:rPr>
        <w:t>农林产品加工</w:t>
      </w:r>
      <w:r>
        <w:rPr>
          <w:rFonts w:hint="eastAsia" w:eastAsia="仿宋_GB2312" w:cs="Times New Roman"/>
        </w:rPr>
        <w:t>-</w:t>
      </w:r>
      <w:r>
        <w:rPr>
          <w:rFonts w:hint="eastAsia" w:ascii="仿宋_GB2312" w:hAnsi="仿宋_GB2312" w:eastAsia="仿宋_GB2312" w:cs="仿宋_GB2312"/>
        </w:rPr>
        <w:t>副产品综合利用</w:t>
      </w:r>
      <w:r>
        <w:rPr>
          <w:rFonts w:hint="eastAsia" w:eastAsia="仿宋_GB2312" w:cs="Times New Roman"/>
        </w:rPr>
        <w:t>-</w:t>
      </w:r>
      <w:r>
        <w:rPr>
          <w:rFonts w:hint="eastAsia" w:ascii="仿宋_GB2312" w:hAnsi="仿宋_GB2312" w:eastAsia="仿宋_GB2312" w:cs="仿宋_GB2312"/>
        </w:rPr>
        <w:t>农产品物流循环型产业链条，加快构建循环型农业体系；推进交通运输、商贸物流、旅游休闲、通信服务等领域循环经济发展，加快构建循环型服务业体系。</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（二）调整能源结构</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推进能源多元清洁发展，加快开发可再生能源，实现能源结构多元化，同时提高能源利用效率，降低碳排放强度。加快开发水电，着力推进三江洋溪水电站、融水落久水电站建设；加快发展风电、生物质能、太阳能等可再生能源，重点推进融安、融水、三江风电场建设、柳江生物质发电工程；建设畅通高效的天然气输送网络，构建以天然气为主气源的全市联网供气系统。调整工业用能结构，增加可再生能源比重，适当减少煤炭、石油的消费，持续深入推进节能技术改造，研发、推广先进的能源利用和节约技术，提高能效，减轻能源供给压力。提高电力资源优化配置能力，构建“智能、高效、可靠、绿色”电网，实施智能电网综合示范工程，推进传统电网向智能电网转变。</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（三）发展生态工业</w:t>
      </w:r>
    </w:p>
    <w:p>
      <w:pPr>
        <w:spacing w:line="560" w:lineRule="exact"/>
        <w:ind w:firstLine="640"/>
        <w:rPr>
          <w:rFonts w:eastAsia="仿宋_GB2312" w:cs="Times New Roman"/>
        </w:rPr>
      </w:pPr>
      <w:r>
        <w:rPr>
          <w:rFonts w:eastAsia="仿宋_GB2312" w:cs="Times New Roman"/>
        </w:rPr>
        <w:t>1.推进工业绿色改造升级</w:t>
      </w:r>
    </w:p>
    <w:p>
      <w:pPr>
        <w:spacing w:line="560" w:lineRule="exact"/>
        <w:ind w:firstLine="640"/>
        <w:rPr>
          <w:rFonts w:eastAsia="仿宋_GB2312" w:cs="Times New Roman"/>
        </w:rPr>
      </w:pPr>
      <w:r>
        <w:rPr>
          <w:rFonts w:eastAsia="仿宋_GB2312" w:cs="Times New Roman"/>
        </w:rPr>
        <w:t>采用现代生物技术、生态技术、节能技术、节水技术、再循环技术和信息化技术，重点实施汽车、钢铁、机械制造、化工、有色金属、制糖等行业的绿色改造，开展工业窑炉及电机节能改造、余热余压综合利用等节能降耗减排工程。加强工业节能动态监测，对年耗能5000吨标煤以上的重点用能企业实行目标管理，动态跟踪，定期分析，制定应对预案。加强固定资产投资项目的节能管理，积极实施固定资产投资项目节能评估与审查。</w:t>
      </w:r>
      <w:r>
        <w:rPr>
          <w:rFonts w:hint="eastAsia" w:eastAsia="仿宋_GB2312" w:cs="Times New Roman"/>
        </w:rPr>
        <w:t>促进</w:t>
      </w:r>
      <w:r>
        <w:rPr>
          <w:rFonts w:eastAsia="仿宋_GB2312" w:cs="Times New Roman"/>
        </w:rPr>
        <w:t>主要高耗能产品的单位能耗优于国家平均水平。</w:t>
      </w:r>
    </w:p>
    <w:p>
      <w:pPr>
        <w:spacing w:line="560" w:lineRule="exact"/>
        <w:ind w:firstLine="640"/>
        <w:rPr>
          <w:rFonts w:eastAsia="仿宋_GB2312" w:cs="Times New Roman"/>
        </w:rPr>
      </w:pPr>
      <w:r>
        <w:rPr>
          <w:rFonts w:eastAsia="仿宋_GB2312" w:cs="Times New Roman"/>
        </w:rPr>
        <w:t>2.加强生态园区建设</w:t>
      </w:r>
    </w:p>
    <w:p>
      <w:pPr>
        <w:spacing w:line="560" w:lineRule="exact"/>
        <w:ind w:firstLine="640"/>
        <w:rPr>
          <w:rFonts w:eastAsia="仿宋_GB2312" w:cs="Times New Roman"/>
        </w:rPr>
      </w:pPr>
      <w:r>
        <w:rPr>
          <w:rFonts w:eastAsia="仿宋_GB2312" w:cs="Times New Roman"/>
        </w:rPr>
        <w:t>着力推进现有产业园区进行生态化改造，发展主导产业链型生态产业园区，重点加强基础设施共享、废弃物循环利用，促进企业在资源和废物综合利用等领域的合作，形成一批资源节约型、清洁生产型、生态环保型的企业和工业园区。重点打造柳州汽车城、河西工业园绿色制造示范园区，建设太阳村绿色建材工业园和石碑坪环保装备产业园，推进鹿寨循环化示范园区改造，建设新型工业生态链网，打造柳北循环经济资源综合利用产业集群，实现企业、园区、产业间的资源能源循环链接和交换利用。到2020年，全部国家级园区和30%的自治区级园区完成生态化改造。</w:t>
      </w:r>
    </w:p>
    <w:p>
      <w:pPr>
        <w:spacing w:line="560" w:lineRule="exact"/>
        <w:ind w:firstLine="640"/>
        <w:rPr>
          <w:rFonts w:eastAsia="仿宋_GB2312" w:cs="Times New Roman"/>
        </w:rPr>
      </w:pPr>
      <w:r>
        <w:rPr>
          <w:rFonts w:eastAsia="仿宋_GB2312" w:cs="Times New Roman"/>
        </w:rPr>
        <w:t>3.全面推行清洁生产</w:t>
      </w:r>
    </w:p>
    <w:p>
      <w:pPr>
        <w:spacing w:line="560" w:lineRule="exact"/>
        <w:ind w:firstLine="640"/>
        <w:rPr>
          <w:rFonts w:eastAsia="仿宋_GB2312" w:cs="Times New Roman"/>
        </w:rPr>
      </w:pPr>
      <w:r>
        <w:rPr>
          <w:rFonts w:eastAsia="仿宋_GB2312" w:cs="Times New Roman"/>
        </w:rPr>
        <w:t>鼓励和支持企业开展清洁生产审核工作，以“节能、降耗、减污、增效”为目标，积极组织清洁生产方案的实施。重点在水泥、有色金属、化工、制糖等行业推行清洁生产。到2020年，重点行业企业生产工艺水平、单位产值能耗和物耗、单位工业增加值用水量和污水处理率、污染物和噪声排放、固体废物综合利用率指标达到国家和行业标准。全市重点行业重点企业开展清洁生产审核并实施清洁生产方案，达到国家公布的相关行业清洁生产标准。加强推进企业的清洁生产审核工作，应当实施强制性清洁生产企业通过审核的比例完成年度审核计划要求。</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4.坚决淘汰落后产能</w:t>
      </w:r>
    </w:p>
    <w:p>
      <w:pPr>
        <w:spacing w:line="560" w:lineRule="exact"/>
        <w:ind w:firstLine="640"/>
      </w:pPr>
      <w:r>
        <w:rPr>
          <w:rFonts w:hint="eastAsia" w:ascii="仿宋_GB2312" w:hAnsi="仿宋_GB2312" w:eastAsia="仿宋_GB2312" w:cs="仿宋_GB2312"/>
        </w:rPr>
        <w:t>严格按照国家和广西的政策要求，完善落后产能淘汰机制，促进落后产能加快退出市场。每年与各县（区）签订淘汰落后产能责任书，落实淘汰落后产能的目标和任务；从能源、水、电、融资等方面采取相应措施坚决淘汰污染重、能耗高的落后生产能力；采取差别电价、水价等经济手段，促进相对高耗能、高污染企业或工序尽快淘汰。</w:t>
      </w:r>
    </w:p>
    <w:p>
      <w:pPr>
        <w:spacing w:line="560" w:lineRule="exact"/>
        <w:ind w:firstLine="640"/>
        <w:rPr>
          <w:rFonts w:eastAsia="仿宋_GB2312" w:cs="Times New Roman"/>
        </w:rPr>
      </w:pPr>
      <w:r>
        <w:rPr>
          <w:rFonts w:eastAsia="仿宋_GB2312" w:cs="Times New Roman"/>
        </w:rPr>
        <w:t>5.开展绿色矿山建设</w:t>
      </w:r>
    </w:p>
    <w:p>
      <w:pPr>
        <w:spacing w:line="560" w:lineRule="exact"/>
        <w:ind w:firstLine="640"/>
        <w:rPr>
          <w:rFonts w:cs="Times New Roman"/>
        </w:rPr>
      </w:pPr>
      <w:r>
        <w:rPr>
          <w:rFonts w:eastAsia="仿宋_GB2312" w:cs="Times New Roman"/>
        </w:rPr>
        <w:t>全面推进绿色矿山建设，加快矿业领域生态文明建设，加快矿业转型与绿色发展。到2020年，全市绿色矿山格局基本形成，大中型矿山全部达到自治区级绿色矿山标准并基本达到国家级绿色矿山建设的要求，小型矿山企业按照绿色和谐矿山条件严格规范管理。依据自治区级绿色和谐矿山基本条件，选广西鱼峰集团水泥有限公司柳州市太阳村镇水牯山矿区水泥用石灰岩矿、广西鱼峰集团水泥有限公司柳州市东岸岭矿区水泥配料用砂页岩矿、柳州融锌矿业有限责任公司泗顶铅锌矿、广西柳州钢铁（集团）公司屯秋铁矿、广西壮族自治区矿业建设公司九谋锡矿等5座建设成自治区级绿色和谐矿山，编制绿色和谐矿山建设实施方案并开展建设活动。研究探索有地方特色的绿色和谐矿山创建模式，总结推广不同类型绿色和谐矿山建设的成功经验，带动后期矿山企业开展绿色和谐矿山建设活动。</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（四）发展生态农业</w:t>
      </w:r>
    </w:p>
    <w:p>
      <w:pPr>
        <w:spacing w:line="560" w:lineRule="exact"/>
        <w:ind w:firstLine="640"/>
        <w:rPr>
          <w:rFonts w:eastAsia="仿宋_GB2312" w:cs="Times New Roman"/>
        </w:rPr>
      </w:pPr>
      <w:r>
        <w:rPr>
          <w:rFonts w:eastAsia="仿宋_GB2312" w:cs="Times New Roman"/>
        </w:rPr>
        <w:t>1.建设有机绿色特色农产品基地</w:t>
      </w:r>
    </w:p>
    <w:p>
      <w:pPr>
        <w:pStyle w:val="23"/>
        <w:spacing w:after="0" w:line="560" w:lineRule="exact"/>
        <w:ind w:left="0" w:leftChars="0" w:firstLine="642" w:firstLineChars="0"/>
        <w:rPr>
          <w:b/>
          <w:bCs/>
        </w:rPr>
      </w:pPr>
      <w:r>
        <w:rPr>
          <w:rFonts w:eastAsia="仿宋_GB2312"/>
          <w:sz w:val="32"/>
        </w:rPr>
        <w:t>大力发展无公害农产品、绿色食品、有机食品，着力扶持发展国家地理标志产品为主的特色水果、名优茶叶、高山生态农业及林下种养等优势特色产业，扩大绿色有机农产品生产基地规模，提供优质安全农产品。利用当地气候条件，因地制宜发展秋冬季农业和休闲特色农业，推动生态循环农业发展。北部融安、融水、三江县山区发展局域特色农业，开展反季节蔬菜、土特产和中药材生产；南部地区柳城、鹿寨县和五城区适宜甘蔗、水果的种植。</w:t>
      </w:r>
    </w:p>
    <w:p>
      <w:pPr>
        <w:spacing w:line="560" w:lineRule="exact"/>
        <w:ind w:firstLine="640"/>
        <w:rPr>
          <w:rFonts w:eastAsia="仿宋_GB2312" w:cs="Times New Roman"/>
        </w:rPr>
      </w:pPr>
      <w:r>
        <w:rPr>
          <w:rFonts w:eastAsia="仿宋_GB2312" w:cs="Times New Roman"/>
        </w:rPr>
        <w:t>2.建设农业科技产业园区</w:t>
      </w:r>
    </w:p>
    <w:p>
      <w:pPr>
        <w:pStyle w:val="23"/>
        <w:spacing w:after="0" w:line="560" w:lineRule="exact"/>
        <w:ind w:left="0" w:leftChars="0" w:firstLine="642" w:firstLineChars="0"/>
        <w:rPr>
          <w:rFonts w:eastAsia="方正仿宋_GBK"/>
          <w:sz w:val="32"/>
        </w:rPr>
      </w:pPr>
      <w:r>
        <w:rPr>
          <w:rFonts w:eastAsia="仿宋_GB2312"/>
          <w:sz w:val="32"/>
        </w:rPr>
        <w:t>加快转变农业发展方式，调整优化农业产业结构，推进农业标准化生产、规模化经营，促进农业向服务功能拓展。大力发展现代特色农业，积极推广高效生态农业种养模式，全面提升农业质量效益。加大规模化特色种养业的扶持力度，巩固发展优质稻、桑蚕、蔬菜、茶叶等优势特色农业，发展培育中药材、优质水果、林下经济、水产养殖等高产高效特色种养产业基地。充分发挥现代特色农业（核心）示范区引领作用，建设柳江荷塘月色、鹿寨呦呦鹿鸣、三江茶产业现代特色农业（核心）示范区成为广西示范区。</w:t>
      </w:r>
    </w:p>
    <w:p>
      <w:pPr>
        <w:spacing w:line="560" w:lineRule="exact"/>
        <w:ind w:firstLine="640"/>
        <w:rPr>
          <w:rFonts w:eastAsia="仿宋_GB2312" w:cs="Times New Roman"/>
        </w:rPr>
      </w:pPr>
      <w:r>
        <w:rPr>
          <w:rFonts w:eastAsia="仿宋_GB2312" w:cs="Times New Roman"/>
        </w:rPr>
        <w:t>3.发展休闲农业示范区</w:t>
      </w:r>
    </w:p>
    <w:p>
      <w:pPr>
        <w:pStyle w:val="23"/>
        <w:spacing w:after="0" w:line="560" w:lineRule="exact"/>
        <w:ind w:left="0" w:leftChars="0" w:firstLine="642" w:firstLineChars="0"/>
        <w:rPr>
          <w:rFonts w:eastAsia="方正仿宋_GBK" w:cstheme="minorBidi"/>
          <w:sz w:val="32"/>
        </w:rPr>
      </w:pPr>
      <w:r>
        <w:rPr>
          <w:rFonts w:hint="eastAsia" w:ascii="仿宋_GB2312" w:hAnsi="仿宋_GB2312" w:eastAsia="仿宋_GB2312" w:cs="仿宋_GB2312"/>
          <w:sz w:val="32"/>
        </w:rPr>
        <w:t>结合现代农业核心示范区创建工作，发展休闲农业与乡村旅游综合体，打造成农业创新基地、农业科普基地、休闲观光基地、对外合作基地。深入探索“以农促游，以游辅农”发展方式，发展现代农业观光产业、农耕文化园等项目，重点在公路沿线、景区景点连片种植兼具观赏性与经济价值的花卉植物，努力实现农业和旅游业双赢发展，多渠道促进农业增产、农民增收。</w:t>
      </w:r>
    </w:p>
    <w:p>
      <w:pPr>
        <w:spacing w:line="560" w:lineRule="exact"/>
        <w:ind w:firstLine="640"/>
        <w:rPr>
          <w:rFonts w:eastAsia="仿宋_GB2312" w:cs="Times New Roman"/>
        </w:rPr>
      </w:pPr>
      <w:r>
        <w:rPr>
          <w:rFonts w:eastAsia="仿宋_GB2312" w:cs="Times New Roman"/>
        </w:rPr>
        <w:t>4.开展高效节水灌溉示范建设</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开展高效节水灌溉示范建设工程，通过土地整合、管道铺设、泵站建设，采用喷灌、滴灌、管灌等工程措施，优化配置水资源开发利用，有效提高水源利用效率，解决未来农业供水设施落后造成的缺水局面，有效改善粮食生产不能稳产高产的问题。</w:t>
      </w:r>
    </w:p>
    <w:p>
      <w:pPr>
        <w:spacing w:line="560" w:lineRule="exact"/>
        <w:ind w:firstLine="640"/>
        <w:rPr>
          <w:rFonts w:eastAsia="仿宋_GB2312" w:cs="Times New Roman"/>
        </w:rPr>
      </w:pPr>
      <w:r>
        <w:rPr>
          <w:rFonts w:eastAsia="仿宋_GB2312" w:cs="Times New Roman"/>
        </w:rPr>
        <w:t>5.推广农业清洁生产技术</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加快转变农业发展方式，推动农业生产低碳化。不断强化农业投入品监管，减少农药和化肥施用量，提高农业废弃物综合利用水平，有效控制农业面源污染，推进生态循环农业发展，持续有效改善农业生产环境和农村生态条件，促进农业生态环境建设展现新面貌。</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（五）发展生态服务业</w:t>
      </w:r>
    </w:p>
    <w:p>
      <w:pPr>
        <w:spacing w:line="560" w:lineRule="exact"/>
        <w:ind w:firstLine="640"/>
        <w:rPr>
          <w:rFonts w:eastAsia="仿宋_GB2312" w:cs="Times New Roman"/>
        </w:rPr>
      </w:pPr>
      <w:r>
        <w:rPr>
          <w:rFonts w:eastAsia="仿宋_GB2312" w:cs="Times New Roman"/>
        </w:rPr>
        <w:t>1.发展生态文化旅游业</w:t>
      </w:r>
    </w:p>
    <w:p>
      <w:pPr>
        <w:spacing w:line="560" w:lineRule="exact"/>
        <w:ind w:firstLine="640"/>
        <w:rPr>
          <w:rFonts w:cs="Times New Roman"/>
        </w:rPr>
      </w:pPr>
      <w:r>
        <w:rPr>
          <w:rFonts w:eastAsia="仿宋_GB2312" w:cs="Times New Roman"/>
        </w:rPr>
        <w:t>挖掘山水自然资源、民俗风情、历史文化等旅游资源的潜在价值，着力打造“休闲柳州、百里柳江、千年侗寨、东方斗马、桂中食府”等精品旅游品牌。推进旅游、休闲、观光农业、会展和汽车文化产业及运动休闲融合发展，构建现代大旅游产业。加强区域旅游联动，打造桂柳一体的桂中北民族特色旅游城市圈。积极开展现有旅游景区的生态旅游示范区创建工作，打造一批有当地特色、示范作用明显的生态旅游示范区。</w:t>
      </w:r>
    </w:p>
    <w:p>
      <w:pPr>
        <w:spacing w:line="560" w:lineRule="exact"/>
        <w:ind w:firstLine="640"/>
        <w:rPr>
          <w:rFonts w:eastAsia="仿宋_GB2312" w:cs="Times New Roman"/>
        </w:rPr>
      </w:pPr>
      <w:r>
        <w:rPr>
          <w:rFonts w:eastAsia="仿宋_GB2312" w:cs="Times New Roman"/>
        </w:rPr>
        <w:t>2.重点发展生产性服务业</w:t>
      </w:r>
    </w:p>
    <w:p>
      <w:pPr>
        <w:spacing w:line="560" w:lineRule="exact"/>
        <w:ind w:firstLine="640"/>
        <w:rPr>
          <w:rFonts w:eastAsia="仿宋_GB2312" w:cs="Times New Roman"/>
        </w:rPr>
      </w:pPr>
      <w:r>
        <w:rPr>
          <w:rFonts w:eastAsia="仿宋_GB2312" w:cs="Times New Roman"/>
        </w:rPr>
        <w:t>实施汽车产业、现代物流、现代商务、工业设计创新服务工程，以重点产业为载体，着眼于产业结构升级，推动生产性服务业向专业化和价值链高端延伸，推动制造业由生产型向生产服务型转变。率先发展汽车产业服务工程，促进汽车服务业转型升级，打造完整的汽车产业链；建成具有重要影响力的国际商务合作交流中心，逐步完善构建现代商务服务体系；大力发展现代物流业，推进制造业和服务业联动发展，建设国家区域级流通节点城市和区域现代商贸物流中心，构建绿色低碳流通体系。</w:t>
      </w:r>
    </w:p>
    <w:p>
      <w:pPr>
        <w:spacing w:line="560" w:lineRule="exact"/>
        <w:ind w:firstLine="640"/>
        <w:rPr>
          <w:rFonts w:eastAsia="仿宋_GB2312" w:cs="Times New Roman"/>
        </w:rPr>
      </w:pPr>
      <w:r>
        <w:rPr>
          <w:rFonts w:eastAsia="仿宋_GB2312" w:cs="Times New Roman"/>
        </w:rPr>
        <w:t>3.大力发展生活性服务业</w:t>
      </w:r>
    </w:p>
    <w:p>
      <w:pPr>
        <w:spacing w:line="560" w:lineRule="exact"/>
        <w:ind w:firstLine="640"/>
      </w:pPr>
      <w:r>
        <w:rPr>
          <w:rFonts w:eastAsia="仿宋_GB2312" w:cs="Times New Roman"/>
        </w:rPr>
        <w:t>实施现代商贸、旅游休闲、民生服务提升工程，推动生活性服务业向精细和高品质转变。运用信息技术和现代经营理念改造提升商贸流通业；推广连锁经营、特许经营、电子商务等现代流通方式优化升级传统旅游产品和开发利用新型旅游产品；推动传统的观光旅游与休闲旅游相结合发展文化产业及运动休闲相融合的现代大旅游产业；围绕构建和谐社会的要求，着力构建多层次的现代基本公共服务体系，完善社会事业公共服务机制，积极拓展新型服务领域，不断培育形成服务业新的增长点</w:t>
      </w:r>
      <w:r>
        <w:rPr>
          <w:rFonts w:hint="eastAsia" w:ascii="仿宋_GB2312" w:hAnsi="仿宋_GB2312" w:eastAsia="仿宋_GB2312" w:cs="仿宋_GB2312"/>
        </w:rPr>
        <w:t>。</w:t>
      </w:r>
    </w:p>
    <w:p>
      <w:pPr>
        <w:spacing w:line="560" w:lineRule="exact"/>
        <w:ind w:firstLine="640"/>
        <w:rPr>
          <w:rFonts w:eastAsia="仿宋_GB2312" w:cs="Times New Roman"/>
        </w:rPr>
      </w:pPr>
      <w:r>
        <w:rPr>
          <w:rFonts w:eastAsia="仿宋_GB2312" w:cs="Times New Roman"/>
        </w:rPr>
        <w:t>4.拓展服务业发展空间</w:t>
      </w:r>
    </w:p>
    <w:p>
      <w:pPr>
        <w:spacing w:line="560" w:lineRule="exact"/>
        <w:ind w:firstLine="640"/>
        <w:rPr>
          <w:rFonts w:eastAsia="仿宋_GB2312" w:cs="Times New Roman"/>
        </w:rPr>
      </w:pPr>
      <w:r>
        <w:rPr>
          <w:rFonts w:eastAsia="仿宋_GB2312" w:cs="Times New Roman"/>
        </w:rPr>
        <w:t>加大政策和资金支持力度，加快打造现代物流、汽车服务、专业市场、电子商务等四个服务业千亿产业，加快形成服务业发展的新高地，城市功能的新亮点，拓展服务业发展空间。加速促进各行业“触网上市”，实施“电商柳州”系列重点行动，打造桂中地区乃至全国大宗商品现货电子交易平台的政策高地和成本洼地，成为区域性电商集聚中心、网货营销中心和网络交易中心。</w:t>
      </w:r>
    </w:p>
    <w:p>
      <w:pPr>
        <w:spacing w:line="560" w:lineRule="exact"/>
        <w:ind w:firstLine="640"/>
        <w:rPr>
          <w:rFonts w:eastAsia="仿宋_GB2312" w:cs="Times New Roman"/>
        </w:rPr>
      </w:pPr>
      <w:r>
        <w:rPr>
          <w:rFonts w:eastAsia="仿宋_GB2312" w:cs="Times New Roman"/>
        </w:rPr>
        <w:t>5.推进低碳服务业发展</w:t>
      </w:r>
    </w:p>
    <w:p>
      <w:pPr>
        <w:adjustRightInd w:val="0"/>
        <w:snapToGrid w:val="0"/>
        <w:spacing w:line="560" w:lineRule="exact"/>
        <w:ind w:firstLine="640"/>
        <w:rPr>
          <w:rFonts w:eastAsia="仿宋_GB2312" w:cs="Times New Roman"/>
          <w:kern w:val="0"/>
          <w:szCs w:val="32"/>
        </w:rPr>
      </w:pPr>
      <w:r>
        <w:rPr>
          <w:rFonts w:eastAsia="仿宋_GB2312" w:cs="Times New Roman"/>
          <w:kern w:val="0"/>
          <w:szCs w:val="32"/>
        </w:rPr>
        <w:t>以节能减碳咨询服务、碳金融、工业低碳设计等领域为重点，大力发展低碳技术评估、咨询、服务、技术转移、人才培训、法律服务和投融资等各类低碳服务业。培育碳排放统计、碳核查、碳标准、碳标识、碳足迹、碳金融、碳排放交易等服务业。鼓励企业开展碳排放核查、低碳产品认证。鼓励金融机构开展绿色、低碳金融业务。根据全国碳排放交易市场建设进展，探索参与碳排放交易机制，加强碳排放交易能力建设。</w:t>
      </w:r>
    </w:p>
    <w:p>
      <w:pPr>
        <w:pStyle w:val="4"/>
        <w:spacing w:line="560" w:lineRule="exact"/>
        <w:ind w:firstLine="640"/>
        <w:rPr>
          <w:b w:val="0"/>
          <w:bCs w:val="0"/>
        </w:rPr>
      </w:pPr>
      <w:bookmarkStart w:id="141" w:name="_Toc18286"/>
      <w:bookmarkStart w:id="142" w:name="_Toc6453"/>
      <w:bookmarkStart w:id="143" w:name="_Toc31652"/>
      <w:bookmarkStart w:id="144" w:name="_Toc19039"/>
      <w:bookmarkStart w:id="145" w:name="_Toc27725"/>
      <w:bookmarkStart w:id="146" w:name="_Toc11009"/>
      <w:bookmarkStart w:id="147" w:name="_Toc281"/>
      <w:r>
        <w:rPr>
          <w:rFonts w:hint="eastAsia"/>
          <w:b w:val="0"/>
          <w:bCs w:val="0"/>
        </w:rPr>
        <w:t>三、保护良好的生态</w:t>
      </w:r>
      <w:bookmarkEnd w:id="141"/>
      <w:bookmarkEnd w:id="142"/>
      <w:bookmarkEnd w:id="143"/>
      <w:bookmarkEnd w:id="144"/>
      <w:bookmarkEnd w:id="145"/>
      <w:bookmarkEnd w:id="146"/>
      <w:r>
        <w:rPr>
          <w:rFonts w:hint="eastAsia"/>
          <w:b w:val="0"/>
          <w:bCs w:val="0"/>
        </w:rPr>
        <w:t>环境</w:t>
      </w:r>
      <w:bookmarkEnd w:id="147"/>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（一）改善环境质量</w:t>
      </w:r>
    </w:p>
    <w:p>
      <w:pPr>
        <w:spacing w:line="560" w:lineRule="exact"/>
        <w:ind w:firstLine="640"/>
        <w:rPr>
          <w:rFonts w:eastAsia="仿宋_GB2312" w:cs="Times New Roman"/>
        </w:rPr>
      </w:pPr>
      <w:r>
        <w:rPr>
          <w:rFonts w:eastAsia="仿宋_GB2312" w:cs="Times New Roman"/>
        </w:rPr>
        <w:t>1.强化水环境综合治理</w:t>
      </w:r>
    </w:p>
    <w:p>
      <w:pPr>
        <w:spacing w:line="560" w:lineRule="exact"/>
        <w:ind w:firstLine="640"/>
        <w:rPr>
          <w:rFonts w:eastAsia="仿宋_GB2312" w:cs="Times New Roman"/>
        </w:rPr>
      </w:pPr>
      <w:r>
        <w:rPr>
          <w:rFonts w:eastAsia="仿宋_GB2312" w:cs="Times New Roman"/>
        </w:rPr>
        <w:t>（1）加强废水综合治理</w:t>
      </w:r>
    </w:p>
    <w:p>
      <w:pPr>
        <w:spacing w:line="560" w:lineRule="exact"/>
        <w:ind w:firstLine="640"/>
        <w:rPr>
          <w:rFonts w:ascii="仿宋_GB2312" w:hAnsi="仿宋_GB2312" w:eastAsia="仿宋_GB2312" w:cs="仿宋_GB2312"/>
        </w:rPr>
      </w:pPr>
      <w:r>
        <w:rPr>
          <w:rFonts w:eastAsia="仿宋_GB2312" w:cs="Times New Roman"/>
        </w:rPr>
        <w:t>全面实施清洁生产，减少废水产生，控制污染排放。推进企业入园，提高工业废水集中处理率和重复用水率；加快城镇、工业区的污水处理设施建设及升级改造，逐步提高污水处理厂深度处理能力，着重</w:t>
      </w:r>
      <w:r>
        <w:rPr>
          <w:rFonts w:hint="eastAsia" w:ascii="仿宋_GB2312" w:hAnsi="仿宋_GB2312" w:eastAsia="仿宋_GB2312" w:cs="仿宋_GB2312"/>
        </w:rPr>
        <w:t>强化脱氮除磷效果；推进矿井水综合利用，加强洗矿废水循环利用，鼓励高耗水企业废水深度处理回用；取缔“十小”企业，专项整治十大重点行业，削减污染排放。强化城镇用水管理，提高居民生活节水意识以减少生活污水产生量。加强田间高效用水、农业节水等技术、对策与措施的推广普及，全面提高农业节水水平，减少农业面源污染。</w:t>
      </w:r>
    </w:p>
    <w:p>
      <w:pPr>
        <w:spacing w:line="560" w:lineRule="exact"/>
        <w:ind w:firstLine="640"/>
        <w:rPr>
          <w:rFonts w:eastAsia="仿宋_GB2312" w:cs="Times New Roman"/>
        </w:rPr>
      </w:pPr>
      <w:r>
        <w:rPr>
          <w:rFonts w:eastAsia="仿宋_GB2312" w:cs="Times New Roman"/>
        </w:rPr>
        <w:t>（2）开展流域水环境综合整治</w:t>
      </w:r>
    </w:p>
    <w:p>
      <w:pPr>
        <w:spacing w:line="560" w:lineRule="exact"/>
        <w:ind w:firstLine="640"/>
        <w:rPr>
          <w:rFonts w:cs="Times New Roman"/>
          <w:szCs w:val="32"/>
        </w:rPr>
      </w:pPr>
      <w:r>
        <w:rPr>
          <w:rFonts w:eastAsia="仿宋_GB2312" w:cs="Times New Roman"/>
        </w:rPr>
        <w:t>强化流域协调管理，开展以“流域排污清查整顿、工业企业减排减污、农业面源污染治理、城乡环境全面洁化”为主要内容的流域环境综合整治专项行动，基本消除城市建成区黑臭水体。与来宾市、河池市及贵州开展水环境保护合作，建立行政交界断面水质、水量监测和信息通报机制，加强龙江、贝江、融江及柳江流域水环境联防联控，确保交界水质符合相应水环境功能区的要求。</w:t>
      </w:r>
    </w:p>
    <w:p>
      <w:pPr>
        <w:spacing w:line="560" w:lineRule="exact"/>
        <w:ind w:firstLine="640"/>
        <w:rPr>
          <w:rFonts w:eastAsia="仿宋_GB2312" w:cs="Times New Roman"/>
        </w:rPr>
      </w:pPr>
      <w:r>
        <w:rPr>
          <w:rFonts w:eastAsia="仿宋_GB2312" w:cs="Times New Roman"/>
        </w:rPr>
        <w:t>2.加强大气污染防控</w:t>
      </w:r>
    </w:p>
    <w:p>
      <w:pPr>
        <w:spacing w:line="560" w:lineRule="exact"/>
        <w:ind w:firstLine="640"/>
        <w:rPr>
          <w:rFonts w:eastAsia="仿宋_GB2312" w:cs="Times New Roman"/>
        </w:rPr>
      </w:pPr>
      <w:r>
        <w:rPr>
          <w:rFonts w:eastAsia="仿宋_GB2312" w:cs="Times New Roman"/>
        </w:rPr>
        <w:t>（1）严格污染型企业准入</w:t>
      </w:r>
    </w:p>
    <w:p>
      <w:pPr>
        <w:spacing w:line="560" w:lineRule="exact"/>
        <w:ind w:firstLine="640"/>
        <w:rPr>
          <w:rFonts w:eastAsia="仿宋_GB2312" w:cs="Times New Roman"/>
        </w:rPr>
      </w:pPr>
      <w:r>
        <w:rPr>
          <w:rFonts w:eastAsia="仿宋_GB2312" w:cs="Times New Roman"/>
        </w:rPr>
        <w:t>在柳州市建成区及其近郊严格控制新建、扩建钢铁、有色金属冶炼、石化、水泥、化工等重污染企业。完成主城区重污染企业环保改造。落实大气重污染企业的搬迁计划，城市上风向区域严禁布局大气污染新增项目。加强工业园区环境监管，禁止引入不符合产业政策和园区发展规划的项目，严格控制承接高排放产业转移。</w:t>
      </w:r>
    </w:p>
    <w:p>
      <w:pPr>
        <w:spacing w:line="560" w:lineRule="exact"/>
        <w:ind w:firstLine="640"/>
        <w:rPr>
          <w:rFonts w:eastAsia="仿宋_GB2312" w:cs="Times New Roman"/>
        </w:rPr>
      </w:pPr>
      <w:r>
        <w:rPr>
          <w:rFonts w:eastAsia="仿宋_GB2312" w:cs="Times New Roman"/>
        </w:rPr>
        <w:t>（2）综合治理工业企业污染</w:t>
      </w:r>
    </w:p>
    <w:p>
      <w:pPr>
        <w:spacing w:line="560" w:lineRule="exact"/>
        <w:ind w:firstLine="640"/>
        <w:rPr>
          <w:rFonts w:eastAsia="仿宋_GB2312" w:cs="Times New Roman"/>
        </w:rPr>
      </w:pPr>
      <w:r>
        <w:rPr>
          <w:rFonts w:eastAsia="仿宋_GB2312" w:cs="Times New Roman"/>
        </w:rPr>
        <w:t>全面整治“散乱污”企业，重点对有色冶炼、矿山开采、铁合金、化工、铸造、轧钢、耐火材料、碳酸钙粉体、石灰窑、砖瓦窑、废塑料、木材加工、石材加工、水泥粉磨站、混凝土搅拌、中药材硫磺熏制等行业企业实行分类管理，分类实施关停取缔、整合搬迁、整改提升等措施，2020年底前基本完成。强化工业企业无组织排放管理，推进挥发性有机</w:t>
      </w:r>
      <w:r>
        <w:rPr>
          <w:rFonts w:hint="eastAsia" w:eastAsia="仿宋_GB2312" w:cs="Times New Roman"/>
        </w:rPr>
        <w:t>物</w:t>
      </w:r>
      <w:r>
        <w:rPr>
          <w:rFonts w:eastAsia="仿宋_GB2312" w:cs="Times New Roman"/>
        </w:rPr>
        <w:t>排放综合整治。加快落后产能淘汰，加大过剩产能压减力度。</w:t>
      </w:r>
    </w:p>
    <w:p>
      <w:pPr>
        <w:spacing w:line="560" w:lineRule="exact"/>
        <w:ind w:firstLine="640"/>
        <w:rPr>
          <w:rFonts w:eastAsia="仿宋_GB2312" w:cs="Times New Roman"/>
        </w:rPr>
      </w:pPr>
      <w:r>
        <w:rPr>
          <w:rFonts w:eastAsia="仿宋_GB2312" w:cs="Times New Roman"/>
        </w:rPr>
        <w:t>（3）加强扬尘污染防治</w:t>
      </w:r>
    </w:p>
    <w:p>
      <w:pPr>
        <w:spacing w:line="560" w:lineRule="exact"/>
        <w:ind w:firstLine="640"/>
        <w:rPr>
          <w:rFonts w:eastAsia="仿宋_GB2312" w:cs="Times New Roman"/>
        </w:rPr>
      </w:pPr>
      <w:r>
        <w:rPr>
          <w:rFonts w:eastAsia="仿宋_GB2312" w:cs="Times New Roman"/>
        </w:rPr>
        <w:t>严控城市建筑施工扬尘、城市道路扬尘污染。加强施工监管，采取定期洒水、封闭围挡、密闭盖缝、车轮冲洗保洁等措施严控施</w:t>
      </w:r>
      <w:r>
        <w:rPr>
          <w:rFonts w:hint="eastAsia" w:eastAsia="仿宋_GB2312" w:cs="Times New Roman"/>
        </w:rPr>
        <w:t>工</w:t>
      </w:r>
      <w:r>
        <w:rPr>
          <w:rFonts w:eastAsia="仿宋_GB2312" w:cs="Times New Roman"/>
        </w:rPr>
        <w:t>扬尘污染。严格管控渣土运输，加强城市道路保洁，降低道路扬尘污染。加强弃土场及弃土运输路线的扬尘治理。发展绿色建筑，扩大城市建成区绿地规模，增强市内裸地的绿化或铺装。</w:t>
      </w:r>
    </w:p>
    <w:p>
      <w:pPr>
        <w:spacing w:line="560" w:lineRule="exact"/>
        <w:ind w:firstLine="640"/>
        <w:rPr>
          <w:rFonts w:eastAsia="仿宋_GB2312" w:cs="Times New Roman"/>
        </w:rPr>
      </w:pPr>
      <w:r>
        <w:rPr>
          <w:rFonts w:eastAsia="仿宋_GB2312" w:cs="Times New Roman"/>
        </w:rPr>
        <w:t>（4）强化餐饮油烟及焚烧污染治理</w:t>
      </w:r>
    </w:p>
    <w:p>
      <w:pPr>
        <w:spacing w:line="560" w:lineRule="exact"/>
        <w:ind w:firstLine="640"/>
        <w:rPr>
          <w:rFonts w:eastAsia="仿宋_GB2312" w:cs="Times New Roman"/>
        </w:rPr>
      </w:pPr>
      <w:r>
        <w:rPr>
          <w:rFonts w:eastAsia="仿宋_GB2312" w:cs="Times New Roman"/>
        </w:rPr>
        <w:t>从源头强化对餐饮服务单位油烟污染治理和管控，严把审批新增的餐饮单位，加强对城镇建成区内餐饮企业监管，依法查处、纠正餐饮服务业对环境污染危害和环保法规的违法违规行为。严格执行燃放烟花爆竹管理规定，加强城区限制燃放烟花爆竹区域日常监督管理。</w:t>
      </w:r>
      <w:r>
        <w:rPr>
          <w:rFonts w:hint="eastAsia" w:eastAsia="仿宋_GB2312" w:cs="Times New Roman"/>
        </w:rPr>
        <w:t>禁止在划定禁燃区域内露天焚烧沥青、油毡、橡胶、塑料、皮革、垃圾以及其他产生有毒有害烟尘和恶臭气体的物质。</w:t>
      </w:r>
      <w:r>
        <w:rPr>
          <w:rFonts w:eastAsia="仿宋_GB2312" w:cs="Times New Roman"/>
        </w:rPr>
        <w:t>严格实行秸秆禁烧制度，推进农作物秸秆综合利用和秸秆还田，建立健全长效管理机制，加强巡查监管，杜绝秸秆野外焚烧现象。</w:t>
      </w:r>
    </w:p>
    <w:p>
      <w:pPr>
        <w:spacing w:line="560" w:lineRule="exact"/>
        <w:ind w:firstLine="640"/>
        <w:rPr>
          <w:rFonts w:eastAsia="仿宋_GB2312" w:cs="Times New Roman"/>
        </w:rPr>
      </w:pPr>
      <w:r>
        <w:rPr>
          <w:rFonts w:eastAsia="仿宋_GB2312" w:cs="Times New Roman"/>
        </w:rPr>
        <w:t>（5）加快移动源污染防控</w:t>
      </w:r>
    </w:p>
    <w:p>
      <w:pPr>
        <w:spacing w:line="560" w:lineRule="exact"/>
        <w:ind w:firstLine="640"/>
        <w:rPr>
          <w:rFonts w:eastAsia="仿宋_GB2312" w:cs="Times New Roman"/>
        </w:rPr>
      </w:pPr>
      <w:r>
        <w:rPr>
          <w:rFonts w:eastAsia="仿宋_GB2312" w:cs="Times New Roman"/>
        </w:rPr>
        <w:t>以柴油货车污染治理专项整治为抓手，统筹开展油、路、车治理，减少柴油货车污染排放。加快淘汰老旧车辆，鼓励淘汰老旧船舶、工程机械和农业机械，推广使用清洁能源车辆、船舶。2019年1月1日起，全面供应符合国六标准的车用汽油和车用柴油。尽快实现车用柴油、普通柴油和船舶用油标准并轨。柳江流域船舶必须使用硫含量不大于10毫克/千克的柴油。严厉打击生产、销售和使用非标车（船）用燃料行为，彻底清除黑加油站点。</w:t>
      </w:r>
    </w:p>
    <w:p>
      <w:pPr>
        <w:spacing w:line="560" w:lineRule="exact"/>
        <w:ind w:firstLine="640"/>
        <w:rPr>
          <w:rFonts w:eastAsia="仿宋_GB2312" w:cs="Times New Roman"/>
        </w:rPr>
      </w:pPr>
      <w:r>
        <w:rPr>
          <w:rFonts w:eastAsia="仿宋_GB2312" w:cs="Times New Roman"/>
        </w:rPr>
        <w:t>（6）实施清洁能源替代</w:t>
      </w:r>
    </w:p>
    <w:p>
      <w:pPr>
        <w:spacing w:line="560" w:lineRule="exact"/>
        <w:ind w:firstLine="640"/>
        <w:rPr>
          <w:rFonts w:eastAsia="仿宋_GB2312" w:cs="Times New Roman"/>
        </w:rPr>
      </w:pPr>
      <w:r>
        <w:rPr>
          <w:rFonts w:eastAsia="仿宋_GB2312" w:cs="Times New Roman"/>
        </w:rPr>
        <w:t>加快调整用能结构，实施煤炭消费总量控制，增加可再生能源比重，适当减少煤炭、石油的消费。深度开发水电，加快风能、太阳能、生物质能及地热能等开发利用，鼓励农村使用沼气清洁能源。到2020年，全市煤炭占一次能源消费比重控制在自治区下达的目标任务内，逐步提升天然气消费比重。推广清洁高效燃煤锅炉，加大燃煤小锅炉淘汰力度。县级及以上城市建成区基本淘汰每小时10蒸吨及以下燃煤锅炉及茶水炉、经营性炉灶、储量烘干设备等燃煤设施，原则上不再新建每小时35蒸吨以下的燃煤锅炉；其他区域原则上不再新建每小时10蒸吨以下的燃煤锅炉。</w:t>
      </w:r>
    </w:p>
    <w:p>
      <w:pPr>
        <w:spacing w:line="560" w:lineRule="exact"/>
        <w:ind w:firstLine="640"/>
        <w:rPr>
          <w:rFonts w:eastAsia="仿宋_GB2312" w:cs="Times New Roman"/>
        </w:rPr>
      </w:pPr>
      <w:r>
        <w:rPr>
          <w:rFonts w:eastAsia="仿宋_GB2312" w:cs="Times New Roman"/>
        </w:rPr>
        <w:t>（7）实施大气污染联防联控</w:t>
      </w:r>
    </w:p>
    <w:p>
      <w:pPr>
        <w:spacing w:line="560" w:lineRule="exact"/>
        <w:ind w:firstLine="640"/>
        <w:rPr>
          <w:rFonts w:cs="Times New Roman"/>
          <w:kern w:val="0"/>
          <w:sz w:val="28"/>
          <w:szCs w:val="20"/>
        </w:rPr>
      </w:pPr>
      <w:r>
        <w:rPr>
          <w:rFonts w:eastAsia="仿宋_GB2312" w:cs="Times New Roman"/>
        </w:rPr>
        <w:t>推进柳州大气污染防治协作和部门联动，完善大气污染联防联控机制，共同开展大气污染防治工作，加快大气污染物源清单编制；加强联合执法，严厉打击环境违法行为，切实解决群众反应强烈的大气环境问题，全力提升环境空气质量。深化与桂林、来宾、河池等其他城市的区域协作，进一步完善区域大气污染联防联控机制、联合协商机制及监测、预警和决策响应系统，共同推进灰霾区域性大气污染的联合防控。</w:t>
      </w:r>
    </w:p>
    <w:p>
      <w:pPr>
        <w:spacing w:line="560" w:lineRule="exact"/>
        <w:ind w:firstLine="640"/>
        <w:rPr>
          <w:rFonts w:eastAsia="仿宋_GB2312" w:cs="Times New Roman"/>
        </w:rPr>
      </w:pPr>
      <w:r>
        <w:rPr>
          <w:rFonts w:eastAsia="仿宋_GB2312" w:cs="Times New Roman"/>
        </w:rPr>
        <w:t>3.加强土壤环境污染防治</w:t>
      </w:r>
    </w:p>
    <w:p>
      <w:pPr>
        <w:spacing w:line="560" w:lineRule="exact"/>
        <w:ind w:firstLine="640"/>
        <w:rPr>
          <w:rFonts w:eastAsia="仿宋_GB2312" w:cs="Times New Roman"/>
        </w:rPr>
      </w:pPr>
      <w:r>
        <w:rPr>
          <w:rFonts w:eastAsia="仿宋_GB2312" w:cs="Times New Roman"/>
        </w:rPr>
        <w:t>（1）加强重点污染源监管</w:t>
      </w:r>
    </w:p>
    <w:p>
      <w:pPr>
        <w:spacing w:line="560" w:lineRule="exact"/>
        <w:ind w:firstLine="640"/>
        <w:rPr>
          <w:rFonts w:eastAsia="仿宋_GB2312" w:cs="Times New Roman"/>
        </w:rPr>
      </w:pPr>
      <w:r>
        <w:rPr>
          <w:rFonts w:eastAsia="仿宋_GB2312" w:cs="Times New Roman"/>
        </w:rPr>
        <w:t>加强工矿企业日常监管，建立土壤污染重点监管企业管理信息系统，建立和完善土壤环境管理档案和环境风险应急管理制度，强化从工矿企业源头防控土壤污染。严防有色金属冶炼、化工、焦化、电镀、制革等行业企业拆除活动污染土壤。加强工业废物处理处置和工业固体废物综合利用，加强固体废物的堆存场所、电子废物拆解、历史遗留尾矿库等土壤环境问题集中区域的环境风险排查、清理整顿，防止污染土壤和地下水。</w:t>
      </w:r>
      <w:r>
        <w:rPr>
          <w:rFonts w:hint="eastAsia" w:eastAsia="仿宋_GB2312" w:cs="Times New Roman"/>
        </w:rPr>
        <w:t>禁止在重要生态功能区、国家或自治区划定的农产品主产区和因重金属污染导致环境质量不能稳定达标区域新建涉重金属项目。</w:t>
      </w:r>
    </w:p>
    <w:p>
      <w:pPr>
        <w:spacing w:line="560" w:lineRule="exact"/>
        <w:ind w:firstLine="640"/>
        <w:rPr>
          <w:rFonts w:eastAsia="仿宋_GB2312" w:cs="Times New Roman"/>
        </w:rPr>
      </w:pPr>
      <w:r>
        <w:rPr>
          <w:rFonts w:eastAsia="仿宋_GB2312" w:cs="Times New Roman"/>
        </w:rPr>
        <w:t>（2）开展土壤环境基础调查</w:t>
      </w:r>
    </w:p>
    <w:p>
      <w:pPr>
        <w:spacing w:line="560" w:lineRule="exact"/>
        <w:ind w:firstLine="640"/>
        <w:rPr>
          <w:rFonts w:eastAsia="仿宋_GB2312" w:cs="Times New Roman"/>
        </w:rPr>
      </w:pPr>
      <w:r>
        <w:rPr>
          <w:rFonts w:eastAsia="仿宋_GB2312" w:cs="Times New Roman"/>
        </w:rPr>
        <w:t>建立土壤污染监测体系，以农用地和重点行业企业用地为重点，开展全市土壤污染状况详查，全面掌握污染土壤分布、污染物种类、污染范围和污染程度等；2020年底前完成重点行业企业用地环境状况及耕地环境质量类别划定。加快建立全市土壤环境状况动态数据库，编制柳州市土壤污染防治行动计划。</w:t>
      </w:r>
    </w:p>
    <w:p>
      <w:pPr>
        <w:spacing w:line="560" w:lineRule="exact"/>
        <w:ind w:firstLine="640"/>
        <w:rPr>
          <w:rFonts w:ascii="仿宋_GB2312" w:hAnsi="仿宋_GB2312" w:eastAsia="仿宋_GB2312" w:cs="仿宋_GB2312"/>
        </w:rPr>
      </w:pPr>
      <w:r>
        <w:rPr>
          <w:rFonts w:eastAsia="仿宋_GB2312" w:cs="Times New Roman"/>
        </w:rPr>
        <w:t>（3）加强农用地合理利用及分类保护</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开展土壤环境质量评估，划定土壤环境质量类别。按污染程度将农用地划为三个类别，未污染和轻微污染的划为优先保护类，轻度和中度污染的划为安全利用类，重度污染的划为严格管控类。优先保护未受污染的农用地，对安全利用类等级农用地实施合理安全利用。加强污染的农用地的安全利用和严格监管，制定实施受污染耕地安全利用方案，采取农艺调控、替代种植等措施，降低农产品超标风险。</w:t>
      </w:r>
    </w:p>
    <w:p>
      <w:pPr>
        <w:spacing w:line="560" w:lineRule="exact"/>
        <w:ind w:firstLine="640"/>
        <w:rPr>
          <w:rFonts w:eastAsia="仿宋_GB2312" w:cs="Times New Roman"/>
        </w:rPr>
      </w:pPr>
      <w:r>
        <w:rPr>
          <w:rFonts w:eastAsia="仿宋_GB2312" w:cs="Times New Roman"/>
        </w:rPr>
        <w:t>（4）强化建设用地风险管控</w:t>
      </w:r>
    </w:p>
    <w:p>
      <w:pPr>
        <w:spacing w:line="560" w:lineRule="exact"/>
        <w:ind w:firstLine="640"/>
        <w:rPr>
          <w:rFonts w:eastAsia="仿宋_GB2312" w:cs="Times New Roman"/>
        </w:rPr>
      </w:pPr>
      <w:r>
        <w:rPr>
          <w:rFonts w:eastAsia="仿宋_GB2312" w:cs="Times New Roman"/>
        </w:rPr>
        <w:t>依法建立建设用地土壤污染风险管控和修复名录制度。开展建设用地调查评估，加强建设用地土壤环境质量监管，逐步建立污染地块名录及其开发利用的负面清单，合理确定土地用途。到2020年，污染地块安全利用率达到自治区下达的目标</w:t>
      </w:r>
      <w:r>
        <w:rPr>
          <w:rFonts w:hint="eastAsia" w:eastAsia="仿宋_GB2312" w:cs="Times New Roman"/>
        </w:rPr>
        <w:t>要求</w:t>
      </w:r>
      <w:r>
        <w:rPr>
          <w:rFonts w:eastAsia="仿宋_GB2312" w:cs="Times New Roman"/>
        </w:rPr>
        <w:t>。加强未利用地环境监管，防范新增污染。</w:t>
      </w:r>
    </w:p>
    <w:p>
      <w:pPr>
        <w:spacing w:line="560" w:lineRule="exact"/>
        <w:ind w:firstLine="640"/>
        <w:rPr>
          <w:rFonts w:eastAsia="仿宋_GB2312" w:cs="Times New Roman"/>
        </w:rPr>
      </w:pPr>
      <w:r>
        <w:rPr>
          <w:rFonts w:eastAsia="仿宋_GB2312" w:cs="Times New Roman"/>
        </w:rPr>
        <w:t>（5）实施污染土壤修复治理</w:t>
      </w:r>
    </w:p>
    <w:p>
      <w:pPr>
        <w:spacing w:line="560" w:lineRule="exact"/>
        <w:ind w:firstLine="640"/>
        <w:rPr>
          <w:rFonts w:eastAsia="仿宋_GB2312" w:cs="Times New Roman"/>
        </w:rPr>
      </w:pPr>
      <w:r>
        <w:rPr>
          <w:rFonts w:eastAsia="仿宋_GB2312" w:cs="Times New Roman"/>
        </w:rPr>
        <w:t>实行污染土壤分区分级分类修复治理，以重污染工矿企业、集中污染治理设施周边、重金属污染防治重点区域、废弃物堆存场地、集中式饮用水水源地周边等为重点，开展土壤污染调查、治理与修复，确保土地转换用途后的安全利用，及时清理因危险化学品和危险废物泄漏、突发环境事件污染的土壤。</w:t>
      </w:r>
    </w:p>
    <w:p>
      <w:pPr>
        <w:spacing w:line="560" w:lineRule="exact"/>
        <w:ind w:firstLine="640"/>
        <w:rPr>
          <w:rFonts w:eastAsia="仿宋_GB2312" w:cs="Times New Roman"/>
        </w:rPr>
      </w:pPr>
      <w:r>
        <w:rPr>
          <w:rFonts w:eastAsia="仿宋_GB2312" w:cs="Times New Roman"/>
        </w:rPr>
        <w:t>4.推进噪声污染防治</w:t>
      </w:r>
    </w:p>
    <w:p>
      <w:pPr>
        <w:spacing w:line="560" w:lineRule="exact"/>
        <w:ind w:firstLine="640"/>
        <w:rPr>
          <w:rFonts w:eastAsia="仿宋_GB2312" w:cs="Times New Roman"/>
        </w:rPr>
      </w:pPr>
      <w:r>
        <w:rPr>
          <w:rFonts w:eastAsia="仿宋_GB2312" w:cs="Times New Roman"/>
        </w:rPr>
        <w:t>（1）落实噪声环境功能区规划</w:t>
      </w:r>
    </w:p>
    <w:p>
      <w:pPr>
        <w:spacing w:line="560" w:lineRule="exact"/>
        <w:ind w:firstLine="640"/>
        <w:rPr>
          <w:rFonts w:eastAsia="仿宋_GB2312" w:cs="Times New Roman"/>
        </w:rPr>
      </w:pPr>
      <w:r>
        <w:rPr>
          <w:rFonts w:eastAsia="仿宋_GB2312" w:cs="Times New Roman"/>
        </w:rPr>
        <w:t>按照城市用地功能要求进行分类管理，在城市建设中落实声环境功能区管理要求，从布局上避免噪声扰民。坚持预防为主原则，合理规划地面交通设施与邻近建筑物布局，从源头上缓解交通噪声污染对敏感目标的影响。</w:t>
      </w:r>
    </w:p>
    <w:p>
      <w:pPr>
        <w:spacing w:line="560" w:lineRule="exact"/>
        <w:ind w:firstLine="640"/>
        <w:rPr>
          <w:rFonts w:eastAsia="仿宋_GB2312" w:cs="Times New Roman"/>
        </w:rPr>
      </w:pPr>
      <w:r>
        <w:rPr>
          <w:rFonts w:eastAsia="仿宋_GB2312" w:cs="Times New Roman"/>
        </w:rPr>
        <w:t>（2）加强交通噪声管理</w:t>
      </w:r>
    </w:p>
    <w:p>
      <w:pPr>
        <w:spacing w:line="560" w:lineRule="exact"/>
        <w:ind w:firstLine="640"/>
        <w:rPr>
          <w:rFonts w:eastAsia="仿宋_GB2312" w:cs="Times New Roman"/>
        </w:rPr>
      </w:pPr>
      <w:r>
        <w:rPr>
          <w:rFonts w:eastAsia="仿宋_GB2312" w:cs="Times New Roman"/>
        </w:rPr>
        <w:t>加强交通管制，对不同路段，分别采取限车种、限车速、禁鸣喇叭等管理措施，把控制交通噪声纳入法制轨道，综合运用行政、经济和法律手段控制噪声污染；加强道路建设与维护，加强道路两侧绿化，降低交通噪声；控制高噪声车辆，对设备不良、噪声严重超标的车辆坚决取缔。</w:t>
      </w:r>
    </w:p>
    <w:p>
      <w:pPr>
        <w:spacing w:line="560" w:lineRule="exact"/>
        <w:ind w:firstLine="640"/>
        <w:rPr>
          <w:rFonts w:eastAsia="仿宋_GB2312" w:cs="Times New Roman"/>
        </w:rPr>
      </w:pPr>
      <w:r>
        <w:rPr>
          <w:rFonts w:eastAsia="仿宋_GB2312" w:cs="Times New Roman"/>
        </w:rPr>
        <w:t>（3）强化建筑施工噪声防控</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加强对建筑施工噪声的监管，严格执行施工噪声排放申报登记制度，在建设项目设计、施工过程中切实落实噪声污染防治措施，严格按照环评批复实施降噪措施，确保施工噪声符合相应标准。</w:t>
      </w:r>
    </w:p>
    <w:p>
      <w:pPr>
        <w:spacing w:line="560" w:lineRule="exact"/>
        <w:ind w:firstLine="640"/>
        <w:rPr>
          <w:rFonts w:eastAsia="仿宋_GB2312" w:cs="Times New Roman"/>
        </w:rPr>
      </w:pPr>
      <w:r>
        <w:rPr>
          <w:rFonts w:eastAsia="仿宋_GB2312" w:cs="Times New Roman"/>
        </w:rPr>
        <w:t>（4）严格控制工业噪声</w:t>
      </w:r>
    </w:p>
    <w:p>
      <w:pPr>
        <w:spacing w:line="560" w:lineRule="exact"/>
        <w:ind w:firstLine="640"/>
        <w:rPr>
          <w:rFonts w:eastAsia="仿宋_GB2312" w:cs="Times New Roman"/>
        </w:rPr>
      </w:pPr>
      <w:r>
        <w:rPr>
          <w:rFonts w:eastAsia="仿宋_GB2312" w:cs="Times New Roman"/>
        </w:rPr>
        <w:t>严格新项目审批和执法监管，强化工业噪声污染源头控制。严格落实声环境功能区划要求，新建、扩建和改建工业企业，应合理选址及合理布局，并建设必要的噪声控制设施，工业区和居住区之间建立绿化隔离带加强绿化建设。做好新工业和已撤销工业的建设时序规划，防止“新厂老邻居、老厂新邻居”噪声污染问题的产生。</w:t>
      </w:r>
    </w:p>
    <w:p>
      <w:pPr>
        <w:spacing w:line="560" w:lineRule="exact"/>
        <w:ind w:firstLine="640"/>
        <w:rPr>
          <w:rFonts w:eastAsia="仿宋_GB2312" w:cs="Times New Roman"/>
        </w:rPr>
      </w:pPr>
      <w:r>
        <w:rPr>
          <w:rFonts w:eastAsia="仿宋_GB2312" w:cs="Times New Roman"/>
        </w:rPr>
        <w:t>（5）加强社会生活噪声控制</w:t>
      </w:r>
    </w:p>
    <w:p>
      <w:pPr>
        <w:spacing w:line="560" w:lineRule="exact"/>
        <w:ind w:firstLine="640"/>
        <w:rPr>
          <w:rFonts w:cs="Times New Roman"/>
          <w:sz w:val="28"/>
          <w:szCs w:val="28"/>
        </w:rPr>
      </w:pPr>
      <w:r>
        <w:rPr>
          <w:rFonts w:eastAsia="仿宋_GB2312" w:cs="Times New Roman"/>
        </w:rPr>
        <w:t>加强商业区、娱乐场所和饮食业噪声源控制。开展联合执法，督促娱乐饮食业噪声污染治理，及时有效解决噪声扰民投诉。加强敏感时段噪声管制，保持声环境功能区达标。</w:t>
      </w:r>
    </w:p>
    <w:p>
      <w:pPr>
        <w:spacing w:line="560" w:lineRule="exact"/>
        <w:ind w:firstLine="640"/>
        <w:rPr>
          <w:rFonts w:eastAsia="仿宋_GB2312" w:cs="Times New Roman"/>
        </w:rPr>
      </w:pPr>
      <w:r>
        <w:rPr>
          <w:rFonts w:eastAsia="仿宋_GB2312" w:cs="Times New Roman"/>
        </w:rPr>
        <w:t>5.推进固体废物减量化、无害化、资源化</w:t>
      </w:r>
    </w:p>
    <w:p>
      <w:pPr>
        <w:spacing w:line="560" w:lineRule="exact"/>
        <w:ind w:firstLine="640"/>
        <w:rPr>
          <w:rFonts w:eastAsia="仿宋_GB2312" w:cs="Times New Roman"/>
        </w:rPr>
      </w:pPr>
      <w:r>
        <w:rPr>
          <w:rFonts w:eastAsia="仿宋_GB2312" w:cs="Times New Roman"/>
        </w:rPr>
        <w:t>（1）加大生活垃圾无害化处理力度</w:t>
      </w:r>
    </w:p>
    <w:p>
      <w:pPr>
        <w:spacing w:line="560" w:lineRule="exact"/>
        <w:ind w:firstLine="640"/>
        <w:rPr>
          <w:rFonts w:eastAsia="仿宋_GB2312" w:cs="Times New Roman"/>
        </w:rPr>
      </w:pPr>
      <w:r>
        <w:rPr>
          <w:rFonts w:eastAsia="仿宋_GB2312" w:cs="Times New Roman"/>
        </w:rPr>
        <w:t>完善市县生活垃圾处置设施以及村镇垃圾收集、转运、处理设施建设，建设完善的垃圾分类收集和清运系统，积极开展垃圾分类收集、处理试点工作，加强垃圾资源化回收利用，妥善处置垃圾渗滤液。促进城镇生活垃圾无害化处理率继续保持95％以上。</w:t>
      </w:r>
    </w:p>
    <w:p>
      <w:pPr>
        <w:spacing w:line="560" w:lineRule="exact"/>
        <w:ind w:firstLine="640"/>
        <w:rPr>
          <w:rFonts w:eastAsia="仿宋_GB2312" w:cs="Times New Roman"/>
        </w:rPr>
      </w:pPr>
      <w:r>
        <w:rPr>
          <w:rFonts w:eastAsia="仿宋_GB2312" w:cs="Times New Roman"/>
        </w:rPr>
        <w:t>（2）构建建筑废弃物资源化利用产业链</w:t>
      </w:r>
    </w:p>
    <w:p>
      <w:pPr>
        <w:spacing w:line="560" w:lineRule="exact"/>
        <w:ind w:firstLine="640"/>
        <w:rPr>
          <w:rFonts w:eastAsia="仿宋_GB2312" w:cs="Times New Roman"/>
        </w:rPr>
      </w:pPr>
      <w:r>
        <w:rPr>
          <w:rFonts w:eastAsia="仿宋_GB2312" w:cs="Times New Roman"/>
        </w:rPr>
        <w:t>建立科学规范的建筑垃圾减排指标体系，从源头降低建筑垃圾排放量，逐步构建起“旧建筑拆除-建筑废弃物处置-建筑废弃物再生利用-新的建筑物建筑废物资源化利用”产业链，重点支持龙建集团3D建筑垃圾综合利用项目建设。</w:t>
      </w:r>
    </w:p>
    <w:p>
      <w:pPr>
        <w:spacing w:line="560" w:lineRule="exact"/>
        <w:ind w:firstLine="640"/>
        <w:rPr>
          <w:rFonts w:eastAsia="仿宋_GB2312" w:cs="Times New Roman"/>
        </w:rPr>
      </w:pPr>
      <w:r>
        <w:rPr>
          <w:rFonts w:eastAsia="仿宋_GB2312" w:cs="Times New Roman"/>
        </w:rPr>
        <w:t>（3）推进餐厨废弃物资源化利用和无害化处理</w:t>
      </w:r>
    </w:p>
    <w:p>
      <w:pPr>
        <w:spacing w:line="560" w:lineRule="exact"/>
        <w:ind w:firstLine="640"/>
        <w:rPr>
          <w:rFonts w:eastAsia="仿宋_GB2312" w:cs="Times New Roman"/>
        </w:rPr>
      </w:pPr>
      <w:r>
        <w:rPr>
          <w:rFonts w:eastAsia="仿宋_GB2312" w:cs="Times New Roman"/>
        </w:rPr>
        <w:t>建立餐饮单位餐厨废弃物产生登记、定点回收、集中处理、资源化产品评估以及监督管理体系，严格准入制度；建立完善餐厨废弃物的收运管理制度、跟踪管理和收运监管体系，实行数字化管理。鼓励推进餐厨废弃物资源化利用生产沼气、生物柴油、工业油脂、有机肥等，加大餐厨废弃物资源化利用技术和装备的推广应用。</w:t>
      </w:r>
    </w:p>
    <w:p>
      <w:pPr>
        <w:spacing w:line="560" w:lineRule="exact"/>
        <w:ind w:firstLine="640"/>
        <w:rPr>
          <w:rFonts w:eastAsia="仿宋_GB2312" w:cs="Times New Roman"/>
        </w:rPr>
      </w:pPr>
      <w:r>
        <w:rPr>
          <w:rFonts w:eastAsia="仿宋_GB2312" w:cs="Times New Roman"/>
        </w:rPr>
        <w:t>（4）加强工业固体废物处理处置</w:t>
      </w:r>
    </w:p>
    <w:p>
      <w:pPr>
        <w:spacing w:line="560" w:lineRule="exact"/>
        <w:ind w:firstLine="640"/>
        <w:rPr>
          <w:rFonts w:cs="Times New Roman"/>
          <w:b/>
          <w:bCs/>
          <w:szCs w:val="32"/>
        </w:rPr>
      </w:pPr>
      <w:r>
        <w:rPr>
          <w:rFonts w:eastAsia="仿宋_GB2312" w:cs="Times New Roman"/>
        </w:rPr>
        <w:t>推动工业固体废物资源化利用，开展“无废城市”试点，开展工业固体废物堆存场所环境调查与整治，实施尾矿、冶炼渣、煤矸石、粉煤灰等固体废物资源综合利用工程，提高固体废物综合利用水平，推进资源综合利用产业化。2020年前，工业固体废物综合利用率达到80%以上。同时加</w:t>
      </w:r>
      <w:r>
        <w:rPr>
          <w:rFonts w:hint="eastAsia" w:eastAsia="仿宋_GB2312" w:cs="Times New Roman"/>
        </w:rPr>
        <w:t>强</w:t>
      </w:r>
      <w:r>
        <w:rPr>
          <w:rFonts w:eastAsia="仿宋_GB2312" w:cs="Times New Roman"/>
        </w:rPr>
        <w:t>监督管理，确保至2025年稳定达标。</w:t>
      </w:r>
    </w:p>
    <w:p>
      <w:pPr>
        <w:pStyle w:val="5"/>
        <w:spacing w:line="560" w:lineRule="exact"/>
        <w:ind w:firstLine="640"/>
        <w:rPr>
          <w:rFonts w:eastAsia="楷体_GB2312" w:cs="Times New Roman"/>
        </w:rPr>
      </w:pPr>
      <w:r>
        <w:rPr>
          <w:rFonts w:eastAsia="楷体_GB2312" w:cs="Times New Roman"/>
        </w:rPr>
        <w:t>（二）加强生态保护与修复</w:t>
      </w:r>
    </w:p>
    <w:p>
      <w:pPr>
        <w:spacing w:line="560" w:lineRule="exact"/>
        <w:ind w:firstLine="640"/>
        <w:rPr>
          <w:rFonts w:eastAsia="仿宋_GB2312" w:cs="Times New Roman"/>
        </w:rPr>
      </w:pPr>
      <w:r>
        <w:rPr>
          <w:rFonts w:eastAsia="仿宋_GB2312" w:cs="Times New Roman"/>
        </w:rPr>
        <w:t>1.加强自然生态保护</w:t>
      </w:r>
    </w:p>
    <w:p>
      <w:pPr>
        <w:spacing w:line="560" w:lineRule="exact"/>
        <w:ind w:firstLine="640"/>
        <w:rPr>
          <w:rFonts w:eastAsia="仿宋_GB2312" w:cs="Times New Roman"/>
        </w:rPr>
      </w:pPr>
      <w:r>
        <w:rPr>
          <w:rFonts w:eastAsia="仿宋_GB2312" w:cs="Times New Roman"/>
        </w:rPr>
        <w:t>（1）加强自然保护区建设</w:t>
      </w:r>
    </w:p>
    <w:p>
      <w:pPr>
        <w:spacing w:line="560" w:lineRule="exact"/>
        <w:ind w:firstLine="640"/>
        <w:rPr>
          <w:rFonts w:eastAsia="仿宋_GB2312" w:cs="Times New Roman"/>
        </w:rPr>
      </w:pPr>
      <w:r>
        <w:rPr>
          <w:rFonts w:eastAsia="仿宋_GB2312" w:cs="Times New Roman"/>
        </w:rPr>
        <w:t>着力改善全市</w:t>
      </w:r>
      <w:r>
        <w:rPr>
          <w:rFonts w:hint="eastAsia" w:eastAsia="仿宋_GB2312" w:cs="Times New Roman"/>
        </w:rPr>
        <w:t>4</w:t>
      </w:r>
      <w:r>
        <w:rPr>
          <w:rFonts w:eastAsia="仿宋_GB2312" w:cs="Times New Roman"/>
        </w:rPr>
        <w:t>个自然保护区基础设施和能力建设水平，加大自然保护区的保护管理力度，在保护空缺区域通过建立自然保护小区或生态廊道等方式加强保护，形成布局合理、类型齐全、功能完备的自然保护网络。</w:t>
      </w:r>
    </w:p>
    <w:p>
      <w:pPr>
        <w:spacing w:line="560" w:lineRule="exact"/>
        <w:ind w:firstLine="640"/>
        <w:rPr>
          <w:rFonts w:eastAsia="仿宋_GB2312" w:cs="Times New Roman"/>
        </w:rPr>
      </w:pPr>
      <w:r>
        <w:rPr>
          <w:rFonts w:eastAsia="仿宋_GB2312" w:cs="Times New Roman"/>
        </w:rPr>
        <w:t>（2）推进湿地公园建设</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建设以湿地公园为基本格局的湿地保护体系，加大湿地保护与恢复工程建设，维护柳州市湿地生态系统的自然生态特性和基本功能。争取把市大桥园艺场的千亩湖和融安县潭头乡的水面、大良石门仙湖划为湿地保护区，建立湿地公园。</w:t>
      </w:r>
    </w:p>
    <w:p>
      <w:pPr>
        <w:spacing w:line="560" w:lineRule="exact"/>
        <w:ind w:firstLine="640"/>
        <w:rPr>
          <w:rFonts w:eastAsia="仿宋_GB2312" w:cs="Times New Roman"/>
        </w:rPr>
      </w:pPr>
      <w:r>
        <w:rPr>
          <w:rFonts w:eastAsia="仿宋_GB2312" w:cs="Times New Roman"/>
        </w:rPr>
        <w:t>（3）全面保护野生动植物资源</w:t>
      </w:r>
    </w:p>
    <w:p>
      <w:pPr>
        <w:spacing w:line="560" w:lineRule="exact"/>
        <w:ind w:firstLine="640"/>
        <w:rPr>
          <w:rFonts w:eastAsia="仿宋_GB2312" w:cs="Times New Roman"/>
        </w:rPr>
      </w:pPr>
      <w:r>
        <w:rPr>
          <w:rFonts w:eastAsia="仿宋_GB2312" w:cs="Times New Roman"/>
        </w:rPr>
        <w:t>保护、修复和扩大珍稀濒危野生动植物栖息地，建设生态廊道，设立专门保护站点，重点加强典型生态系统、珍稀濒危野生动植物种的就地保护、近地保护、迁地保护。开展生物多样性本底调查与评估，开展野生动植物繁育利用及其产品制品的认证标识，完善生物多样性保护网络。到2020年，国家重点保护野生动植物物种得到有效保护。到2025年，野生动植物资源保护机制进一步完善，保护能力和水平显著增强。</w:t>
      </w:r>
    </w:p>
    <w:p>
      <w:pPr>
        <w:spacing w:line="560" w:lineRule="exact"/>
        <w:ind w:firstLine="640"/>
        <w:rPr>
          <w:rFonts w:eastAsia="仿宋_GB2312" w:cs="Times New Roman"/>
        </w:rPr>
      </w:pPr>
      <w:r>
        <w:rPr>
          <w:rFonts w:eastAsia="仿宋_GB2312" w:cs="Times New Roman"/>
        </w:rPr>
        <w:t>（4）提升保护执法监管</w:t>
      </w:r>
    </w:p>
    <w:p>
      <w:pPr>
        <w:spacing w:line="560" w:lineRule="exact"/>
        <w:ind w:firstLine="640"/>
        <w:rPr>
          <w:rFonts w:eastAsia="仿宋_GB2312" w:cs="Times New Roman"/>
        </w:rPr>
      </w:pPr>
      <w:r>
        <w:rPr>
          <w:rFonts w:eastAsia="仿宋_GB2312" w:cs="Times New Roman"/>
        </w:rPr>
        <w:t>建立与公安、工商、海关等执法部门的执法协调机制，全力打击非法经营利用野生动植物及其产品等违法违规活动和行为。重点加强自然保护区、森林公园等自然保护地、野生动植物繁育利用及消费较集中的区域和野生动植物及其产品流通集散地、经销单位的日常检查和对市场的巡查。</w:t>
      </w:r>
    </w:p>
    <w:p>
      <w:pPr>
        <w:spacing w:line="560" w:lineRule="exact"/>
        <w:ind w:firstLine="640"/>
        <w:rPr>
          <w:rFonts w:eastAsia="仿宋_GB2312" w:cs="Times New Roman"/>
        </w:rPr>
      </w:pPr>
      <w:r>
        <w:rPr>
          <w:rFonts w:eastAsia="仿宋_GB2312" w:cs="Times New Roman"/>
        </w:rPr>
        <w:t>2.开展生态建设和修复</w:t>
      </w:r>
    </w:p>
    <w:p>
      <w:pPr>
        <w:spacing w:line="560" w:lineRule="exact"/>
        <w:ind w:firstLine="640"/>
        <w:rPr>
          <w:rFonts w:eastAsia="仿宋_GB2312" w:cs="Times New Roman"/>
        </w:rPr>
      </w:pPr>
      <w:r>
        <w:rPr>
          <w:rFonts w:eastAsia="仿宋_GB2312" w:cs="Times New Roman"/>
        </w:rPr>
        <w:t>（1）加强重点生态功能区生态环境保护</w:t>
      </w:r>
    </w:p>
    <w:p>
      <w:pPr>
        <w:spacing w:line="560" w:lineRule="exact"/>
        <w:ind w:firstLine="640"/>
        <w:rPr>
          <w:rFonts w:eastAsia="仿宋_GB2312" w:cs="Times New Roman"/>
        </w:rPr>
      </w:pPr>
      <w:r>
        <w:rPr>
          <w:rFonts w:eastAsia="仿宋_GB2312" w:cs="Times New Roman"/>
        </w:rPr>
        <w:t>加快生态建设和保护，形成以北部三县山区生态林为主体、柳江流域防护林为屏障、自然保护区为支撑的柳州生态安全格局，实现防护林面积、森林覆盖率、生态功能有序增长协调发展，保持森林覆盖率达到并稳定在65％以上。</w:t>
      </w:r>
    </w:p>
    <w:p>
      <w:pPr>
        <w:spacing w:line="560" w:lineRule="exact"/>
        <w:ind w:firstLine="640"/>
        <w:rPr>
          <w:rFonts w:eastAsia="仿宋_GB2312" w:cs="Times New Roman"/>
        </w:rPr>
      </w:pPr>
      <w:r>
        <w:rPr>
          <w:rFonts w:eastAsia="仿宋_GB2312" w:cs="Times New Roman"/>
        </w:rPr>
        <w:t>（2）切实加强公益林保护管理</w:t>
      </w:r>
    </w:p>
    <w:p>
      <w:pPr>
        <w:spacing w:line="560" w:lineRule="exact"/>
        <w:ind w:firstLine="640"/>
        <w:rPr>
          <w:rFonts w:eastAsia="仿宋_GB2312" w:cs="Times New Roman"/>
        </w:rPr>
      </w:pPr>
      <w:r>
        <w:rPr>
          <w:rFonts w:eastAsia="仿宋_GB2312" w:cs="Times New Roman"/>
        </w:rPr>
        <w:t>实行最严格的公益林管护制度，加大投资提高重点公益林建设管理水平，继续加强对33万公顷重点生态公益林的管护，进一步完善责、权、利相统一的管护机制，采取联户、专业承包管护、委托管护等形式，落实生态公益林的管护主体、管护责任。</w:t>
      </w:r>
    </w:p>
    <w:p>
      <w:pPr>
        <w:spacing w:line="560" w:lineRule="exact"/>
        <w:ind w:firstLine="640"/>
        <w:rPr>
          <w:rFonts w:eastAsia="仿宋_GB2312" w:cs="Times New Roman"/>
        </w:rPr>
      </w:pPr>
      <w:r>
        <w:rPr>
          <w:rFonts w:eastAsia="仿宋_GB2312" w:cs="Times New Roman"/>
        </w:rPr>
        <w:t>（3）提升造林绿化水平</w:t>
      </w:r>
    </w:p>
    <w:p>
      <w:pPr>
        <w:spacing w:line="560" w:lineRule="exact"/>
        <w:ind w:firstLine="640"/>
        <w:rPr>
          <w:rFonts w:eastAsia="仿宋_GB2312" w:cs="Times New Roman"/>
        </w:rPr>
      </w:pPr>
      <w:r>
        <w:rPr>
          <w:rFonts w:eastAsia="仿宋_GB2312" w:cs="Times New Roman"/>
        </w:rPr>
        <w:t>以实施珠江防护林工程、石漠化综合治理工程等林业重点生态工程项目为抓手，采取封山育林、植树种草等生物措施，积极营造水土保持林和水源涵养林，全面提升森林质量及生态服务功能。全面推进城乡造林绿化一体化，通过加快推进城镇、村屯绿化，提高绿化率；通过村屯绿化示范，全面建设生态乡村。</w:t>
      </w:r>
    </w:p>
    <w:p>
      <w:pPr>
        <w:spacing w:line="560" w:lineRule="exact"/>
        <w:ind w:firstLine="640"/>
        <w:rPr>
          <w:rFonts w:eastAsia="仿宋_GB2312" w:cs="Times New Roman"/>
        </w:rPr>
      </w:pPr>
      <w:r>
        <w:rPr>
          <w:rFonts w:eastAsia="仿宋_GB2312" w:cs="Times New Roman"/>
        </w:rPr>
        <w:t>（4）恢复矿山生态环境</w:t>
      </w:r>
    </w:p>
    <w:p>
      <w:pPr>
        <w:spacing w:line="560" w:lineRule="exact"/>
        <w:ind w:firstLine="640"/>
        <w:rPr>
          <w:rFonts w:cs="Times New Roman"/>
          <w:szCs w:val="28"/>
        </w:rPr>
      </w:pPr>
      <w:r>
        <w:rPr>
          <w:rFonts w:eastAsia="仿宋_GB2312" w:cs="Times New Roman"/>
        </w:rPr>
        <w:t>坚持预防为主、防治结合和谁开发谁保护、谁破坏谁治理、谁投资谁受益的原则，严格落实地方政府、矿业权人矿山地质环境保护和土地复垦责任，推进第三方专业治理，形成“源头预防、过程控制、损害恢复、责任追究”的保护责任制度体系，加强对矿山地质环境和土地资源保护。重点开展融安县板桥至鹿寨县响水铁矿地质环境治理土地复垦（整理）工程、柳州至鹿寨段建材及其它非金属矿山地质环境治理土地复垦工程、融安县泗顶铅锌矿矿山地质环境治理及土地复垦工程、柳州市六座锰矿矿山地质环境治理及土地复垦工程、柳州市采石场整治及山体修复绿化工程等矿山生态恢复工程。</w:t>
      </w:r>
    </w:p>
    <w:p>
      <w:pPr>
        <w:pStyle w:val="5"/>
        <w:spacing w:line="560" w:lineRule="exact"/>
        <w:ind w:firstLine="640"/>
        <w:rPr>
          <w:rFonts w:eastAsia="楷体_GB2312" w:cs="Times New Roman"/>
        </w:rPr>
      </w:pPr>
      <w:r>
        <w:rPr>
          <w:rFonts w:eastAsia="楷体_GB2312" w:cs="Times New Roman"/>
        </w:rPr>
        <w:t>（三）防范环境风险</w:t>
      </w:r>
    </w:p>
    <w:p>
      <w:pPr>
        <w:spacing w:line="560" w:lineRule="exact"/>
        <w:ind w:firstLine="640"/>
        <w:rPr>
          <w:rFonts w:eastAsia="仿宋_GB2312" w:cs="Times New Roman"/>
        </w:rPr>
      </w:pPr>
      <w:r>
        <w:rPr>
          <w:rFonts w:eastAsia="仿宋_GB2312" w:cs="Times New Roman"/>
        </w:rPr>
        <w:t>1.严控重金属行业企业污染</w:t>
      </w:r>
    </w:p>
    <w:p>
      <w:pPr>
        <w:pStyle w:val="23"/>
        <w:widowControl/>
        <w:spacing w:line="560" w:lineRule="exact"/>
        <w:ind w:left="0" w:leftChars="0" w:firstLine="640"/>
        <w:rPr>
          <w:rFonts w:eastAsia="方正仿宋_GBK"/>
          <w:sz w:val="32"/>
          <w:szCs w:val="28"/>
        </w:rPr>
      </w:pPr>
      <w:r>
        <w:rPr>
          <w:rFonts w:eastAsia="仿宋_GB2312"/>
          <w:sz w:val="32"/>
        </w:rPr>
        <w:t>加强涉重金属行业排查和整治，建立涉及重金属重点行业企业清单，分解落实减排指标和措施。明确各县区（开发区）重点行业、重点重金属污染物排放量年度控制目标，严格涉重金属行业准入，新（改、扩）建涉重金属项目执行重金属污染物排放“减量置换”或“等量置换”。加快涉重金属产业结构调整，依法淘汰落后产能，加快推进“退城入园”。扎实推进土壤及重金属污染防治项目。实施历史遗留尾矿库整治，到2020年，全市尾矿库整治率不低于60%。</w:t>
      </w:r>
    </w:p>
    <w:p>
      <w:pPr>
        <w:spacing w:line="560" w:lineRule="exact"/>
        <w:ind w:firstLine="640"/>
        <w:rPr>
          <w:rFonts w:eastAsia="仿宋_GB2312" w:cs="Times New Roman"/>
        </w:rPr>
      </w:pPr>
      <w:r>
        <w:rPr>
          <w:rFonts w:eastAsia="仿宋_GB2312" w:cs="Times New Roman"/>
        </w:rPr>
        <w:t>2.安全处置医疗废物和危险废物</w:t>
      </w:r>
    </w:p>
    <w:p>
      <w:pPr>
        <w:spacing w:line="560" w:lineRule="exact"/>
        <w:ind w:firstLine="640"/>
        <w:rPr>
          <w:rFonts w:eastAsia="仿宋_GB2312" w:cs="Times New Roman"/>
        </w:rPr>
      </w:pPr>
      <w:r>
        <w:rPr>
          <w:rFonts w:eastAsia="仿宋_GB2312" w:cs="Times New Roman"/>
        </w:rPr>
        <w:t>实施危险废物经营许可、转移等管理制度，建立信息化监管体系，实施全过程监管，提升危险废物处置处理能力。严格医疗废物安全处理处置。开展废矿物油、废铅酸蓄电池等相关行业联合执法整治行动，严厉打击危险废物非法跨界转移、倾倒等违法犯罪活动。严格限制高风险化学品生产、使用、进出口，并逐步淘汰、替代。2020年，危险废物利用处置率达到100%。同时加</w:t>
      </w:r>
      <w:r>
        <w:rPr>
          <w:rFonts w:hint="eastAsia" w:eastAsia="仿宋_GB2312" w:cs="Times New Roman"/>
        </w:rPr>
        <w:t>强</w:t>
      </w:r>
      <w:r>
        <w:rPr>
          <w:rFonts w:eastAsia="仿宋_GB2312" w:cs="Times New Roman"/>
        </w:rPr>
        <w:t>监督管理，确保2025年稳定达标。</w:t>
      </w:r>
    </w:p>
    <w:p>
      <w:pPr>
        <w:spacing w:line="560" w:lineRule="exact"/>
        <w:ind w:firstLine="640"/>
        <w:rPr>
          <w:rFonts w:eastAsia="仿宋_GB2312" w:cs="Times New Roman"/>
        </w:rPr>
      </w:pPr>
      <w:r>
        <w:rPr>
          <w:rFonts w:eastAsia="仿宋_GB2312" w:cs="Times New Roman"/>
        </w:rPr>
        <w:t>3.加强污染场地监管</w:t>
      </w:r>
    </w:p>
    <w:p>
      <w:pPr>
        <w:pStyle w:val="23"/>
        <w:widowControl/>
        <w:spacing w:line="560" w:lineRule="exact"/>
        <w:ind w:left="0" w:leftChars="0" w:firstLine="640"/>
        <w:rPr>
          <w:rFonts w:eastAsia="方正仿宋_GBK"/>
          <w:sz w:val="32"/>
          <w:szCs w:val="28"/>
        </w:rPr>
      </w:pPr>
      <w:r>
        <w:rPr>
          <w:rFonts w:eastAsia="仿宋_GB2312"/>
          <w:sz w:val="32"/>
        </w:rPr>
        <w:t>健全污染场地环境全过程监管体系，制定污染场地环境风险防范的调查、监测、评估、修复等相关管理制度和政策措施，加强疑似污染地块和污染地块相关活动的监督管理，形成污染场地多部门联合监管工作机制，确保没有污染场地风险事故发生。</w:t>
      </w:r>
    </w:p>
    <w:p>
      <w:pPr>
        <w:spacing w:line="560" w:lineRule="exact"/>
        <w:ind w:firstLine="640"/>
        <w:rPr>
          <w:rFonts w:eastAsia="仿宋_GB2312" w:cs="Times New Roman"/>
        </w:rPr>
      </w:pPr>
      <w:r>
        <w:rPr>
          <w:rFonts w:eastAsia="仿宋_GB2312" w:cs="Times New Roman"/>
        </w:rPr>
        <w:t>4.防范重特大突发环境事件</w:t>
      </w:r>
    </w:p>
    <w:p>
      <w:pPr>
        <w:pStyle w:val="23"/>
        <w:widowControl/>
        <w:spacing w:line="560" w:lineRule="exact"/>
        <w:ind w:left="0" w:leftChars="0" w:firstLine="640"/>
        <w:rPr>
          <w:rFonts w:eastAsia="方正仿宋_GBK"/>
          <w:sz w:val="32"/>
          <w:szCs w:val="28"/>
        </w:rPr>
      </w:pPr>
      <w:r>
        <w:rPr>
          <w:rFonts w:eastAsia="仿宋_GB2312"/>
          <w:sz w:val="32"/>
          <w:szCs w:val="32"/>
        </w:rPr>
        <w:t>建立突发生态环境事件应急管理机制，</w:t>
      </w:r>
      <w:r>
        <w:rPr>
          <w:rFonts w:eastAsia="仿宋_GB2312"/>
          <w:sz w:val="32"/>
        </w:rPr>
        <w:t>切实强化工作机制，全面提高应对突发环境事件的能力和水平，坚决防范遏制重特大突发环境事件。强化企业、政府及相关部门环境保护责任，严格落实应急预案各项措施。部署环境安全隐患大排查，持续排查消除各类环境安全隐患。深化重点领域、重点行业环境风险防控，加快推进环境应急管理能力建设，做好突发环境事件预防应对的各项工作。</w:t>
      </w:r>
    </w:p>
    <w:p>
      <w:pPr>
        <w:pStyle w:val="4"/>
        <w:spacing w:line="560" w:lineRule="exact"/>
        <w:ind w:firstLine="640"/>
        <w:rPr>
          <w:b w:val="0"/>
          <w:bCs w:val="0"/>
        </w:rPr>
      </w:pPr>
      <w:bookmarkStart w:id="148" w:name="_Toc4891"/>
      <w:bookmarkStart w:id="149" w:name="_Toc12046"/>
      <w:bookmarkStart w:id="150" w:name="_Toc15802"/>
      <w:bookmarkStart w:id="151" w:name="_Toc11092"/>
      <w:bookmarkStart w:id="152" w:name="_Toc3788"/>
      <w:bookmarkStart w:id="153" w:name="_Toc2393"/>
      <w:bookmarkStart w:id="154" w:name="_Toc19573"/>
      <w:r>
        <w:rPr>
          <w:rFonts w:hint="eastAsia"/>
          <w:b w:val="0"/>
          <w:bCs w:val="0"/>
        </w:rPr>
        <w:t>四、践行绿色的生态生活</w:t>
      </w:r>
      <w:bookmarkEnd w:id="148"/>
      <w:bookmarkEnd w:id="149"/>
      <w:bookmarkEnd w:id="150"/>
      <w:bookmarkEnd w:id="151"/>
      <w:bookmarkEnd w:id="152"/>
      <w:bookmarkEnd w:id="153"/>
      <w:bookmarkEnd w:id="154"/>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（一）推进城乡环境一体化建设</w:t>
      </w:r>
    </w:p>
    <w:p>
      <w:pPr>
        <w:spacing w:line="560" w:lineRule="exact"/>
        <w:ind w:firstLine="640"/>
        <w:rPr>
          <w:rFonts w:eastAsia="仿宋_GB2312" w:cs="Times New Roman"/>
        </w:rPr>
      </w:pPr>
      <w:r>
        <w:rPr>
          <w:rFonts w:eastAsia="仿宋_GB2312" w:cs="Times New Roman"/>
        </w:rPr>
        <w:t>1.加强城乡公共服务设施一体化建设</w:t>
      </w:r>
    </w:p>
    <w:p>
      <w:pPr>
        <w:spacing w:line="560" w:lineRule="exact"/>
        <w:ind w:firstLine="640"/>
        <w:rPr>
          <w:rFonts w:eastAsia="仿宋_GB2312" w:cs="Times New Roman"/>
        </w:rPr>
      </w:pPr>
      <w:r>
        <w:rPr>
          <w:rFonts w:eastAsia="仿宋_GB2312" w:cs="Times New Roman"/>
        </w:rPr>
        <w:t>（1）保障饮用水安全</w:t>
      </w:r>
    </w:p>
    <w:p>
      <w:pPr>
        <w:spacing w:line="560" w:lineRule="exact"/>
        <w:ind w:firstLine="640"/>
        <w:rPr>
          <w:rFonts w:eastAsia="仿宋_GB2312" w:cs="Times New Roman"/>
        </w:rPr>
      </w:pPr>
      <w:r>
        <w:rPr>
          <w:rFonts w:eastAsia="仿宋_GB2312" w:cs="Times New Roman"/>
        </w:rPr>
        <w:t>加强从水源到水龙头水质全过程监管，推进集中式饮用水水源环境保护规范化建设，全面排查和整治县级及以上城市饮用水水源保护区内的违法违规行为，2019年底全面完成县级及以上城市地表水饮用水水源地环境保护专项整治。建立健全饮用水水源保护长效管理机制，定期开展集中式饮用水源地环境状况调查评估，深入实施饮用水源地专项整治；加强农村饮用水源地规范化建设，加快保护区标志和防护隔离设施的设置，重点治理影响饮用水安全的农村小河和小沟的恶臭水体，保障农村饮水安全。加强饮用水源地环境监测、监控能力和应急能力建设，加强日常执法监管，严厉打击破坏饮用水水源地的环境违法行为。逐步关停柳南、柳东、城中三座水厂，加快推进柳东新区水厂、古偿河水库、古偿河原水输水管线工程建设，开工建设新柳北水厂，扩建柳西水厂，通过给水管网相互连通，形成安全可靠的城市供水体系。到2025年，集中式饮用水水源地水质优良比例稳定达100%。</w:t>
      </w:r>
    </w:p>
    <w:p>
      <w:pPr>
        <w:spacing w:line="560" w:lineRule="exact"/>
        <w:ind w:firstLine="640"/>
        <w:rPr>
          <w:rFonts w:eastAsia="仿宋_GB2312" w:cs="Times New Roman"/>
        </w:rPr>
      </w:pPr>
      <w:r>
        <w:rPr>
          <w:rFonts w:eastAsia="仿宋_GB2312" w:cs="Times New Roman"/>
        </w:rPr>
        <w:t>（2）积极创建海绵城市</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统筹发挥自然生态功能和人工干预功能，控制雨水径流，实现自然积存、自然渗透、自然净化的城市发展方式。加快城市防洪排涝系统建设，推进建设落久、洋溪水利枢纽工程，开展中小河流治理、中小水库除险治理，加快建设白露堤、阳和堤、官塘提等防洪堤项目，建设各县城区防洪排涝工程。加强城市排水管理，保障城市排水畅通，对容易造成内涝的路段和支、干渠进行清淤疏通及改造。按照地形地貌、降雨量、污水量和水环境等要求合理并适当超前设计新建道路排水系统。</w:t>
      </w:r>
    </w:p>
    <w:p>
      <w:pPr>
        <w:spacing w:line="560" w:lineRule="exact"/>
        <w:ind w:firstLine="640"/>
        <w:rPr>
          <w:rFonts w:eastAsia="仿宋_GB2312" w:cs="Times New Roman"/>
        </w:rPr>
      </w:pPr>
      <w:r>
        <w:rPr>
          <w:rFonts w:eastAsia="仿宋_GB2312" w:cs="Times New Roman"/>
        </w:rPr>
        <w:t>（3）加强城乡信息基础设施建设</w:t>
      </w:r>
    </w:p>
    <w:p>
      <w:pPr>
        <w:spacing w:line="560" w:lineRule="exact"/>
        <w:ind w:firstLine="640"/>
        <w:rPr>
          <w:rFonts w:eastAsia="仿宋_GB2312" w:cs="Times New Roman"/>
        </w:rPr>
      </w:pPr>
      <w:r>
        <w:rPr>
          <w:rFonts w:eastAsia="仿宋_GB2312" w:cs="Times New Roman"/>
        </w:rPr>
        <w:t>合理布局通信光缆、通信局房、基站等各类通信设施。推动光缆入乡、入村、入户，突出解决城乡宽带网络建设“最后一公里”问题。以宽带城域网提速为基础，完善无线宽带网络，提高全市网络覆盖率和传输能力。</w:t>
      </w:r>
    </w:p>
    <w:p>
      <w:pPr>
        <w:spacing w:line="560" w:lineRule="exact"/>
        <w:ind w:firstLine="640"/>
        <w:rPr>
          <w:rFonts w:eastAsia="仿宋_GB2312" w:cs="Times New Roman"/>
        </w:rPr>
      </w:pPr>
      <w:r>
        <w:rPr>
          <w:rFonts w:eastAsia="仿宋_GB2312" w:cs="Times New Roman"/>
        </w:rPr>
        <w:t>（4）加快建设信息网络平台</w:t>
      </w:r>
    </w:p>
    <w:p>
      <w:pPr>
        <w:spacing w:line="560" w:lineRule="exact"/>
        <w:ind w:firstLine="640"/>
        <w:rPr>
          <w:rFonts w:eastAsia="仿宋_GB2312" w:cs="Times New Roman"/>
        </w:rPr>
      </w:pPr>
      <w:r>
        <w:rPr>
          <w:rFonts w:eastAsia="仿宋_GB2312" w:cs="Times New Roman"/>
        </w:rPr>
        <w:t>有序推进“通信、互联、物联”三网建设，推动电信网、广播电视网和互联网“三网融合”。依托柳州大数据建设平台，进一步完善政府门户网站，力争到2020年建成集系统网络平台、系统安全平台、应用服务平台、管理服务平台、信息发布平台、办公自动化平台、行政审批办证业务平台为一体的开放型政府电子政务专网平台。</w:t>
      </w:r>
    </w:p>
    <w:p>
      <w:pPr>
        <w:spacing w:line="560" w:lineRule="exact"/>
        <w:ind w:firstLine="640"/>
        <w:rPr>
          <w:rFonts w:eastAsia="仿宋_GB2312" w:cs="Times New Roman"/>
        </w:rPr>
      </w:pPr>
      <w:r>
        <w:rPr>
          <w:rFonts w:eastAsia="仿宋_GB2312" w:cs="Times New Roman"/>
        </w:rPr>
        <w:t>2.加快城乡绿化建设</w:t>
      </w:r>
    </w:p>
    <w:p>
      <w:pPr>
        <w:adjustRightInd w:val="0"/>
        <w:snapToGrid w:val="0"/>
        <w:spacing w:line="560" w:lineRule="exact"/>
        <w:ind w:firstLine="640"/>
        <w:rPr>
          <w:rFonts w:cs="Times New Roman"/>
          <w:kern w:val="0"/>
          <w:szCs w:val="32"/>
        </w:rPr>
      </w:pPr>
      <w:r>
        <w:rPr>
          <w:rFonts w:eastAsia="仿宋_GB2312" w:cs="Times New Roman"/>
        </w:rPr>
        <w:t>推进城乡绿化工程。加强重点区域的城市设计，显山露水，开窗见绿，建设“天蓝、地绿、山清、水秀、气爽、路畅、城洁、人和”的宜居型山水园林城市。开展全民绿化美化家园活动，实施社区绿化、庭院美化工程；加强城区园林建设与改造，深入开展创建园林式单位和优美校园活动，实施街路两侧绿化，增加城镇人均公园绿地面积；加快农村绿色家园建设，加强村庄周边植树绿化，提高城镇、村庄绿化率，提高绿化覆盖率，形成空间变化的绿化系统。加强公园绿地建设力度，开展公园建设及道路绿化工程，增加公园绿化面积，达到城镇人均公园绿地面积≥15平方米/人的指标要求。</w:t>
      </w:r>
    </w:p>
    <w:p>
      <w:pPr>
        <w:spacing w:line="560" w:lineRule="exact"/>
        <w:ind w:firstLine="640"/>
        <w:rPr>
          <w:rFonts w:eastAsia="仿宋_GB2312" w:cs="Times New Roman"/>
        </w:rPr>
      </w:pPr>
      <w:r>
        <w:rPr>
          <w:rFonts w:eastAsia="仿宋_GB2312" w:cs="Times New Roman"/>
        </w:rPr>
        <w:t>3.强化城乡环境综合整治</w:t>
      </w:r>
    </w:p>
    <w:p>
      <w:pPr>
        <w:spacing w:line="560" w:lineRule="exact"/>
        <w:ind w:firstLine="640"/>
        <w:rPr>
          <w:rFonts w:eastAsia="仿宋_GB2312" w:cs="Times New Roman"/>
        </w:rPr>
      </w:pPr>
      <w:r>
        <w:rPr>
          <w:rFonts w:eastAsia="仿宋_GB2312" w:cs="Times New Roman"/>
        </w:rPr>
        <w:t>（1）加强城镇污水处理设施建设及稳定运行</w:t>
      </w:r>
    </w:p>
    <w:p>
      <w:pPr>
        <w:spacing w:line="560" w:lineRule="exact"/>
        <w:ind w:firstLine="640"/>
        <w:rPr>
          <w:rFonts w:eastAsia="仿宋_GB2312" w:cs="Times New Roman"/>
        </w:rPr>
      </w:pPr>
      <w:r>
        <w:rPr>
          <w:rFonts w:eastAsia="仿宋_GB2312" w:cs="Times New Roman"/>
        </w:rPr>
        <w:t>贯彻落实自治区城镇污水处理“提质增效”三年行动要求，加快补齐城镇污水收集和设施短板，逐步实现污水管网全覆盖、全收集、全处理。加快推进白沙污水处理厂、龙泉山污水处理厂等市级污水处理厂一级A提标改造，完善污水收集管网，推进乡镇污水处理系统的建设。到2020年，全市城镇污水处理率达到95%。加强污水处理设施的日常运行环境监督管理、设施维修维护和运行管理，确保污水处理设施的稳定有效运行，通过升级改造，逐步提高污水处理厂深度处理能力，着重强化脱氮除磷效果，提高污水处理厂运行负荷率。到2025年，城镇污水处理率稳定</w:t>
      </w:r>
      <w:r>
        <w:rPr>
          <w:rFonts w:hint="eastAsia" w:eastAsia="仿宋_GB2312" w:cs="Times New Roman"/>
        </w:rPr>
        <w:t>达</w:t>
      </w:r>
      <w:r>
        <w:rPr>
          <w:rFonts w:eastAsia="仿宋_GB2312" w:cs="Times New Roman"/>
        </w:rPr>
        <w:t>考核要求。</w:t>
      </w:r>
    </w:p>
    <w:p>
      <w:pPr>
        <w:spacing w:line="560" w:lineRule="exact"/>
        <w:ind w:firstLine="640"/>
        <w:rPr>
          <w:rFonts w:eastAsia="仿宋_GB2312" w:cs="Times New Roman"/>
        </w:rPr>
      </w:pPr>
      <w:r>
        <w:rPr>
          <w:rFonts w:eastAsia="仿宋_GB2312" w:cs="Times New Roman"/>
        </w:rPr>
        <w:t>（2）加大城镇生活垃圾无害化处理力度</w:t>
      </w:r>
    </w:p>
    <w:p>
      <w:pPr>
        <w:spacing w:line="560" w:lineRule="exact"/>
        <w:ind w:firstLine="640"/>
        <w:rPr>
          <w:rFonts w:ascii="仿宋_GB2312" w:hAnsi="仿宋_GB2312" w:eastAsia="仿宋_GB2312" w:cs="仿宋_GB2312"/>
        </w:rPr>
      </w:pPr>
      <w:r>
        <w:rPr>
          <w:rFonts w:eastAsia="仿宋_GB2312" w:cs="Times New Roman"/>
        </w:rPr>
        <w:t>完善市、县生活垃圾处置设施以及村镇垃圾收集、转运、处理设施建设，完善垃圾收运体系与运行管理。开展垃圾分类收集、处理试点工作，创新垃圾分类奖励机制和监督制约机制，形成统一完整、协同高效的垃圾分类收集、运输、资源化利用和终端处</w:t>
      </w:r>
      <w:r>
        <w:rPr>
          <w:rFonts w:hint="eastAsia" w:ascii="仿宋_GB2312" w:hAnsi="仿宋_GB2312" w:eastAsia="仿宋_GB2312" w:cs="仿宋_GB2312"/>
        </w:rPr>
        <w:t>置的全过程管理体系。妥善处置垃圾渗滤液。</w:t>
      </w:r>
    </w:p>
    <w:p>
      <w:pPr>
        <w:spacing w:line="560" w:lineRule="exact"/>
        <w:ind w:firstLine="640"/>
        <w:rPr>
          <w:rFonts w:eastAsia="仿宋_GB2312" w:cs="Times New Roman"/>
        </w:rPr>
      </w:pPr>
      <w:r>
        <w:rPr>
          <w:rFonts w:eastAsia="仿宋_GB2312" w:cs="Times New Roman"/>
        </w:rPr>
        <w:t>（3）实施农村环境综合治理</w:t>
      </w:r>
    </w:p>
    <w:p>
      <w:pPr>
        <w:spacing w:line="560" w:lineRule="exact"/>
        <w:ind w:firstLine="640"/>
        <w:rPr>
          <w:rFonts w:eastAsia="仿宋_GB2312" w:cs="Times New Roman"/>
        </w:rPr>
      </w:pPr>
      <w:r>
        <w:rPr>
          <w:rFonts w:eastAsia="仿宋_GB2312" w:cs="Times New Roman"/>
        </w:rPr>
        <w:t>结合乡村振兴战略，持续开展农村人居环境整治行动，实现全市行政村环境整治全覆盖。到2020年，农村人居环境明显改善，村庄环境基本干净整洁有序。到2025年，农村人居环境持续改善，在全区起到典型示范作用。</w:t>
      </w:r>
    </w:p>
    <w:p>
      <w:pPr>
        <w:spacing w:line="560" w:lineRule="exact"/>
        <w:ind w:firstLine="640"/>
        <w:rPr>
          <w:rFonts w:eastAsia="仿宋_GB2312" w:cs="Times New Roman"/>
        </w:rPr>
      </w:pPr>
      <w:r>
        <w:rPr>
          <w:rFonts w:eastAsia="仿宋_GB2312" w:cs="Times New Roman"/>
        </w:rPr>
        <w:t>（4）控制农业生产面源污染</w:t>
      </w:r>
    </w:p>
    <w:p>
      <w:pPr>
        <w:spacing w:line="560" w:lineRule="exact"/>
        <w:ind w:firstLine="640"/>
        <w:rPr>
          <w:rFonts w:eastAsia="仿宋_GB2312" w:cs="Times New Roman"/>
        </w:rPr>
      </w:pPr>
      <w:r>
        <w:rPr>
          <w:rFonts w:eastAsia="仿宋_GB2312" w:cs="Times New Roman"/>
        </w:rPr>
        <w:t>严格执行化肥农药等农业投入品质标准，推进有机肥替代化肥、病虫害绿色防控替代化学防治和废弃农膜回收，完善废旧地膜和包装废弃物等回收处理制度。到2020年，化肥农药使用量实现零增长。充分发挥沼气池的作用，就地就近消纳利用畜禽养殖废弃物。到2020年，全市畜禽粪污综合利用率达到75%以上，规模养殖场粪污处理设施装备配套率达到95%以上。</w:t>
      </w:r>
    </w:p>
    <w:p>
      <w:pPr>
        <w:spacing w:line="560" w:lineRule="exact"/>
        <w:ind w:firstLine="640"/>
        <w:rPr>
          <w:rFonts w:eastAsia="仿宋_GB2312" w:cs="Times New Roman"/>
        </w:rPr>
      </w:pPr>
      <w:r>
        <w:rPr>
          <w:rFonts w:eastAsia="仿宋_GB2312" w:cs="Times New Roman"/>
        </w:rPr>
        <w:t>（5）加强农村工业污染防治</w:t>
      </w:r>
    </w:p>
    <w:p>
      <w:pPr>
        <w:spacing w:line="560" w:lineRule="exact"/>
        <w:ind w:firstLine="640"/>
        <w:rPr>
          <w:rFonts w:eastAsia="仿宋_GB2312" w:cs="Times New Roman"/>
        </w:rPr>
      </w:pPr>
      <w:r>
        <w:rPr>
          <w:rFonts w:eastAsia="仿宋_GB2312" w:cs="Times New Roman"/>
        </w:rPr>
        <w:t>发展适合本地资源优势和环境容量的特色产业，严防高消耗和重污染的落后工业向农村转移。加强乡镇企业的环境管理，鼓励乡镇企业集约化，引进高新科技，淘汰落后设备，推行清洁生产，污染集中治理，对污染严重的企业限期整改或关、停、并、转，确保污染物全部达标排放。</w:t>
      </w:r>
    </w:p>
    <w:p>
      <w:pPr>
        <w:spacing w:line="560" w:lineRule="exact"/>
        <w:ind w:firstLine="640"/>
        <w:rPr>
          <w:rFonts w:eastAsia="仿宋_GB2312" w:cs="Times New Roman"/>
        </w:rPr>
      </w:pPr>
      <w:r>
        <w:rPr>
          <w:rFonts w:eastAsia="仿宋_GB2312" w:cs="Times New Roman"/>
        </w:rPr>
        <w:t>4.持续推进生态示范区创建</w:t>
      </w:r>
    </w:p>
    <w:p>
      <w:pPr>
        <w:spacing w:line="560" w:lineRule="exact"/>
        <w:ind w:firstLine="640"/>
        <w:rPr>
          <w:rFonts w:eastAsia="仿宋_GB2312" w:cs="Times New Roman"/>
        </w:rPr>
      </w:pPr>
      <w:r>
        <w:rPr>
          <w:rFonts w:eastAsia="仿宋_GB2312" w:cs="Times New Roman"/>
        </w:rPr>
        <w:t>结合国家和自治区生态文明建设示范区创建要求，每年有计划地推进国家级生态文明建设示范区、自治区级生态县的创建工作。到2020年，鹿寨县力争创建国家级生态文明建设示范县，融安县、融水苗族自治县力争创建自治区级生态县，即创建自治区级生态县达5个；到2025年，柳城县、融水苗族自治县、柳江区、融安县力争创建国家级生态文明建设示范县。</w:t>
      </w:r>
    </w:p>
    <w:p>
      <w:pPr>
        <w:pStyle w:val="5"/>
        <w:spacing w:line="560" w:lineRule="exact"/>
        <w:ind w:firstLine="640"/>
        <w:rPr>
          <w:rFonts w:eastAsia="楷体_GB2312" w:cs="Times New Roman"/>
        </w:rPr>
      </w:pPr>
      <w:r>
        <w:rPr>
          <w:rFonts w:eastAsia="楷体_GB2312" w:cs="Times New Roman"/>
        </w:rPr>
        <w:t>（二）推进生活方式绿色化</w:t>
      </w:r>
    </w:p>
    <w:p>
      <w:pPr>
        <w:spacing w:line="560" w:lineRule="exact"/>
        <w:ind w:firstLine="640"/>
        <w:rPr>
          <w:rFonts w:eastAsia="仿宋_GB2312" w:cs="Times New Roman"/>
        </w:rPr>
      </w:pPr>
      <w:r>
        <w:rPr>
          <w:rFonts w:eastAsia="仿宋_GB2312" w:cs="Times New Roman"/>
        </w:rPr>
        <w:t>1.推广绿色建筑</w:t>
      </w:r>
    </w:p>
    <w:p>
      <w:pPr>
        <w:spacing w:line="560" w:lineRule="exact"/>
        <w:ind w:firstLine="640"/>
        <w:rPr>
          <w:rFonts w:eastAsia="仿宋_GB2312" w:cs="Times New Roman"/>
        </w:rPr>
      </w:pPr>
      <w:r>
        <w:rPr>
          <w:rFonts w:eastAsia="仿宋_GB2312" w:cs="Times New Roman"/>
        </w:rPr>
        <w:t>（1）大力推广绿色建筑</w:t>
      </w:r>
    </w:p>
    <w:p>
      <w:pPr>
        <w:spacing w:line="560" w:lineRule="exact"/>
        <w:ind w:firstLine="640"/>
        <w:rPr>
          <w:rFonts w:eastAsia="仿宋_GB2312" w:cs="Times New Roman"/>
        </w:rPr>
      </w:pPr>
      <w:r>
        <w:rPr>
          <w:rFonts w:eastAsia="仿宋_GB2312" w:cs="Times New Roman"/>
        </w:rPr>
        <w:t>城市规划区内新建民用建筑全面执行绿色建筑标准，使用财政性投资建设的国家机关办公建筑、大型公共建筑按照二星级及以上绿色建筑标准建设。鼓励有条件的单位、地区执行更高的节能标准，房地产开发企业打造绿色住宅小区，按照基本级以上绿色建筑标准建设，扶持和鼓励在新建建筑和既有建筑节能改造中采用太阳能等可再生能源。推进城镇新建绿色建筑工作，规划期间，城镇新建绿色建筑比例能达到50%的规划目标要求。</w:t>
      </w:r>
    </w:p>
    <w:p>
      <w:pPr>
        <w:spacing w:line="560" w:lineRule="exact"/>
        <w:ind w:firstLine="640"/>
        <w:rPr>
          <w:rFonts w:eastAsia="仿宋_GB2312" w:cs="Times New Roman"/>
        </w:rPr>
      </w:pPr>
      <w:r>
        <w:rPr>
          <w:rFonts w:eastAsia="仿宋_GB2312" w:cs="Times New Roman"/>
        </w:rPr>
        <w:t>（2）开展既有居住建筑节能改造</w:t>
      </w:r>
    </w:p>
    <w:p>
      <w:pPr>
        <w:spacing w:line="560" w:lineRule="exact"/>
        <w:ind w:firstLine="640"/>
        <w:rPr>
          <w:rFonts w:cs="Times New Roman"/>
        </w:rPr>
      </w:pPr>
      <w:r>
        <w:rPr>
          <w:rFonts w:eastAsia="仿宋_GB2312" w:cs="Times New Roman"/>
        </w:rPr>
        <w:t>以政府机关办公建筑、车站、学校、医院、宾馆、商场、体育场馆等为重点，推行建筑能耗分项计量和用能管理。应用太阳能等可再生能源</w:t>
      </w:r>
      <w:r>
        <w:rPr>
          <w:rFonts w:hint="eastAsia" w:eastAsia="仿宋_GB2312" w:cs="Times New Roman"/>
        </w:rPr>
        <w:t>，</w:t>
      </w:r>
      <w:r>
        <w:rPr>
          <w:rFonts w:eastAsia="仿宋_GB2312" w:cs="Times New Roman"/>
        </w:rPr>
        <w:t>因地制宜推动既有建筑节能改造。以政府机构节能运行管理和改造为突破口，在国家机关办公建筑和具备条件的大型公共建筑中开展节能改造试点示范工作，带动既有公共建筑节能改造。</w:t>
      </w:r>
    </w:p>
    <w:p>
      <w:pPr>
        <w:spacing w:line="560" w:lineRule="exact"/>
        <w:ind w:firstLine="640"/>
        <w:rPr>
          <w:rFonts w:eastAsia="仿宋_GB2312" w:cs="Times New Roman"/>
        </w:rPr>
      </w:pPr>
      <w:r>
        <w:rPr>
          <w:rFonts w:eastAsia="仿宋_GB2312" w:cs="Times New Roman"/>
        </w:rPr>
        <w:t>2.构建绿色交通新格局</w:t>
      </w:r>
    </w:p>
    <w:p>
      <w:pPr>
        <w:spacing w:line="560" w:lineRule="exact"/>
        <w:ind w:firstLine="640"/>
        <w:rPr>
          <w:rFonts w:eastAsia="仿宋_GB2312" w:cs="Times New Roman"/>
        </w:rPr>
      </w:pPr>
      <w:r>
        <w:rPr>
          <w:rFonts w:eastAsia="仿宋_GB2312" w:cs="Times New Roman"/>
        </w:rPr>
        <w:t>（1）加强公共交通基础设施建设</w:t>
      </w:r>
    </w:p>
    <w:p>
      <w:pPr>
        <w:spacing w:line="560" w:lineRule="exact"/>
        <w:ind w:firstLine="640"/>
        <w:rPr>
          <w:rFonts w:ascii="仿宋_GB2312" w:hAnsi="仿宋_GB2312" w:eastAsia="仿宋_GB2312" w:cs="仿宋_GB2312"/>
        </w:rPr>
      </w:pPr>
      <w:r>
        <w:rPr>
          <w:rFonts w:eastAsia="仿宋_GB2312" w:cs="Times New Roman"/>
        </w:rPr>
        <w:t>提升公共交通的设施设备，配套建设公交换乘站，实现城市公交与城镇道路客运无缝对接，优化公交线路和公交站点布置；建设便捷的城乡公共交通系统，大力发展农村客运，加快实施农</w:t>
      </w:r>
      <w:r>
        <w:rPr>
          <w:rFonts w:hint="eastAsia" w:ascii="仿宋_GB2312" w:hAnsi="仿宋_GB2312" w:eastAsia="仿宋_GB2312" w:cs="仿宋_GB2312"/>
        </w:rPr>
        <w:t>村客运公交化改造，实施农村客运公交化改造，扩大乡村社区公共交通覆盖率。</w:t>
      </w:r>
    </w:p>
    <w:p>
      <w:pPr>
        <w:spacing w:line="560" w:lineRule="exact"/>
        <w:ind w:firstLine="640"/>
        <w:rPr>
          <w:rFonts w:eastAsia="仿宋_GB2312" w:cs="Times New Roman"/>
        </w:rPr>
      </w:pPr>
      <w:r>
        <w:rPr>
          <w:rFonts w:eastAsia="仿宋_GB2312" w:cs="Times New Roman"/>
        </w:rPr>
        <w:t>（2）完善绿色交通系统</w:t>
      </w:r>
    </w:p>
    <w:p>
      <w:pPr>
        <w:spacing w:line="560" w:lineRule="exact"/>
        <w:ind w:firstLine="640"/>
        <w:rPr>
          <w:rFonts w:eastAsia="仿宋_GB2312" w:cs="Times New Roman"/>
        </w:rPr>
      </w:pPr>
      <w:r>
        <w:rPr>
          <w:rFonts w:eastAsia="仿宋_GB2312" w:cs="Times New Roman"/>
        </w:rPr>
        <w:t>建立快速公交系统，在人口密集区域实现绿色交通体系全覆盖，普及清洁能源公交，引进新能源公交。加快推进城市慢行系统三期、四期、公园绿道、环江滨水自行车道等项目建设，结合生态景观建设打造绿色生态的慢行系统和步行单元。支持引导共享交通工具发展，推进公共自行车租赁三期工程建设，加快形成多重绿色交通体系。</w:t>
      </w:r>
    </w:p>
    <w:p>
      <w:pPr>
        <w:spacing w:line="560" w:lineRule="exact"/>
        <w:ind w:firstLine="640"/>
        <w:rPr>
          <w:rFonts w:eastAsia="仿宋_GB2312" w:cs="Times New Roman"/>
        </w:rPr>
      </w:pPr>
      <w:r>
        <w:rPr>
          <w:rFonts w:eastAsia="仿宋_GB2312" w:cs="Times New Roman"/>
        </w:rPr>
        <w:t>3.引导公民绿色生活</w:t>
      </w:r>
    </w:p>
    <w:p>
      <w:pPr>
        <w:spacing w:line="560" w:lineRule="exact"/>
        <w:ind w:firstLine="640"/>
        <w:rPr>
          <w:rFonts w:cs="Times New Roman"/>
        </w:rPr>
      </w:pPr>
      <w:r>
        <w:rPr>
          <w:rFonts w:eastAsia="仿宋_GB2312" w:cs="Times New Roman"/>
        </w:rPr>
        <w:t>结合节能宣传周活动、低碳日、世界环境日和节能减排全民行动等开展节能减排降碳专项行动，通过网络等大众媒体开展绿色低碳消费宣传，普及绿色低碳消费知识，提倡使用无污染、无公害的绿色新产品，引导城乡居民使用节能型产品、节水型器具；倡导绿色低碳生活方式，优化饮食结构，坚决反对过剩消费和攀比消费，科学指导公众进行绿色低碳消费，营造绿色低碳消费的文化氛围，把绿色低碳消费变成每个消费者的自觉行动。</w:t>
      </w:r>
    </w:p>
    <w:p>
      <w:pPr>
        <w:spacing w:line="560" w:lineRule="exact"/>
        <w:ind w:firstLine="640"/>
        <w:rPr>
          <w:rFonts w:eastAsia="仿宋_GB2312" w:cs="Times New Roman"/>
        </w:rPr>
      </w:pPr>
      <w:r>
        <w:rPr>
          <w:rFonts w:eastAsia="仿宋_GB2312" w:cs="Times New Roman"/>
        </w:rPr>
        <w:t>4.推行绿色消费</w:t>
      </w:r>
    </w:p>
    <w:p>
      <w:pPr>
        <w:spacing w:line="560" w:lineRule="exact"/>
        <w:ind w:firstLine="640"/>
        <w:rPr>
          <w:rFonts w:eastAsia="仿宋_GB2312" w:cs="Times New Roman"/>
        </w:rPr>
      </w:pPr>
      <w:r>
        <w:rPr>
          <w:rFonts w:eastAsia="仿宋_GB2312" w:cs="Times New Roman"/>
        </w:rPr>
        <w:t>（1）增强企业绿色行为</w:t>
      </w:r>
    </w:p>
    <w:p>
      <w:pPr>
        <w:spacing w:line="560" w:lineRule="exact"/>
        <w:ind w:firstLine="640"/>
        <w:rPr>
          <w:rFonts w:ascii="仿宋_GB2312" w:hAnsi="仿宋_GB2312" w:eastAsia="仿宋_GB2312" w:cs="仿宋_GB2312"/>
        </w:rPr>
      </w:pPr>
      <w:r>
        <w:rPr>
          <w:rFonts w:eastAsia="仿宋_GB2312" w:cs="Times New Roman"/>
        </w:rPr>
        <w:t>促进生产、流通、回收等环节绿色化。增强绿色供给，推进绿色包装，促进绿色采购，引导企业实施绿色采购、构建绿色供应链。开展绿色回收，鼓励企业开展源头减量、综合利用、垃圾分类回收处理。引导绿色饮食，鼓励餐饮行业减少提供一次性餐具、更多提供可降解打包盒。鼓励餐饮企业对餐厨垃圾实施分</w:t>
      </w:r>
      <w:r>
        <w:rPr>
          <w:rFonts w:hint="eastAsia" w:ascii="仿宋_GB2312" w:hAnsi="仿宋_GB2312" w:eastAsia="仿宋_GB2312" w:cs="仿宋_GB2312"/>
        </w:rPr>
        <w:t>类回收与利用。推广绿色服装，鼓励研发和推广环境友好型的服装材料、染料、助剂、洗涤剂及干洗剂。</w:t>
      </w:r>
    </w:p>
    <w:p>
      <w:pPr>
        <w:spacing w:line="560" w:lineRule="exact"/>
        <w:ind w:firstLine="640"/>
        <w:rPr>
          <w:rFonts w:eastAsia="仿宋_GB2312" w:cs="Times New Roman"/>
        </w:rPr>
      </w:pPr>
      <w:r>
        <w:rPr>
          <w:rFonts w:eastAsia="仿宋_GB2312" w:cs="Times New Roman"/>
        </w:rPr>
        <w:t>（2）推行政府绿色行政</w:t>
      </w:r>
    </w:p>
    <w:p>
      <w:pPr>
        <w:spacing w:line="560" w:lineRule="exact"/>
        <w:ind w:firstLine="640"/>
        <w:rPr>
          <w:rFonts w:cs="Times New Roman"/>
        </w:rPr>
      </w:pPr>
      <w:r>
        <w:rPr>
          <w:rFonts w:eastAsia="仿宋_GB2312" w:cs="Times New Roman"/>
        </w:rPr>
        <w:t>推行办公自动化及公文无纸化传输，推广使用再生纸。新增办公设施设备优先采购节能、节水、节材产品。逐步提高政府采购中可循环使用的产品、再生产品以及节能、节水、无污染的绿色产品的比例。加快公共机构节能改造，重点推进公共机构建筑及数据中心、电梯、空调、锅炉房等用能系统和附属设施节能改造，推广使用太阳能、地热能等新能源和可再生能源。倡导节约能源资源，推动公共机构实现绿色生产、绿色消费、绿色办公、绿色出行。</w:t>
      </w:r>
    </w:p>
    <w:p>
      <w:pPr>
        <w:pStyle w:val="4"/>
        <w:spacing w:line="560" w:lineRule="exact"/>
        <w:ind w:firstLine="640"/>
        <w:rPr>
          <w:rFonts w:ascii="Times New Roman" w:hAnsi="Times New Roman" w:cs="Times New Roman"/>
          <w:b w:val="0"/>
          <w:bCs w:val="0"/>
        </w:rPr>
      </w:pPr>
      <w:bookmarkStart w:id="155" w:name="_Toc23386"/>
      <w:bookmarkStart w:id="156" w:name="_Toc9694"/>
      <w:bookmarkStart w:id="157" w:name="_Toc13602"/>
      <w:bookmarkStart w:id="158" w:name="_Toc11295"/>
      <w:bookmarkStart w:id="159" w:name="_Toc21301"/>
      <w:bookmarkStart w:id="160" w:name="_Toc5615"/>
      <w:bookmarkStart w:id="161" w:name="_Toc15614"/>
      <w:r>
        <w:rPr>
          <w:rFonts w:ascii="Times New Roman" w:hAnsi="Times New Roman" w:cs="Times New Roman"/>
          <w:b w:val="0"/>
          <w:bCs w:val="0"/>
        </w:rPr>
        <w:t>五、健全完善的生态制度</w:t>
      </w:r>
      <w:bookmarkEnd w:id="155"/>
      <w:bookmarkEnd w:id="156"/>
      <w:bookmarkEnd w:id="157"/>
      <w:bookmarkEnd w:id="158"/>
      <w:bookmarkEnd w:id="159"/>
      <w:bookmarkEnd w:id="160"/>
      <w:bookmarkEnd w:id="161"/>
    </w:p>
    <w:p>
      <w:pPr>
        <w:pStyle w:val="5"/>
        <w:spacing w:line="560" w:lineRule="exact"/>
        <w:ind w:firstLine="640"/>
        <w:rPr>
          <w:rFonts w:eastAsia="楷体_GB2312" w:cs="Times New Roman"/>
        </w:rPr>
      </w:pPr>
      <w:r>
        <w:rPr>
          <w:rFonts w:eastAsia="楷体_GB2312" w:cs="Times New Roman"/>
        </w:rPr>
        <w:t>（一）完善源头保护制度</w:t>
      </w:r>
    </w:p>
    <w:p>
      <w:pPr>
        <w:spacing w:line="560" w:lineRule="exact"/>
        <w:ind w:firstLine="640"/>
        <w:rPr>
          <w:rFonts w:eastAsia="仿宋_GB2312" w:cs="Times New Roman"/>
        </w:rPr>
      </w:pPr>
      <w:r>
        <w:rPr>
          <w:rFonts w:eastAsia="仿宋_GB2312" w:cs="Times New Roman"/>
        </w:rPr>
        <w:t>1.实施生态红线管理制度</w:t>
      </w:r>
    </w:p>
    <w:p>
      <w:pPr>
        <w:spacing w:line="560" w:lineRule="exact"/>
        <w:ind w:firstLine="640"/>
        <w:rPr>
          <w:rFonts w:eastAsia="仿宋_GB2312" w:cs="Times New Roman"/>
        </w:rPr>
      </w:pPr>
      <w:r>
        <w:rPr>
          <w:rFonts w:eastAsia="仿宋_GB2312" w:cs="Times New Roman"/>
        </w:rPr>
        <w:t>根据《广西壮族自治区生态保护红线划定方案》，2020年完成勘界定标。严守生态保护红线，将柳州市划定的生态保护红线范围进行严格管理，依法实施强制性保护。</w:t>
      </w:r>
      <w:r>
        <w:rPr>
          <w:rFonts w:hint="eastAsia" w:eastAsia="仿宋_GB2312" w:cs="Times New Roman"/>
        </w:rPr>
        <w:t>生态保护红线内，自然保护地核心保护区原则上禁止人为活动，其他区域严格禁止开发性、生产性建设活动，在符合现行法律法规前提下，除国家重大战略项目外，仅允许对生态功能不造成破坏的有限人为活动。</w:t>
      </w:r>
    </w:p>
    <w:p>
      <w:pPr>
        <w:spacing w:line="560" w:lineRule="exact"/>
        <w:ind w:firstLine="640"/>
        <w:rPr>
          <w:rFonts w:eastAsia="仿宋_GB2312" w:cs="Times New Roman"/>
        </w:rPr>
      </w:pPr>
      <w:r>
        <w:rPr>
          <w:rFonts w:eastAsia="仿宋_GB2312" w:cs="Times New Roman"/>
        </w:rPr>
        <w:t>2.实施环境影响评价制度</w:t>
      </w:r>
    </w:p>
    <w:p>
      <w:pPr>
        <w:pStyle w:val="2"/>
        <w:ind w:firstLine="640"/>
        <w:rPr>
          <w:rFonts w:eastAsia="仿宋_GB2312" w:cs="Times New Roman"/>
        </w:rPr>
      </w:pPr>
      <w:r>
        <w:rPr>
          <w:rFonts w:eastAsia="仿宋_GB2312" w:cs="Times New Roman"/>
        </w:rPr>
        <w:t>严格执行《规划环境影响评价条例》和《广西壮族自治区人民政府办公厅关于进一步加强规划环境影响评价工作的通知》（桂政办发〔2011〕14号）等文件要求，依法开展规划环境影响评价，从决策源头上防止各类规划的实施可能造成的环境问题；严格实施《中华人民共和国环境影响评价法》，对新、改、扩建项目必须进行环境影响评价。实施污染物排放总量控制，</w:t>
      </w:r>
      <w:r>
        <w:rPr>
          <w:rFonts w:hint="eastAsia" w:eastAsia="仿宋_GB2312" w:cs="Times New Roman"/>
        </w:rPr>
        <w:t>对未通过能评、环评审查的项目，有关部门不得审批、核准、备案，不得提供土地，不得批准开工建设，不得发放生产许可证、安全生产许可证、排污许可证，金融机构不得提供任何形式的新增授信支持，有关单位不得供电、供水。</w:t>
      </w:r>
      <w:r>
        <w:rPr>
          <w:rFonts w:eastAsia="仿宋_GB2312" w:cs="Times New Roman"/>
        </w:rPr>
        <w:t>对违规建设、投产的污染项目要坚决清理。</w:t>
      </w:r>
    </w:p>
    <w:p>
      <w:pPr>
        <w:spacing w:line="560" w:lineRule="exact"/>
        <w:ind w:firstLine="640"/>
        <w:rPr>
          <w:rFonts w:eastAsia="仿宋_GB2312" w:cs="Times New Roman"/>
        </w:rPr>
      </w:pPr>
      <w:bookmarkStart w:id="162" w:name="_Toc5953"/>
      <w:r>
        <w:rPr>
          <w:rFonts w:eastAsia="仿宋_GB2312" w:cs="Times New Roman"/>
        </w:rPr>
        <w:t>3.严格环境准入制度</w:t>
      </w:r>
      <w:bookmarkEnd w:id="162"/>
    </w:p>
    <w:p>
      <w:pPr>
        <w:spacing w:line="560" w:lineRule="exact"/>
        <w:ind w:firstLine="640"/>
        <w:rPr>
          <w:rFonts w:eastAsia="仿宋_GB2312" w:cs="Times New Roman"/>
          <w:color w:val="0070C0"/>
        </w:rPr>
      </w:pPr>
      <w:r>
        <w:rPr>
          <w:rFonts w:eastAsia="仿宋_GB2312" w:cs="Times New Roman"/>
        </w:rPr>
        <w:t>严格执行《广西壮族自治区建设项目环境准入管理办法》</w:t>
      </w:r>
      <w:r>
        <w:rPr>
          <w:rFonts w:hint="eastAsia" w:eastAsia="仿宋_GB2312" w:cs="Times New Roman"/>
        </w:rPr>
        <w:t>（桂政办发〔2012〕103号）</w:t>
      </w:r>
      <w:r>
        <w:rPr>
          <w:rFonts w:eastAsia="仿宋_GB2312" w:cs="Times New Roman"/>
        </w:rPr>
        <w:t>，建立污染减排绩效与区域环境质量和项目审批挂钩制度，全面实行空间准入、总量准入、环境质量准入、项目准入相结合制度，严格控制重点区域、重点流域的环境风险项目</w:t>
      </w:r>
      <w:r>
        <w:rPr>
          <w:rFonts w:hint="eastAsia" w:eastAsia="仿宋_GB2312" w:cs="Times New Roman"/>
        </w:rPr>
        <w:t>。继续化解过剩产能，严禁钢铁、水泥、电解铝、平板玻璃等行业新增产能，确有必要的新建项目必须实施等量或减量置换。</w:t>
      </w:r>
      <w:r>
        <w:rPr>
          <w:rFonts w:hint="eastAsia" w:ascii="仿宋_GB2312" w:hAnsi="仿宋_GB2312" w:eastAsia="仿宋_GB2312" w:cs="仿宋_GB2312"/>
          <w:szCs w:val="32"/>
        </w:rPr>
        <w:t>完善建设项目与污染减排、淘汰落后产能相衔接的审批机制，严格落实企业达标管理、总量替代、排污许可、区域限批、规划环评等制度。严格产业转移园区的环境准入，加强园区环境监管，禁止引入不符合产业政策和园区发展规划的项目，严格控制承接高排放产业转移。</w:t>
      </w:r>
    </w:p>
    <w:p>
      <w:pPr>
        <w:spacing w:line="560" w:lineRule="exact"/>
        <w:ind w:firstLine="640"/>
        <w:rPr>
          <w:rFonts w:eastAsia="仿宋_GB2312" w:cs="Times New Roman"/>
        </w:rPr>
      </w:pPr>
      <w:r>
        <w:rPr>
          <w:rFonts w:eastAsia="仿宋_GB2312" w:cs="Times New Roman"/>
        </w:rPr>
        <w:t>4.建立自然资产产权管理和用途管制制度</w:t>
      </w:r>
    </w:p>
    <w:p>
      <w:pPr>
        <w:spacing w:line="560" w:lineRule="exact"/>
        <w:ind w:firstLine="640"/>
        <w:rPr>
          <w:rFonts w:cs="Times New Roman"/>
        </w:rPr>
      </w:pPr>
      <w:r>
        <w:rPr>
          <w:rFonts w:eastAsia="仿宋_GB2312" w:cs="Times New Roman"/>
        </w:rPr>
        <w:t>开展自然资源资产负债表编制工作，健全自然资源资产管理体制，对土地、矿产、森林、草原、湿地、水等自然资源资产统一进行确权登记，建立统一的登记机构、登记簿册、登记依据和信息平台，形成归属清晰、权责明确、监管有效的自然资源资产产权制度。加快完善自然资源资产用途管制制度，实现能源、水资源、矿产资源按质量分级、梯级利用，发挥资源最大效能。2020年开展《柳州市自然资源资产负债表》的编制工作。</w:t>
      </w:r>
    </w:p>
    <w:p>
      <w:pPr>
        <w:spacing w:line="560" w:lineRule="exact"/>
        <w:ind w:firstLine="640"/>
        <w:rPr>
          <w:rFonts w:eastAsia="仿宋_GB2312" w:cs="Times New Roman"/>
        </w:rPr>
      </w:pPr>
      <w:r>
        <w:rPr>
          <w:rFonts w:eastAsia="仿宋_GB2312" w:cs="Times New Roman"/>
        </w:rPr>
        <w:t>5.执行污染物排放总量控制制度</w:t>
      </w:r>
    </w:p>
    <w:p>
      <w:pPr>
        <w:spacing w:line="560" w:lineRule="exact"/>
        <w:ind w:firstLine="640"/>
        <w:rPr>
          <w:rFonts w:cs="Times New Roman"/>
        </w:rPr>
      </w:pPr>
      <w:r>
        <w:rPr>
          <w:rFonts w:eastAsia="仿宋_GB2312" w:cs="Times New Roman"/>
        </w:rPr>
        <w:t>严格污染物排放总量控制制度，</w:t>
      </w:r>
      <w:r>
        <w:rPr>
          <w:rFonts w:hint="eastAsia" w:eastAsia="仿宋_GB2312" w:cs="Times New Roman"/>
        </w:rPr>
        <w:t>促进</w:t>
      </w:r>
      <w:r>
        <w:rPr>
          <w:rFonts w:eastAsia="仿宋_GB2312" w:cs="Times New Roman"/>
        </w:rPr>
        <w:t>工业企业污染物浓度达标排放和污染物总量控制的“双达标”要求。加强其它类重金属污染物排放的管理。对产生和排放重金属的企业实行在线自动监控，动态管理，确保达标排放。</w:t>
      </w:r>
    </w:p>
    <w:p>
      <w:pPr>
        <w:pStyle w:val="5"/>
        <w:spacing w:line="560" w:lineRule="exact"/>
        <w:ind w:firstLine="640"/>
        <w:rPr>
          <w:rFonts w:eastAsia="楷体_GB2312" w:cs="Times New Roman"/>
        </w:rPr>
      </w:pPr>
      <w:r>
        <w:rPr>
          <w:rFonts w:eastAsia="楷体_GB2312" w:cs="Times New Roman"/>
        </w:rPr>
        <w:t>（二）健全过程严管制度</w:t>
      </w:r>
    </w:p>
    <w:p>
      <w:pPr>
        <w:spacing w:line="560" w:lineRule="exact"/>
        <w:ind w:firstLine="640"/>
        <w:rPr>
          <w:rFonts w:eastAsia="仿宋_GB2312" w:cs="Times New Roman"/>
        </w:rPr>
      </w:pPr>
      <w:r>
        <w:rPr>
          <w:rFonts w:eastAsia="仿宋_GB2312" w:cs="Times New Roman"/>
        </w:rPr>
        <w:t>1.实行资源有偿使用制度</w:t>
      </w:r>
    </w:p>
    <w:p>
      <w:pPr>
        <w:spacing w:line="560" w:lineRule="exact"/>
        <w:ind w:firstLine="640"/>
        <w:rPr>
          <w:rFonts w:eastAsia="仿宋_GB2312" w:cs="Times New Roman"/>
        </w:rPr>
      </w:pPr>
      <w:r>
        <w:rPr>
          <w:rFonts w:eastAsia="仿宋_GB2312" w:cs="Times New Roman"/>
        </w:rPr>
        <w:t>实行资源有偿使用制度和生态补偿制度。坚持使用资源付费和谁污染环境、谁破坏生态谁付费原则。建立有效调节工业用地和居住用地合理比价机制，完善对重点生态功能区的生态补偿机制，推动地区间建立横向生态补偿制度。发展环保市场，推行节能量、碳排放权、排污权、水权交易制度，建立吸引社会资本投入生态环境保护的市场化机制，推行环境污染第三方治理。</w:t>
      </w:r>
    </w:p>
    <w:p>
      <w:pPr>
        <w:spacing w:line="560" w:lineRule="exact"/>
        <w:ind w:firstLine="640"/>
        <w:rPr>
          <w:rFonts w:eastAsia="仿宋_GB2312" w:cs="Times New Roman"/>
        </w:rPr>
      </w:pPr>
      <w:r>
        <w:rPr>
          <w:rFonts w:eastAsia="仿宋_GB2312" w:cs="Times New Roman"/>
        </w:rPr>
        <w:t>2.落实污染物排放许可环境监管制度</w:t>
      </w:r>
    </w:p>
    <w:p>
      <w:pPr>
        <w:spacing w:line="560" w:lineRule="exact"/>
        <w:ind w:firstLine="640"/>
      </w:pPr>
      <w:r>
        <w:rPr>
          <w:rFonts w:eastAsia="仿宋_GB2312" w:cs="Times New Roman"/>
        </w:rPr>
        <w:t>严格执行《国务院办公厅关于印发控制污染物排放许可制实施方案的通知》（国办发〔2016〕81号），企事业单位应按相关法规标准和技术规定提交申请材料，申报污染物排放种类、排放</w:t>
      </w:r>
      <w:r>
        <w:rPr>
          <w:rFonts w:hint="eastAsia" w:ascii="仿宋_GB2312" w:hAnsi="仿宋_GB2312" w:eastAsia="仿宋_GB2312" w:cs="仿宋_GB2312"/>
        </w:rPr>
        <w:t>浓度等，测算并申报污染物排放量。环境保护部门对符合要求的企事业单位应及时核发排污许可证，对存在疑问的开展现场核查。对不同行业或同一行业内的不同类型企事业单位，按照污染物产生量、排放量以及环境危害程度等因素进行分类管理。通过实施排污许可制，落实企事业单位污染物排放总量控制要求。</w:t>
      </w:r>
    </w:p>
    <w:p>
      <w:pPr>
        <w:spacing w:line="560" w:lineRule="exact"/>
        <w:ind w:firstLine="640"/>
        <w:rPr>
          <w:rFonts w:eastAsia="仿宋_GB2312" w:cs="Times New Roman"/>
        </w:rPr>
      </w:pPr>
      <w:r>
        <w:rPr>
          <w:rFonts w:eastAsia="仿宋_GB2312" w:cs="Times New Roman"/>
        </w:rPr>
        <w:t>3.实行环境信息公开制度</w:t>
      </w:r>
    </w:p>
    <w:p>
      <w:pPr>
        <w:spacing w:line="560" w:lineRule="exact"/>
        <w:ind w:firstLine="640"/>
        <w:rPr>
          <w:rFonts w:cs="Times New Roman"/>
        </w:rPr>
      </w:pPr>
      <w:r>
        <w:rPr>
          <w:rFonts w:eastAsia="仿宋_GB2312" w:cs="Times New Roman"/>
        </w:rPr>
        <w:t>依据和尊重公众知情权，按照环境信息公开相关要求，相关政府部门和企业以及其他社会行为主体向公众通报和公开各自的环境行为，以利于公众参与和监督。环境信息公开制度既要公开环境质量信息，也要公开政府和企业的环境行为，为公众了解和监督环保工作提供必要条件，加强政府、企业、公众的沟通，形成政府、企业和公众的良性互动关系，推进社会各方共同参与环境保护。</w:t>
      </w:r>
    </w:p>
    <w:p>
      <w:pPr>
        <w:pStyle w:val="5"/>
        <w:spacing w:line="560" w:lineRule="exact"/>
        <w:ind w:firstLine="640"/>
        <w:rPr>
          <w:rFonts w:eastAsia="楷体_GB2312" w:cs="Times New Roman"/>
        </w:rPr>
      </w:pPr>
      <w:r>
        <w:rPr>
          <w:rFonts w:eastAsia="楷体_GB2312" w:cs="Times New Roman"/>
        </w:rPr>
        <w:t>（三）健全后果严惩制度</w:t>
      </w:r>
    </w:p>
    <w:p>
      <w:pPr>
        <w:spacing w:line="560" w:lineRule="exact"/>
        <w:ind w:firstLine="640"/>
        <w:rPr>
          <w:rFonts w:eastAsia="仿宋_GB2312" w:cs="Times New Roman"/>
        </w:rPr>
      </w:pPr>
      <w:r>
        <w:rPr>
          <w:rFonts w:eastAsia="仿宋_GB2312" w:cs="Times New Roman"/>
        </w:rPr>
        <w:t>1.落实生态文明建设重大目标任务研究部署</w:t>
      </w:r>
    </w:p>
    <w:p>
      <w:pPr>
        <w:spacing w:line="560" w:lineRule="exact"/>
        <w:ind w:firstLine="640"/>
        <w:rPr>
          <w:rFonts w:eastAsia="仿宋_GB2312" w:cs="Times New Roman"/>
        </w:rPr>
      </w:pPr>
      <w:r>
        <w:rPr>
          <w:rFonts w:eastAsia="仿宋_GB2312" w:cs="Times New Roman"/>
        </w:rPr>
        <w:t>深入学习领会习近平总书记关于加强生态文明建设重大意义的重要论述，着力增强新时代推进生态文明建设的政治自觉，深刻认识加强生态文明建设的重大意义。准确把握时代大方位，充分认识党的十八大以来生态环境保护发生的历史性、转折性、全局性变化，进一步增强推进生态文明建设的信心决心。准确把握发展大格局，坚持问题导向，强化工作举措，进一步增强推进生态文明建设的紧迫性。</w:t>
      </w:r>
    </w:p>
    <w:p>
      <w:pPr>
        <w:spacing w:line="560" w:lineRule="exact"/>
        <w:ind w:firstLine="640"/>
        <w:rPr>
          <w:rFonts w:eastAsia="仿宋_GB2312" w:cs="Times New Roman"/>
        </w:rPr>
      </w:pPr>
      <w:r>
        <w:rPr>
          <w:rFonts w:eastAsia="仿宋_GB2312" w:cs="Times New Roman"/>
        </w:rPr>
        <w:t>2.强化生态文明考核</w:t>
      </w:r>
    </w:p>
    <w:p>
      <w:pPr>
        <w:spacing w:line="560" w:lineRule="exact"/>
        <w:ind w:firstLine="640"/>
        <w:rPr>
          <w:rFonts w:cs="Times New Roman"/>
        </w:rPr>
      </w:pPr>
      <w:r>
        <w:rPr>
          <w:rFonts w:eastAsia="仿宋_GB2312" w:cs="Times New Roman"/>
        </w:rPr>
        <w:t>加强生态文明建设领导机制建设，增加对生态文明建设责任的考核权重。建立绿色GDP考评体系，建立完善绿色GDP核算统计制度和考核机制，创新生态环境预防、治理和建设工作机制。加强督察结果运用，健全考核机制，压实各级生态环境保护责任，层层抓落实。</w:t>
      </w:r>
    </w:p>
    <w:p>
      <w:pPr>
        <w:spacing w:line="560" w:lineRule="exact"/>
        <w:ind w:firstLine="640"/>
        <w:rPr>
          <w:rFonts w:eastAsia="仿宋_GB2312" w:cs="Times New Roman"/>
        </w:rPr>
      </w:pPr>
      <w:r>
        <w:rPr>
          <w:rFonts w:eastAsia="仿宋_GB2312" w:cs="Times New Roman"/>
        </w:rPr>
        <w:t>3.推进领导干部自然资源资产离任审计</w:t>
      </w:r>
    </w:p>
    <w:p>
      <w:pPr>
        <w:spacing w:line="560" w:lineRule="exact"/>
        <w:ind w:firstLine="640"/>
        <w:rPr>
          <w:color w:val="085EFA"/>
        </w:rPr>
      </w:pPr>
      <w:r>
        <w:rPr>
          <w:rFonts w:eastAsia="仿宋_GB2312" w:cs="Times New Roman"/>
        </w:rPr>
        <w:t>实行领导干部自然资源资产离任审计制</w:t>
      </w:r>
      <w:r>
        <w:rPr>
          <w:rFonts w:hint="eastAsia" w:ascii="仿宋_GB2312" w:hAnsi="仿宋_GB2312" w:eastAsia="仿宋_GB2312" w:cs="仿宋_GB2312"/>
        </w:rPr>
        <w:t>度，重点对任期内辖区自然资源资产实物量和生态环境质量变化情况、贯彻执行中央生态文明建设方针政策和决策部署情况，遵守自然资源资产相关法律法规情况、完成自然资源资产管理和生态环境保护目标情况和履行监督责任情况等内容进行审计，并将审计结果作为领导干部提拔任用的重要依据。</w:t>
      </w:r>
    </w:p>
    <w:p>
      <w:pPr>
        <w:spacing w:line="560" w:lineRule="exact"/>
        <w:ind w:firstLine="640"/>
        <w:rPr>
          <w:rFonts w:eastAsia="仿宋_GB2312" w:cs="Times New Roman"/>
        </w:rPr>
      </w:pPr>
      <w:r>
        <w:rPr>
          <w:rFonts w:eastAsia="仿宋_GB2312" w:cs="Times New Roman"/>
        </w:rPr>
        <w:t>4.推进生态环境损害责任终身追究制度</w:t>
      </w:r>
    </w:p>
    <w:p>
      <w:pPr>
        <w:spacing w:line="560" w:lineRule="exact"/>
        <w:ind w:firstLine="640"/>
        <w:rPr>
          <w:rFonts w:cs="Times New Roman"/>
        </w:rPr>
      </w:pPr>
      <w:r>
        <w:rPr>
          <w:rFonts w:eastAsia="仿宋_GB2312" w:cs="Times New Roman"/>
        </w:rPr>
        <w:t>确实落实党委、政府领导干部生态文明建设</w:t>
      </w:r>
      <w:r>
        <w:rPr>
          <w:rFonts w:hint="eastAsia" w:eastAsia="仿宋_GB2312" w:cs="Times New Roman"/>
        </w:rPr>
        <w:t>“</w:t>
      </w:r>
      <w:r>
        <w:rPr>
          <w:rFonts w:eastAsia="仿宋_GB2312" w:cs="Times New Roman"/>
        </w:rPr>
        <w:t>党政同责</w:t>
      </w:r>
      <w:r>
        <w:rPr>
          <w:rFonts w:hint="eastAsia" w:eastAsia="仿宋_GB2312" w:cs="Times New Roman"/>
        </w:rPr>
        <w:t>”</w:t>
      </w:r>
      <w:r>
        <w:rPr>
          <w:rFonts w:eastAsia="仿宋_GB2312" w:cs="Times New Roman"/>
        </w:rPr>
        <w:t>、</w:t>
      </w:r>
      <w:r>
        <w:rPr>
          <w:rFonts w:hint="eastAsia" w:eastAsia="仿宋_GB2312" w:cs="Times New Roman"/>
        </w:rPr>
        <w:t>“</w:t>
      </w:r>
      <w:r>
        <w:rPr>
          <w:rFonts w:eastAsia="仿宋_GB2312" w:cs="Times New Roman"/>
        </w:rPr>
        <w:t>一岗双责</w:t>
      </w:r>
      <w:r>
        <w:rPr>
          <w:rFonts w:hint="eastAsia" w:eastAsia="仿宋_GB2312" w:cs="Times New Roman"/>
        </w:rPr>
        <w:t>”</w:t>
      </w:r>
      <w:r>
        <w:rPr>
          <w:rFonts w:eastAsia="仿宋_GB2312" w:cs="Times New Roman"/>
        </w:rPr>
        <w:t>制，严格落实生态环境损害责任终身追究制。以自然资源负债表、自然资源资产离任审计结果和生态环境损害情况等为依据，开展领导干部政绩评价考核，定期向社会公布党政领导干部和部门实绩，对不重视生态文明建设，发生重大生态环境破坏事故的，实施严格问责；对造成生态环境损害的责任者、企业和个人严格实施赔偿制度，依法追究其法律责任，使更多人树立权责一致意识，增强生态文明理念。</w:t>
      </w:r>
    </w:p>
    <w:p>
      <w:pPr>
        <w:spacing w:line="560" w:lineRule="exact"/>
        <w:ind w:firstLine="640"/>
        <w:rPr>
          <w:rFonts w:ascii="仿宋_GB2312" w:hAnsi="仿宋_GB2312" w:eastAsia="仿宋_GB2312" w:cs="仿宋_GB2312"/>
        </w:rPr>
      </w:pPr>
      <w:bookmarkStart w:id="163" w:name="_Toc26019"/>
      <w:r>
        <w:rPr>
          <w:rFonts w:eastAsia="仿宋_GB2312" w:cs="Times New Roman"/>
        </w:rPr>
        <w:t>5.全面落实河长制</w:t>
      </w:r>
      <w:bookmarkEnd w:id="163"/>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根据柳州市境内江河、湖库的不同情况制定不同的管理措施，做到“一河一策”、“一湖一策”，加强河长、湖长精细化管理。实行分级负责、属地管理、联防联控，明确并向社会公开各级河长、湖长职责，形成一级抓一级、层层抓落实的系统网格化工作格局。强化水污染综合防治、水环境保护与治理、水域保洁和执法监管。</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（四）统筹山水林田湖草系统治理制度</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践行习近平生态文明思想，牢固树立“山水林田湖草是一个生命共同体”的理念，全方位、全地域、全过程开展生态保护修复工作，完善生态系统保护、修复和系统治理规划，形成系统完整的统筹治理规划体系。围绕解决柳州市生态系统保护与治理中的重点难点问题，在重点区域实施重大生态系统保护和修复工程，对柳州市境内山水林田湖草生态系统要素的开发和保护、区域发展等重大问题进行统筹规划和一体化系统治理。</w:t>
      </w:r>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（五）完善环境经济政策</w:t>
      </w:r>
    </w:p>
    <w:p>
      <w:pPr>
        <w:spacing w:line="560" w:lineRule="exact"/>
        <w:ind w:firstLine="640"/>
        <w:rPr>
          <w:rFonts w:eastAsia="仿宋_GB2312" w:cs="Times New Roman"/>
        </w:rPr>
      </w:pPr>
      <w:r>
        <w:rPr>
          <w:rFonts w:eastAsia="仿宋_GB2312" w:cs="Times New Roman"/>
        </w:rPr>
        <w:t>1.加大财政资金投入政策</w:t>
      </w:r>
    </w:p>
    <w:p>
      <w:pPr>
        <w:spacing w:line="560" w:lineRule="exact"/>
        <w:ind w:firstLine="640"/>
        <w:rPr>
          <w:rFonts w:eastAsia="仿宋_GB2312" w:cs="Times New Roman"/>
        </w:rPr>
      </w:pPr>
      <w:r>
        <w:rPr>
          <w:rFonts w:eastAsia="仿宋_GB2312" w:cs="Times New Roman"/>
        </w:rPr>
        <w:t>落实政府环保投入责任，扩大规划实施需要的财政专项资金规模，确保关键目标、重点任务的实施完成。争取国家投资，积极争取国家在安排中央专项资金、生态补偿资金、自然保护区建设资金、生态建设与修复资金对柳州市给予倾斜；柳州市及各县区财政将生态文明示范区创建项目列入财政预算；加大乡镇政府财政投入力度，将生态环境保护投入列为公共财政支出重点，逐年加大投入，确保生态环境保护规划年度任务实施的资金需要。</w:t>
      </w:r>
    </w:p>
    <w:p>
      <w:pPr>
        <w:spacing w:line="560" w:lineRule="exact"/>
        <w:ind w:firstLine="640"/>
        <w:rPr>
          <w:rFonts w:eastAsia="仿宋_GB2312" w:cs="Times New Roman"/>
        </w:rPr>
      </w:pPr>
      <w:r>
        <w:rPr>
          <w:rFonts w:eastAsia="仿宋_GB2312" w:cs="Times New Roman"/>
        </w:rPr>
        <w:t>2.完善生态补偿制度</w:t>
      </w:r>
    </w:p>
    <w:p>
      <w:pPr>
        <w:spacing w:line="560" w:lineRule="exact"/>
        <w:ind w:firstLine="640"/>
        <w:rPr>
          <w:rFonts w:ascii="仿宋_GB2312" w:hAnsi="仿宋_GB2312" w:eastAsia="仿宋_GB2312" w:cs="仿宋_GB2312"/>
        </w:rPr>
      </w:pPr>
      <w:r>
        <w:rPr>
          <w:rFonts w:eastAsia="仿宋_GB2312" w:cs="Times New Roman"/>
        </w:rPr>
        <w:t>逐步建立归属清晰、权责明确、监管有效的自然资源资产产权和用途管制制度，逐步健全环境资源承载能力监测预警机制和生态补偿机制。建立和落实分类补偿与分档补助相结合的生态补偿和民生补助机制，制定生态保护补偿和民生补助政策。拓宽生态补偿资金来源渠道，改变目前由林业部门进行单一森林生态效益补偿的现状，建立生态环境、旅游、农业、水利、林业等多部门联合补偿机制以及市场补偿机制。</w:t>
      </w:r>
    </w:p>
    <w:p>
      <w:pPr>
        <w:spacing w:line="560" w:lineRule="exact"/>
        <w:ind w:firstLine="640"/>
        <w:rPr>
          <w:rFonts w:eastAsia="仿宋_GB2312" w:cs="Times New Roman"/>
        </w:rPr>
      </w:pPr>
      <w:r>
        <w:rPr>
          <w:rFonts w:eastAsia="仿宋_GB2312" w:cs="Times New Roman"/>
        </w:rPr>
        <w:t>3.建立健全环境损害赔偿制度</w:t>
      </w:r>
    </w:p>
    <w:p>
      <w:pPr>
        <w:spacing w:line="560" w:lineRule="exact"/>
        <w:ind w:firstLine="640"/>
        <w:rPr>
          <w:rFonts w:eastAsia="仿宋_GB2312" w:cs="Times New Roman"/>
        </w:rPr>
      </w:pPr>
      <w:r>
        <w:rPr>
          <w:rFonts w:eastAsia="仿宋_GB2312" w:cs="Times New Roman"/>
        </w:rPr>
        <w:t>按照“环境有价，损害担责”的原则探索建立环境损害赔偿制度，开展生态环境损害赔偿试点，有序推进生态环境损害赔偿试点工作。对因污染环境、破坏生态造成大气、地表水、地下水、土壤等环境要素和植物、动物、微生物等生物要素的不利改变，及上述要素构成的生态系统功能的退化的单位和个人应承担环境损害赔偿责任。生态环境损害调查、鉴定评估、修复方案编制等工作中涉及公共利益的重大事项向社会公开，并邀请专家和利益相关的公民、法人和其他组织参与，政府及其职能部门之间共享生态环境损害赔偿信息。</w:t>
      </w:r>
    </w:p>
    <w:p>
      <w:pPr>
        <w:spacing w:line="560" w:lineRule="exact"/>
        <w:ind w:firstLine="640"/>
        <w:rPr>
          <w:rFonts w:eastAsia="仿宋_GB2312" w:cs="Times New Roman"/>
        </w:rPr>
      </w:pPr>
      <w:bookmarkStart w:id="164" w:name="_Toc8231"/>
      <w:r>
        <w:rPr>
          <w:rFonts w:eastAsia="仿宋_GB2312" w:cs="Times New Roman"/>
        </w:rPr>
        <w:t>4.加强绿色经济政策引导</w:t>
      </w:r>
      <w:bookmarkEnd w:id="164"/>
    </w:p>
    <w:p>
      <w:pPr>
        <w:spacing w:line="560" w:lineRule="exact"/>
        <w:ind w:firstLine="640"/>
        <w:rPr>
          <w:rFonts w:cs="Times New Roman"/>
        </w:rPr>
      </w:pPr>
      <w:r>
        <w:rPr>
          <w:rFonts w:eastAsia="仿宋_GB2312" w:cs="Times New Roman"/>
        </w:rPr>
        <w:t>探索制定产业绿色发展与转型政策，重点支持重污染企业退出、受污染场地修复、非电行业脱硫脱硝设施运行等工作。实行清洁能源优惠政策，对清洁能源供应、使用价格等方面给予政策优惠，并对使用单位给予适当补贴。落实金融政策，强化金融市场对绿色资源配置的引导优化作用，发展绿色信贷。逐步建立生态服务交易机制。</w:t>
      </w:r>
    </w:p>
    <w:p>
      <w:pPr>
        <w:spacing w:line="560" w:lineRule="exact"/>
        <w:ind w:firstLine="640"/>
        <w:rPr>
          <w:rFonts w:eastAsia="仿宋_GB2312" w:cs="Times New Roman"/>
        </w:rPr>
      </w:pPr>
      <w:bookmarkStart w:id="165" w:name="_Toc12034"/>
      <w:r>
        <w:rPr>
          <w:rFonts w:eastAsia="仿宋_GB2312" w:cs="Times New Roman"/>
        </w:rPr>
        <w:t>5.强化市场运行机制</w:t>
      </w:r>
      <w:bookmarkEnd w:id="165"/>
    </w:p>
    <w:p>
      <w:pPr>
        <w:spacing w:line="560" w:lineRule="exact"/>
        <w:ind w:firstLine="640"/>
        <w:rPr>
          <w:rFonts w:cs="Times New Roman"/>
        </w:rPr>
      </w:pPr>
      <w:r>
        <w:rPr>
          <w:rFonts w:eastAsia="仿宋_GB2312" w:cs="Times New Roman"/>
        </w:rPr>
        <w:t>强化“排污者付费、治污者受益”的利益导向，推行环境污染责任保险制度。在环境高风险行业企业开展环境污染强制责任保险试点，将柳州境内可能存在重金属污染、危险废物污染的行业，尾矿库环境风险等级评估为较大及以上的企业以及其它环境高风险行业率先纳入环境污染责任保险企业范围，同时鼓励除上述情形之外的其它排污企业投保环境污染责任保险。推广政府和社会资本合作（PPP）模式，推行环境污染第三方治理、合同能源管理和合同节水管理。</w:t>
      </w:r>
    </w:p>
    <w:p>
      <w:pPr>
        <w:pStyle w:val="4"/>
        <w:spacing w:line="560" w:lineRule="exact"/>
        <w:ind w:firstLine="640"/>
        <w:rPr>
          <w:b w:val="0"/>
          <w:bCs w:val="0"/>
        </w:rPr>
      </w:pPr>
      <w:bookmarkStart w:id="166" w:name="_Toc20660"/>
      <w:bookmarkStart w:id="167" w:name="_Toc29033"/>
      <w:bookmarkStart w:id="168" w:name="_Toc24661"/>
      <w:bookmarkStart w:id="169" w:name="_Toc27720"/>
      <w:bookmarkStart w:id="170" w:name="_Toc27308"/>
      <w:bookmarkStart w:id="171" w:name="_Toc2731"/>
      <w:bookmarkStart w:id="172" w:name="_Toc10545"/>
      <w:r>
        <w:rPr>
          <w:rFonts w:hint="eastAsia"/>
          <w:b w:val="0"/>
          <w:bCs w:val="0"/>
        </w:rPr>
        <w:t>六、弘扬科学的生态文化</w:t>
      </w:r>
      <w:bookmarkEnd w:id="166"/>
      <w:bookmarkEnd w:id="167"/>
      <w:bookmarkEnd w:id="168"/>
      <w:bookmarkEnd w:id="169"/>
      <w:bookmarkEnd w:id="170"/>
      <w:bookmarkEnd w:id="171"/>
      <w:bookmarkEnd w:id="172"/>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（一）加快培育生态文明意识</w:t>
      </w:r>
    </w:p>
    <w:bookmarkEnd w:id="130"/>
    <w:bookmarkEnd w:id="131"/>
    <w:bookmarkEnd w:id="132"/>
    <w:bookmarkEnd w:id="133"/>
    <w:p>
      <w:pPr>
        <w:spacing w:line="560" w:lineRule="exact"/>
        <w:ind w:firstLine="640"/>
        <w:rPr>
          <w:rFonts w:eastAsia="仿宋_GB2312" w:cs="Times New Roman"/>
        </w:rPr>
      </w:pPr>
      <w:r>
        <w:rPr>
          <w:rFonts w:eastAsia="仿宋_GB2312" w:cs="Times New Roman"/>
        </w:rPr>
        <w:t>1.完善生态文明教育体系</w:t>
      </w:r>
    </w:p>
    <w:p>
      <w:pPr>
        <w:spacing w:line="560" w:lineRule="exact"/>
        <w:ind w:firstLine="640"/>
        <w:rPr>
          <w:rFonts w:eastAsia="仿宋_GB2312" w:cs="Times New Roman"/>
        </w:rPr>
      </w:pPr>
      <w:r>
        <w:rPr>
          <w:rFonts w:eastAsia="仿宋_GB2312" w:cs="Times New Roman"/>
        </w:rPr>
        <w:t>（1）加强面向决策层的环保宣传</w:t>
      </w:r>
    </w:p>
    <w:p>
      <w:pPr>
        <w:spacing w:line="560" w:lineRule="exact"/>
        <w:ind w:firstLine="640"/>
        <w:rPr>
          <w:rFonts w:eastAsia="仿宋_GB2312" w:cs="Times New Roman"/>
        </w:rPr>
      </w:pPr>
      <w:r>
        <w:rPr>
          <w:rFonts w:eastAsia="仿宋_GB2312" w:cs="Times New Roman"/>
        </w:rPr>
        <w:t>重点加强对领导干部的生态文明理念培训力度，设立生态环境或环境保护课程，开设环境保护专题讲座，在领导干部中广泛树立生态环境保护与社会经济协调发展的思想，培养正确的生态价值观和科学的经济发展理念。将生态文化作为干部队伍建设和考察的指标，使各级领导干部对政绩的追求变为实践科学发展、建设生态文明的内在动力。</w:t>
      </w:r>
    </w:p>
    <w:p>
      <w:pPr>
        <w:spacing w:line="560" w:lineRule="exact"/>
        <w:ind w:firstLine="640"/>
        <w:rPr>
          <w:rFonts w:eastAsia="仿宋_GB2312" w:cs="Times New Roman"/>
        </w:rPr>
      </w:pPr>
      <w:r>
        <w:rPr>
          <w:rFonts w:eastAsia="仿宋_GB2312" w:cs="Times New Roman"/>
        </w:rPr>
        <w:t>（2）强化媒体的生态文化宣传责任</w:t>
      </w:r>
    </w:p>
    <w:p>
      <w:pPr>
        <w:spacing w:line="560" w:lineRule="exact"/>
        <w:ind w:firstLine="640"/>
        <w:rPr>
          <w:rFonts w:eastAsia="仿宋_GB2312" w:cs="Times New Roman"/>
        </w:rPr>
      </w:pPr>
      <w:r>
        <w:rPr>
          <w:rFonts w:eastAsia="仿宋_GB2312" w:cs="Times New Roman"/>
        </w:rPr>
        <w:t>将更多的媒体资源投入到生态文化建设中，各类媒体加大对生态文化建设宣传的强度，加大黄金时段、主要版面对生态文化、生态理念的宣传力度。加大对环境污染、破坏生态事件的曝光强度和深度。充分利用传播速度快、涉及面广的新媒体或自媒体，创新生态文化宣传的形式和方法。</w:t>
      </w:r>
    </w:p>
    <w:p>
      <w:pPr>
        <w:spacing w:line="560" w:lineRule="exact"/>
        <w:ind w:firstLine="640"/>
        <w:rPr>
          <w:rFonts w:eastAsia="仿宋_GB2312" w:cs="Times New Roman"/>
        </w:rPr>
      </w:pPr>
      <w:r>
        <w:rPr>
          <w:rFonts w:eastAsia="仿宋_GB2312" w:cs="Times New Roman"/>
        </w:rPr>
        <w:t>（3）培育公众的生态文化理念</w:t>
      </w:r>
    </w:p>
    <w:p>
      <w:pPr>
        <w:spacing w:line="560" w:lineRule="exact"/>
        <w:ind w:firstLine="640"/>
        <w:rPr>
          <w:rFonts w:ascii="仿宋_GB2312" w:hAnsi="仿宋_GB2312" w:eastAsia="仿宋_GB2312" w:cs="仿宋_GB2312"/>
        </w:rPr>
      </w:pPr>
      <w:r>
        <w:rPr>
          <w:rFonts w:hint="eastAsia" w:ascii="仿宋_GB2312" w:hAnsi="仿宋_GB2312" w:eastAsia="仿宋_GB2312" w:cs="仿宋_GB2312"/>
        </w:rPr>
        <w:t>公众是生态文化建设的主体力量，公众生态文化素质的高低直接影响着他们对环保的参与状况，直接影响着生态文化建设的进度和成效。建立和完善生态文化培育制度，实施全民生态教育，使生态教育全方位覆盖到家庭、学校和社会。全市形成一种学习生态文明精神、领悟生态文明理念、践行生态文明准则的良好氛围，培养具有较高生态意识的公民。</w:t>
      </w:r>
    </w:p>
    <w:p>
      <w:pPr>
        <w:spacing w:line="560" w:lineRule="exact"/>
        <w:ind w:firstLine="640"/>
        <w:rPr>
          <w:rFonts w:eastAsia="仿宋_GB2312" w:cs="Times New Roman"/>
        </w:rPr>
      </w:pPr>
      <w:r>
        <w:rPr>
          <w:rFonts w:eastAsia="仿宋_GB2312" w:cs="Times New Roman"/>
        </w:rPr>
        <w:t>（4）加强绿色学校建设</w:t>
      </w:r>
    </w:p>
    <w:p>
      <w:pPr>
        <w:spacing w:line="560" w:lineRule="exact"/>
        <w:ind w:firstLine="640"/>
        <w:rPr>
          <w:rFonts w:eastAsia="仿宋_GB2312" w:cs="Times New Roman"/>
        </w:rPr>
      </w:pPr>
      <w:r>
        <w:rPr>
          <w:rFonts w:eastAsia="仿宋_GB2312" w:cs="Times New Roman"/>
        </w:rPr>
        <w:t>积极开展中小学绿色学校创建工作，广泛开展校园绿化、卫生保洁以及垃圾分类搜集等校园环境建设活动，提升师生的环境意识；开设有关自然保护生态教育课程、专题讲座或开展环保主题班会等，让在校学生接受系统性环保教育；积极开展生态环境保护社会实践活动，充分利用元宝山等自然保护区以及风景区、森林公园等资源组织当地中小学生参与生态夏令营等实践活动，亲身体验青山绿水、林木葱茏、鸟语花香的原始自然风光，培养他们保护自然生态环境的意识。</w:t>
      </w:r>
    </w:p>
    <w:p>
      <w:pPr>
        <w:spacing w:line="560" w:lineRule="exact"/>
        <w:ind w:firstLine="640"/>
        <w:rPr>
          <w:rFonts w:eastAsia="仿宋_GB2312" w:cs="Times New Roman"/>
        </w:rPr>
      </w:pPr>
      <w:r>
        <w:rPr>
          <w:rFonts w:eastAsia="仿宋_GB2312" w:cs="Times New Roman"/>
        </w:rPr>
        <w:t>（5）培育农村生态文化</w:t>
      </w:r>
    </w:p>
    <w:p>
      <w:pPr>
        <w:spacing w:line="560" w:lineRule="exact"/>
        <w:ind w:firstLine="640"/>
        <w:rPr>
          <w:rFonts w:eastAsia="仿宋_GB2312" w:cs="Times New Roman"/>
        </w:rPr>
      </w:pPr>
      <w:r>
        <w:rPr>
          <w:rFonts w:eastAsia="仿宋_GB2312" w:cs="Times New Roman"/>
        </w:rPr>
        <w:t>加大环境执法力度，培养环保习惯，树立农民环保信心。规范村民行为，树立农村公众的生态价值观，提升生态伦理道德水平。积极开展农村生态文化培育，通过广播、宣传栏、文艺演出等相关形式，充分提高广大农民群众的生态文化意识，普及和传授生态知识，培育农村生态文化。</w:t>
      </w:r>
    </w:p>
    <w:p>
      <w:pPr>
        <w:spacing w:line="560" w:lineRule="exact"/>
        <w:ind w:firstLine="640"/>
        <w:rPr>
          <w:rFonts w:eastAsia="仿宋_GB2312" w:cs="Times New Roman"/>
        </w:rPr>
      </w:pPr>
      <w:r>
        <w:rPr>
          <w:rFonts w:eastAsia="仿宋_GB2312" w:cs="Times New Roman"/>
        </w:rPr>
        <w:t>2.弘扬优秀传统生态文化</w:t>
      </w:r>
    </w:p>
    <w:p>
      <w:pPr>
        <w:spacing w:line="560" w:lineRule="exact"/>
        <w:ind w:firstLine="640"/>
        <w:rPr>
          <w:rFonts w:eastAsia="仿宋_GB2312" w:cs="Times New Roman"/>
        </w:rPr>
      </w:pPr>
      <w:r>
        <w:rPr>
          <w:rFonts w:eastAsia="仿宋_GB2312" w:cs="Times New Roman"/>
        </w:rPr>
        <w:t>（1）弘扬民族传统文化</w:t>
      </w:r>
    </w:p>
    <w:p>
      <w:pPr>
        <w:spacing w:line="560" w:lineRule="exact"/>
        <w:ind w:firstLine="640"/>
        <w:rPr>
          <w:rFonts w:ascii="仿宋_GB2312" w:hAnsi="仿宋_GB2312" w:eastAsia="仿宋_GB2312" w:cs="仿宋_GB2312"/>
        </w:rPr>
      </w:pPr>
      <w:r>
        <w:rPr>
          <w:rFonts w:eastAsia="仿宋_GB2312" w:cs="Times New Roman"/>
        </w:rPr>
        <w:t>深入挖掘壮、侗、苗、瑶</w:t>
      </w:r>
      <w:r>
        <w:rPr>
          <w:rFonts w:hint="eastAsia" w:ascii="仿宋_GB2312" w:hAnsi="仿宋_GB2312" w:eastAsia="仿宋_GB2312" w:cs="仿宋_GB2312"/>
        </w:rPr>
        <w:t>等少数民族的原生态民族习俗、传统农耕文化、民间乐曲、地方戏、崇拜信仰等中所蕴含的生态智慧与文明观念，与柳州市自然山水风情有机结合，着力打造一批富有浓郁民族特色的以生态文化为主题的文艺精品；持续举办类似</w:t>
      </w:r>
      <w:r>
        <w:rPr>
          <w:rFonts w:eastAsia="仿宋_GB2312" w:cs="Times New Roman"/>
        </w:rPr>
        <w:t>于《八桂大歌》等大型的特色活动，打造民俗旅游文化重大项目；举办以生态文明主题的民间书法、绘画、摄影展等，弘扬民族传统文化，营造生态</w:t>
      </w:r>
      <w:r>
        <w:rPr>
          <w:rFonts w:hint="eastAsia" w:ascii="仿宋_GB2312" w:hAnsi="仿宋_GB2312" w:eastAsia="仿宋_GB2312" w:cs="仿宋_GB2312"/>
        </w:rPr>
        <w:t>文化氛围。</w:t>
      </w:r>
    </w:p>
    <w:p>
      <w:pPr>
        <w:spacing w:line="560" w:lineRule="exact"/>
        <w:ind w:firstLine="640"/>
        <w:rPr>
          <w:rFonts w:eastAsia="仿宋_GB2312" w:cs="Times New Roman"/>
        </w:rPr>
      </w:pPr>
      <w:r>
        <w:rPr>
          <w:rFonts w:eastAsia="仿宋_GB2312" w:cs="Times New Roman"/>
        </w:rPr>
        <w:t>（2）培育生态文化载体</w:t>
      </w:r>
    </w:p>
    <w:p>
      <w:pPr>
        <w:spacing w:line="560" w:lineRule="exact"/>
        <w:ind w:firstLine="640"/>
        <w:rPr>
          <w:rFonts w:cs="Times New Roman"/>
        </w:rPr>
      </w:pPr>
      <w:r>
        <w:rPr>
          <w:rFonts w:eastAsia="仿宋_GB2312" w:cs="Times New Roman"/>
        </w:rPr>
        <w:t>持续加强生态文明教育的硬件建设，构建现代公共文化服务体系。充分发挥博物馆、科技馆、图书馆、影剧院、文化站、体育中心、青少年活动中心、无公害绿色农业展园、环境教育馆、绿色学校以及报纸、电台、电视、网络等大众宣传媒介等在传播生态文化方面的作用，使其成为弘扬生态文化的重要阵地和承载生态文化的重要平台。</w:t>
      </w:r>
    </w:p>
    <w:p>
      <w:pPr>
        <w:spacing w:line="560" w:lineRule="exact"/>
        <w:ind w:firstLine="640"/>
        <w:rPr>
          <w:rFonts w:eastAsia="仿宋_GB2312" w:cs="Times New Roman"/>
        </w:rPr>
      </w:pPr>
      <w:bookmarkStart w:id="173" w:name="_Toc4047"/>
      <w:r>
        <w:rPr>
          <w:rFonts w:eastAsia="仿宋_GB2312" w:cs="Times New Roman"/>
        </w:rPr>
        <w:t>3.持续开展全民生态文明宣教活动</w:t>
      </w:r>
      <w:bookmarkEnd w:id="173"/>
    </w:p>
    <w:p>
      <w:pPr>
        <w:pStyle w:val="23"/>
        <w:widowControl/>
        <w:spacing w:after="0" w:line="560" w:lineRule="exact"/>
        <w:ind w:left="0" w:leftChars="0" w:firstLine="640"/>
        <w:rPr>
          <w:rFonts w:eastAsia="方正仿宋_GBK"/>
          <w:sz w:val="32"/>
        </w:rPr>
      </w:pPr>
      <w:r>
        <w:rPr>
          <w:rFonts w:eastAsia="仿宋_GB2312"/>
          <w:sz w:val="32"/>
        </w:rPr>
        <w:t>以世界环境日、植树节、森林日、湿地日、爱鸟周等重要节日为契机，集中开展以保护生态、热爱森林、爱护动物、建设家园、节约资源为主题的生态文明宣传教育活动；依托柳州民族民间文化的丰富资源，充分利用艺术学校、艺术馆和专业剧团的人才优势，组织地方文艺团体举行“送文化下乡、下社区、进校园、进企业”等活动；以创建绿色学校、绿色饭店、绿色社区、绿色家庭、绿色医院、环境友好型企业等为契机，掀起“绿色系列”单位创建浪潮，使生态文明建设深入人心。</w:t>
      </w:r>
    </w:p>
    <w:p>
      <w:pPr>
        <w:pStyle w:val="5"/>
        <w:spacing w:line="560" w:lineRule="exact"/>
        <w:ind w:firstLine="640"/>
        <w:rPr>
          <w:rFonts w:eastAsia="楷体_GB2312" w:cs="Times New Roman"/>
        </w:rPr>
      </w:pPr>
      <w:r>
        <w:rPr>
          <w:rFonts w:eastAsia="楷体_GB2312" w:cs="Times New Roman"/>
        </w:rPr>
        <w:t>（二）积极推进公众参与</w:t>
      </w:r>
    </w:p>
    <w:p>
      <w:pPr>
        <w:spacing w:line="560" w:lineRule="exact"/>
        <w:ind w:firstLine="640"/>
        <w:rPr>
          <w:rFonts w:eastAsia="仿宋_GB2312" w:cs="Times New Roman"/>
        </w:rPr>
      </w:pPr>
      <w:r>
        <w:rPr>
          <w:rFonts w:eastAsia="仿宋_GB2312" w:cs="Times New Roman"/>
        </w:rPr>
        <w:t>1.广泛动员社会参与</w:t>
      </w:r>
    </w:p>
    <w:p>
      <w:pPr>
        <w:spacing w:line="560" w:lineRule="exact"/>
        <w:ind w:firstLine="640"/>
        <w:rPr>
          <w:rFonts w:eastAsia="仿宋_GB2312" w:cs="Times New Roman"/>
        </w:rPr>
      </w:pPr>
      <w:r>
        <w:rPr>
          <w:rFonts w:eastAsia="仿宋_GB2312" w:cs="Times New Roman"/>
        </w:rPr>
        <w:t>从每个人做起，从身边小事做起，做到人人参与，人人有责。倡导绿色消费、绿色出行、绿色饮食，减少机动车使用频率，养成健康饮食习惯，减少油炸、烧烤类食物的食用。传播绿色环保知识，逐步形成绿色的生活和消费方式。</w:t>
      </w:r>
    </w:p>
    <w:p>
      <w:pPr>
        <w:spacing w:line="560" w:lineRule="exact"/>
        <w:ind w:firstLine="640"/>
        <w:rPr>
          <w:rFonts w:eastAsia="仿宋_GB2312" w:cs="Times New Roman"/>
        </w:rPr>
      </w:pPr>
      <w:r>
        <w:rPr>
          <w:rFonts w:eastAsia="仿宋_GB2312" w:cs="Times New Roman"/>
        </w:rPr>
        <w:t>2.拓宽公众参与渠道</w:t>
      </w:r>
    </w:p>
    <w:p>
      <w:pPr>
        <w:spacing w:line="560" w:lineRule="exact"/>
        <w:ind w:firstLine="640"/>
      </w:pPr>
      <w:r>
        <w:rPr>
          <w:rFonts w:hint="eastAsia" w:ascii="仿宋_GB2312" w:hAnsi="仿宋_GB2312" w:eastAsia="仿宋_GB2312" w:cs="仿宋_GB2312"/>
        </w:rPr>
        <w:t>加大政务信息公开力度，指导企业对公众公开环境信息，每年定期在媒体和网络上公布区域环境空气质量状况和各项污染防治工作进展情况。建立和推行污染有奖举报制度，宣传、引导和鼓励公众监督企业违法排污、车辆“冒黑烟”、渣土运输车辆遗撒、秸秆露天焚烧等行为。积极推进生态文明建设示范县、生态乡镇、生态村、绿色学校、绿色企业、绿色社区、绿色家庭等创建活动。开展公众对生态文明建设的参与度指标及公众对生态文明建设的满意度两项规划指标的专项调研工作，建立专项调研经费以保证调研工作得以持续开展。</w:t>
      </w:r>
    </w:p>
    <w:p>
      <w:pPr>
        <w:spacing w:line="560" w:lineRule="exact"/>
        <w:ind w:firstLine="883"/>
        <w:rPr>
          <w:rFonts w:eastAsia="黑体"/>
          <w:b/>
          <w:bCs/>
          <w:kern w:val="44"/>
          <w:sz w:val="44"/>
          <w:szCs w:val="44"/>
        </w:rPr>
      </w:pPr>
      <w:r>
        <w:rPr>
          <w:rFonts w:eastAsia="黑体"/>
          <w:b/>
          <w:bCs/>
          <w:kern w:val="44"/>
          <w:sz w:val="44"/>
          <w:szCs w:val="44"/>
        </w:rPr>
        <w:br w:type="page"/>
      </w:r>
    </w:p>
    <w:p>
      <w:pPr>
        <w:pStyle w:val="3"/>
        <w:spacing w:line="560" w:lineRule="exact"/>
        <w:ind w:firstLine="880"/>
        <w:jc w:val="center"/>
        <w:rPr>
          <w:b w:val="0"/>
          <w:bCs w:val="0"/>
        </w:rPr>
      </w:pPr>
      <w:bookmarkStart w:id="174" w:name="_Toc6929"/>
      <w:bookmarkStart w:id="175" w:name="_Toc19396"/>
      <w:bookmarkStart w:id="176" w:name="_Toc1890"/>
      <w:bookmarkStart w:id="177" w:name="_Toc18312"/>
      <w:bookmarkStart w:id="178" w:name="_Toc2134"/>
      <w:bookmarkStart w:id="179" w:name="_Toc32010"/>
      <w:bookmarkStart w:id="180" w:name="_Toc13614"/>
      <w:bookmarkStart w:id="181" w:name="_Toc31057"/>
      <w:r>
        <w:rPr>
          <w:rFonts w:hint="eastAsia"/>
          <w:b w:val="0"/>
          <w:bCs w:val="0"/>
        </w:rPr>
        <w:t>第五章  规划重点工程与</w:t>
      </w:r>
      <w:r>
        <w:rPr>
          <w:b w:val="0"/>
          <w:bCs w:val="0"/>
        </w:rPr>
        <w:t>效益分析</w:t>
      </w:r>
      <w:bookmarkEnd w:id="174"/>
      <w:bookmarkEnd w:id="175"/>
      <w:bookmarkEnd w:id="176"/>
      <w:bookmarkEnd w:id="177"/>
      <w:bookmarkEnd w:id="178"/>
      <w:bookmarkEnd w:id="179"/>
      <w:bookmarkEnd w:id="180"/>
      <w:bookmarkEnd w:id="181"/>
    </w:p>
    <w:p>
      <w:pPr>
        <w:pStyle w:val="4"/>
        <w:spacing w:line="560" w:lineRule="exact"/>
        <w:ind w:firstLine="640"/>
        <w:rPr>
          <w:b w:val="0"/>
          <w:bCs w:val="0"/>
        </w:rPr>
      </w:pPr>
      <w:bookmarkStart w:id="182" w:name="_Toc23610"/>
      <w:bookmarkStart w:id="183" w:name="_Toc11314"/>
      <w:bookmarkStart w:id="184" w:name="_Toc6748"/>
      <w:bookmarkStart w:id="185" w:name="_Toc12627"/>
      <w:bookmarkStart w:id="186" w:name="_Toc16548"/>
      <w:bookmarkStart w:id="187" w:name="_Toc7223"/>
      <w:bookmarkStart w:id="188" w:name="_Toc303"/>
      <w:bookmarkStart w:id="189" w:name="_Toc8320"/>
      <w:r>
        <w:rPr>
          <w:rFonts w:hint="eastAsia"/>
          <w:b w:val="0"/>
          <w:bCs w:val="0"/>
        </w:rPr>
        <w:t>一、重点工程</w:t>
      </w:r>
      <w:bookmarkEnd w:id="182"/>
      <w:bookmarkEnd w:id="183"/>
      <w:bookmarkEnd w:id="184"/>
      <w:bookmarkEnd w:id="185"/>
      <w:bookmarkEnd w:id="186"/>
      <w:bookmarkEnd w:id="187"/>
      <w:bookmarkEnd w:id="188"/>
      <w:bookmarkEnd w:id="189"/>
    </w:p>
    <w:p>
      <w:pPr>
        <w:spacing w:line="560" w:lineRule="exact"/>
        <w:ind w:firstLine="640"/>
        <w:rPr>
          <w:rFonts w:eastAsia="仿宋_GB2312" w:cs="Times New Roman"/>
        </w:rPr>
      </w:pPr>
      <w:r>
        <w:rPr>
          <w:rFonts w:eastAsia="仿宋_GB2312" w:cs="Times New Roman"/>
        </w:rPr>
        <w:t>围绕规划目标、主要任务和重点领域，建立生态文明建设示范市重大工程及重点项目清单，明确各项重点项目的责任单位、</w:t>
      </w:r>
      <w:r>
        <w:rPr>
          <w:rFonts w:hint="eastAsia" w:eastAsia="仿宋_GB2312" w:cs="Times New Roman"/>
        </w:rPr>
        <w:t>项目</w:t>
      </w:r>
      <w:r>
        <w:rPr>
          <w:rFonts w:eastAsia="仿宋_GB2312" w:cs="Times New Roman"/>
        </w:rPr>
        <w:t>建设</w:t>
      </w:r>
      <w:r>
        <w:rPr>
          <w:rFonts w:hint="eastAsia" w:eastAsia="仿宋_GB2312" w:cs="Times New Roman"/>
        </w:rPr>
        <w:t>年限</w:t>
      </w:r>
      <w:r>
        <w:rPr>
          <w:rFonts w:eastAsia="仿宋_GB2312" w:cs="Times New Roman"/>
        </w:rPr>
        <w:t>，并加强重点项目跟踪管理，精心组织项目实施，以项目为载体推进柳州市生态文明建设示范市规划实施。</w:t>
      </w:r>
    </w:p>
    <w:p>
      <w:pPr>
        <w:spacing w:line="560" w:lineRule="exact"/>
        <w:ind w:firstLine="640"/>
        <w:rPr>
          <w:rFonts w:eastAsia="仿宋_GB2312" w:cs="Times New Roman"/>
        </w:rPr>
      </w:pPr>
      <w:r>
        <w:rPr>
          <w:rFonts w:eastAsia="仿宋_GB2312" w:cs="Times New Roman"/>
        </w:rPr>
        <w:t>规划启动创建期重点推进生态空间体系建设工程3项，投资0.37亿元；生态经济体系建设工程44项，投资474.64亿元；生态安全体系建设工程3</w:t>
      </w:r>
      <w:r>
        <w:rPr>
          <w:rFonts w:hint="eastAsia" w:eastAsia="仿宋_GB2312" w:cs="Times New Roman"/>
        </w:rPr>
        <w:t>8</w:t>
      </w:r>
      <w:r>
        <w:rPr>
          <w:rFonts w:eastAsia="仿宋_GB2312" w:cs="Times New Roman"/>
        </w:rPr>
        <w:t>项，投资175.14亿元；生态生活体系建设工程37项，投资257.58亿元；生态制度体系建设工程4项，投资0.01亿元；生态文化体系建设工程13项，投资62.76亿元；六大类工程共1</w:t>
      </w:r>
      <w:r>
        <w:rPr>
          <w:rFonts w:hint="eastAsia" w:eastAsia="仿宋_GB2312" w:cs="Times New Roman"/>
        </w:rPr>
        <w:t>39</w:t>
      </w:r>
      <w:r>
        <w:rPr>
          <w:rFonts w:eastAsia="仿宋_GB2312" w:cs="Times New Roman"/>
        </w:rPr>
        <w:t>项重点建设项目，总投资970.5亿元（详见表2及附表1）。</w:t>
      </w:r>
    </w:p>
    <w:p>
      <w:pPr>
        <w:ind w:firstLine="640"/>
        <w:jc w:val="center"/>
        <w:rPr>
          <w:rFonts w:eastAsia="方正小标宋简体" w:cs="Times New Roman"/>
          <w:bCs/>
          <w:szCs w:val="32"/>
        </w:rPr>
      </w:pPr>
      <w:r>
        <w:rPr>
          <w:rFonts w:eastAsia="方正小标宋简体" w:cs="Times New Roman"/>
          <w:bCs/>
          <w:szCs w:val="32"/>
        </w:rPr>
        <w:t>表2   规划启动创建期规划重点建设工程投资估算表</w:t>
      </w:r>
    </w:p>
    <w:tbl>
      <w:tblPr>
        <w:tblStyle w:val="25"/>
        <w:tblW w:w="8516" w:type="dxa"/>
        <w:jc w:val="center"/>
        <w:tblLayout w:type="fixed"/>
        <w:tblCellMar>
          <w:top w:w="0" w:type="dxa"/>
          <w:left w:w="108" w:type="dxa"/>
          <w:bottom w:w="0" w:type="dxa"/>
          <w:right w:w="108" w:type="dxa"/>
        </w:tblCellMar>
      </w:tblPr>
      <w:tblGrid>
        <w:gridCol w:w="754"/>
        <w:gridCol w:w="2794"/>
        <w:gridCol w:w="1282"/>
        <w:gridCol w:w="1510"/>
        <w:gridCol w:w="2176"/>
      </w:tblGrid>
      <w:tr>
        <w:tblPrEx>
          <w:tblCellMar>
            <w:top w:w="0" w:type="dxa"/>
            <w:left w:w="108" w:type="dxa"/>
            <w:bottom w:w="0" w:type="dxa"/>
            <w:right w:w="108" w:type="dxa"/>
          </w:tblCellMar>
        </w:tblPrEx>
        <w:trPr>
          <w:trHeight w:val="23" w:hRule="atLeast"/>
          <w:jc w:val="center"/>
        </w:trPr>
        <w:tc>
          <w:tcPr>
            <w:tcW w:w="754" w:type="dxa"/>
            <w:tcBorders>
              <w:top w:val="single" w:color="auto" w:sz="8" w:space="0"/>
              <w:left w:val="single" w:color="auto" w:sz="8" w:space="0"/>
              <w:bottom w:val="single" w:color="auto" w:sz="8" w:space="0"/>
              <w:right w:val="single" w:color="auto" w:sz="8" w:space="0"/>
            </w:tcBorders>
            <w:vAlign w:val="center"/>
          </w:tcPr>
          <w:p>
            <w:pPr>
              <w:pStyle w:val="74"/>
              <w:adjustRightInd w:val="0"/>
              <w:snapToGrid w:val="0"/>
              <w:spacing w:line="560" w:lineRule="exact"/>
              <w:rPr>
                <w:rFonts w:eastAsia="仿宋_GB2312" w:cs="Times New Roman"/>
                <w:b/>
                <w:kern w:val="0"/>
                <w:szCs w:val="24"/>
              </w:rPr>
            </w:pPr>
            <w:r>
              <w:rPr>
                <w:rFonts w:eastAsia="仿宋_GB2312" w:cs="Times New Roman"/>
                <w:b/>
                <w:kern w:val="0"/>
                <w:szCs w:val="24"/>
              </w:rPr>
              <w:t>序号</w:t>
            </w:r>
          </w:p>
        </w:tc>
        <w:tc>
          <w:tcPr>
            <w:tcW w:w="2794"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b/>
                <w:kern w:val="0"/>
                <w:szCs w:val="24"/>
              </w:rPr>
            </w:pPr>
            <w:r>
              <w:rPr>
                <w:rFonts w:eastAsia="仿宋_GB2312" w:cs="Times New Roman"/>
                <w:b/>
                <w:kern w:val="0"/>
                <w:szCs w:val="24"/>
              </w:rPr>
              <w:t>工程类别</w:t>
            </w:r>
          </w:p>
        </w:tc>
        <w:tc>
          <w:tcPr>
            <w:tcW w:w="1282"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b/>
                <w:kern w:val="0"/>
                <w:szCs w:val="24"/>
              </w:rPr>
            </w:pPr>
            <w:r>
              <w:rPr>
                <w:rFonts w:eastAsia="仿宋_GB2312" w:cs="Times New Roman"/>
                <w:b/>
                <w:kern w:val="0"/>
                <w:szCs w:val="24"/>
              </w:rPr>
              <w:t>项目数量</w:t>
            </w:r>
          </w:p>
        </w:tc>
        <w:tc>
          <w:tcPr>
            <w:tcW w:w="1510"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b/>
                <w:kern w:val="0"/>
                <w:szCs w:val="24"/>
              </w:rPr>
            </w:pPr>
            <w:r>
              <w:rPr>
                <w:rFonts w:eastAsia="仿宋_GB2312" w:cs="Times New Roman"/>
                <w:b/>
                <w:kern w:val="0"/>
                <w:szCs w:val="24"/>
              </w:rPr>
              <w:t>投资（亿元）</w:t>
            </w:r>
          </w:p>
        </w:tc>
        <w:tc>
          <w:tcPr>
            <w:tcW w:w="2176"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b/>
                <w:kern w:val="0"/>
                <w:szCs w:val="24"/>
              </w:rPr>
            </w:pPr>
            <w:r>
              <w:rPr>
                <w:rFonts w:eastAsia="仿宋_GB2312" w:cs="Times New Roman"/>
                <w:b/>
                <w:kern w:val="0"/>
                <w:szCs w:val="24"/>
              </w:rPr>
              <w:t>投资比例（%）</w:t>
            </w:r>
          </w:p>
        </w:tc>
      </w:tr>
      <w:tr>
        <w:tblPrEx>
          <w:tblCellMar>
            <w:top w:w="0" w:type="dxa"/>
            <w:left w:w="108" w:type="dxa"/>
            <w:bottom w:w="0" w:type="dxa"/>
            <w:right w:w="108" w:type="dxa"/>
          </w:tblCellMar>
        </w:tblPrEx>
        <w:trPr>
          <w:trHeight w:val="23" w:hRule="atLeast"/>
          <w:jc w:val="center"/>
        </w:trPr>
        <w:tc>
          <w:tcPr>
            <w:tcW w:w="754" w:type="dxa"/>
            <w:tcBorders>
              <w:top w:val="single" w:color="auto" w:sz="8" w:space="0"/>
              <w:left w:val="single" w:color="auto" w:sz="8" w:space="0"/>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1</w:t>
            </w:r>
          </w:p>
        </w:tc>
        <w:tc>
          <w:tcPr>
            <w:tcW w:w="2794"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生态空间体系建设工程</w:t>
            </w:r>
          </w:p>
        </w:tc>
        <w:tc>
          <w:tcPr>
            <w:tcW w:w="1282"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3</w:t>
            </w:r>
          </w:p>
        </w:tc>
        <w:tc>
          <w:tcPr>
            <w:tcW w:w="1510"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0.37</w:t>
            </w:r>
          </w:p>
        </w:tc>
        <w:tc>
          <w:tcPr>
            <w:tcW w:w="2176"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0.04</w:t>
            </w:r>
          </w:p>
        </w:tc>
      </w:tr>
      <w:tr>
        <w:tblPrEx>
          <w:tblCellMar>
            <w:top w:w="0" w:type="dxa"/>
            <w:left w:w="108" w:type="dxa"/>
            <w:bottom w:w="0" w:type="dxa"/>
            <w:right w:w="108" w:type="dxa"/>
          </w:tblCellMar>
        </w:tblPrEx>
        <w:trPr>
          <w:trHeight w:val="23" w:hRule="atLeast"/>
          <w:jc w:val="center"/>
        </w:trPr>
        <w:tc>
          <w:tcPr>
            <w:tcW w:w="754" w:type="dxa"/>
            <w:tcBorders>
              <w:top w:val="single" w:color="auto" w:sz="8" w:space="0"/>
              <w:left w:val="single" w:color="auto" w:sz="8" w:space="0"/>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2</w:t>
            </w:r>
          </w:p>
        </w:tc>
        <w:tc>
          <w:tcPr>
            <w:tcW w:w="2794"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生态经济体系建设工程</w:t>
            </w:r>
          </w:p>
        </w:tc>
        <w:tc>
          <w:tcPr>
            <w:tcW w:w="1282"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44</w:t>
            </w:r>
          </w:p>
        </w:tc>
        <w:tc>
          <w:tcPr>
            <w:tcW w:w="1510"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474.64</w:t>
            </w:r>
          </w:p>
        </w:tc>
        <w:tc>
          <w:tcPr>
            <w:tcW w:w="2176" w:type="dxa"/>
            <w:tcBorders>
              <w:top w:val="single" w:color="auto" w:sz="8" w:space="0"/>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48.91</w:t>
            </w:r>
          </w:p>
        </w:tc>
      </w:tr>
      <w:tr>
        <w:tblPrEx>
          <w:tblCellMar>
            <w:top w:w="0" w:type="dxa"/>
            <w:left w:w="108" w:type="dxa"/>
            <w:bottom w:w="0" w:type="dxa"/>
            <w:right w:w="108" w:type="dxa"/>
          </w:tblCellMar>
        </w:tblPrEx>
        <w:trPr>
          <w:trHeight w:val="23" w:hRule="atLeast"/>
          <w:jc w:val="center"/>
        </w:trPr>
        <w:tc>
          <w:tcPr>
            <w:tcW w:w="754" w:type="dxa"/>
            <w:tcBorders>
              <w:top w:val="nil"/>
              <w:left w:val="single" w:color="auto" w:sz="8" w:space="0"/>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3</w:t>
            </w:r>
          </w:p>
        </w:tc>
        <w:tc>
          <w:tcPr>
            <w:tcW w:w="2794"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生态安全体系建设工程</w:t>
            </w:r>
          </w:p>
        </w:tc>
        <w:tc>
          <w:tcPr>
            <w:tcW w:w="1282"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3</w:t>
            </w:r>
            <w:r>
              <w:rPr>
                <w:rFonts w:hint="eastAsia" w:eastAsia="仿宋_GB2312" w:cs="Times New Roman"/>
                <w:kern w:val="0"/>
                <w:szCs w:val="24"/>
              </w:rPr>
              <w:t>8</w:t>
            </w:r>
          </w:p>
        </w:tc>
        <w:tc>
          <w:tcPr>
            <w:tcW w:w="1510"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175.14</w:t>
            </w:r>
          </w:p>
        </w:tc>
        <w:tc>
          <w:tcPr>
            <w:tcW w:w="2176"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18.05</w:t>
            </w:r>
          </w:p>
        </w:tc>
      </w:tr>
      <w:tr>
        <w:tblPrEx>
          <w:tblCellMar>
            <w:top w:w="0" w:type="dxa"/>
            <w:left w:w="108" w:type="dxa"/>
            <w:bottom w:w="0" w:type="dxa"/>
            <w:right w:w="108" w:type="dxa"/>
          </w:tblCellMar>
        </w:tblPrEx>
        <w:trPr>
          <w:trHeight w:val="23" w:hRule="atLeast"/>
          <w:jc w:val="center"/>
        </w:trPr>
        <w:tc>
          <w:tcPr>
            <w:tcW w:w="754" w:type="dxa"/>
            <w:tcBorders>
              <w:top w:val="nil"/>
              <w:left w:val="single" w:color="auto" w:sz="8" w:space="0"/>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4</w:t>
            </w:r>
          </w:p>
        </w:tc>
        <w:tc>
          <w:tcPr>
            <w:tcW w:w="2794"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生态生活体系建设工程</w:t>
            </w:r>
          </w:p>
        </w:tc>
        <w:tc>
          <w:tcPr>
            <w:tcW w:w="1282"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37</w:t>
            </w:r>
          </w:p>
        </w:tc>
        <w:tc>
          <w:tcPr>
            <w:tcW w:w="1510"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257.58</w:t>
            </w:r>
          </w:p>
        </w:tc>
        <w:tc>
          <w:tcPr>
            <w:tcW w:w="2176"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26.54</w:t>
            </w:r>
          </w:p>
        </w:tc>
      </w:tr>
      <w:tr>
        <w:tblPrEx>
          <w:tblCellMar>
            <w:top w:w="0" w:type="dxa"/>
            <w:left w:w="108" w:type="dxa"/>
            <w:bottom w:w="0" w:type="dxa"/>
            <w:right w:w="108" w:type="dxa"/>
          </w:tblCellMar>
        </w:tblPrEx>
        <w:trPr>
          <w:trHeight w:val="23" w:hRule="atLeast"/>
          <w:jc w:val="center"/>
        </w:trPr>
        <w:tc>
          <w:tcPr>
            <w:tcW w:w="754" w:type="dxa"/>
            <w:tcBorders>
              <w:top w:val="nil"/>
              <w:left w:val="single" w:color="auto" w:sz="8" w:space="0"/>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5</w:t>
            </w:r>
          </w:p>
        </w:tc>
        <w:tc>
          <w:tcPr>
            <w:tcW w:w="2794"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生态制度体系建设工程</w:t>
            </w:r>
          </w:p>
        </w:tc>
        <w:tc>
          <w:tcPr>
            <w:tcW w:w="1282"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4</w:t>
            </w:r>
          </w:p>
        </w:tc>
        <w:tc>
          <w:tcPr>
            <w:tcW w:w="1510"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0.01</w:t>
            </w:r>
          </w:p>
        </w:tc>
        <w:tc>
          <w:tcPr>
            <w:tcW w:w="2176"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0.001</w:t>
            </w:r>
          </w:p>
        </w:tc>
      </w:tr>
      <w:tr>
        <w:tblPrEx>
          <w:tblCellMar>
            <w:top w:w="0" w:type="dxa"/>
            <w:left w:w="108" w:type="dxa"/>
            <w:bottom w:w="0" w:type="dxa"/>
            <w:right w:w="108" w:type="dxa"/>
          </w:tblCellMar>
        </w:tblPrEx>
        <w:trPr>
          <w:trHeight w:val="23" w:hRule="atLeast"/>
          <w:jc w:val="center"/>
        </w:trPr>
        <w:tc>
          <w:tcPr>
            <w:tcW w:w="754" w:type="dxa"/>
            <w:tcBorders>
              <w:top w:val="nil"/>
              <w:left w:val="single" w:color="auto" w:sz="8" w:space="0"/>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6</w:t>
            </w:r>
          </w:p>
        </w:tc>
        <w:tc>
          <w:tcPr>
            <w:tcW w:w="2794"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生态文化体系建设工程</w:t>
            </w:r>
          </w:p>
        </w:tc>
        <w:tc>
          <w:tcPr>
            <w:tcW w:w="1282"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13</w:t>
            </w:r>
          </w:p>
        </w:tc>
        <w:tc>
          <w:tcPr>
            <w:tcW w:w="1510"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62.76</w:t>
            </w:r>
          </w:p>
        </w:tc>
        <w:tc>
          <w:tcPr>
            <w:tcW w:w="2176"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kern w:val="0"/>
                <w:szCs w:val="24"/>
              </w:rPr>
            </w:pPr>
            <w:r>
              <w:rPr>
                <w:rFonts w:eastAsia="仿宋_GB2312" w:cs="Times New Roman"/>
                <w:kern w:val="0"/>
                <w:szCs w:val="24"/>
              </w:rPr>
              <w:t>6.47</w:t>
            </w:r>
          </w:p>
        </w:tc>
      </w:tr>
      <w:tr>
        <w:tblPrEx>
          <w:tblCellMar>
            <w:top w:w="0" w:type="dxa"/>
            <w:left w:w="108" w:type="dxa"/>
            <w:bottom w:w="0" w:type="dxa"/>
            <w:right w:w="108" w:type="dxa"/>
          </w:tblCellMar>
        </w:tblPrEx>
        <w:trPr>
          <w:trHeight w:val="23" w:hRule="atLeast"/>
          <w:jc w:val="center"/>
        </w:trPr>
        <w:tc>
          <w:tcPr>
            <w:tcW w:w="3548" w:type="dxa"/>
            <w:gridSpan w:val="2"/>
            <w:tcBorders>
              <w:top w:val="single" w:color="auto" w:sz="8" w:space="0"/>
              <w:left w:val="single" w:color="auto" w:sz="8" w:space="0"/>
              <w:bottom w:val="single" w:color="auto" w:sz="8" w:space="0"/>
              <w:right w:val="single" w:color="000000" w:sz="8" w:space="0"/>
            </w:tcBorders>
            <w:vAlign w:val="center"/>
          </w:tcPr>
          <w:p>
            <w:pPr>
              <w:pStyle w:val="74"/>
              <w:adjustRightInd w:val="0"/>
              <w:snapToGrid w:val="0"/>
              <w:spacing w:line="560" w:lineRule="exact"/>
              <w:rPr>
                <w:rFonts w:eastAsia="仿宋_GB2312" w:cs="Times New Roman"/>
                <w:b/>
                <w:bCs/>
                <w:kern w:val="0"/>
                <w:szCs w:val="24"/>
              </w:rPr>
            </w:pPr>
            <w:r>
              <w:rPr>
                <w:rFonts w:eastAsia="仿宋_GB2312" w:cs="Times New Roman"/>
                <w:b/>
                <w:bCs/>
                <w:kern w:val="0"/>
                <w:szCs w:val="24"/>
              </w:rPr>
              <w:t>合计</w:t>
            </w:r>
          </w:p>
        </w:tc>
        <w:tc>
          <w:tcPr>
            <w:tcW w:w="1282"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b/>
                <w:bCs/>
                <w:kern w:val="0"/>
                <w:szCs w:val="24"/>
              </w:rPr>
            </w:pPr>
            <w:r>
              <w:rPr>
                <w:rFonts w:eastAsia="仿宋_GB2312" w:cs="Times New Roman"/>
                <w:b/>
                <w:bCs/>
                <w:kern w:val="0"/>
                <w:szCs w:val="24"/>
              </w:rPr>
              <w:t>1</w:t>
            </w:r>
            <w:r>
              <w:rPr>
                <w:rFonts w:hint="eastAsia" w:eastAsia="仿宋_GB2312" w:cs="Times New Roman"/>
                <w:b/>
                <w:bCs/>
                <w:kern w:val="0"/>
                <w:szCs w:val="24"/>
              </w:rPr>
              <w:t>39</w:t>
            </w:r>
          </w:p>
        </w:tc>
        <w:tc>
          <w:tcPr>
            <w:tcW w:w="1510"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b/>
                <w:bCs/>
                <w:kern w:val="0"/>
                <w:szCs w:val="24"/>
              </w:rPr>
            </w:pPr>
            <w:r>
              <w:rPr>
                <w:rFonts w:eastAsia="仿宋_GB2312" w:cs="Times New Roman"/>
                <w:b/>
                <w:bCs/>
                <w:kern w:val="0"/>
                <w:szCs w:val="24"/>
              </w:rPr>
              <w:t>970.5</w:t>
            </w:r>
          </w:p>
        </w:tc>
        <w:tc>
          <w:tcPr>
            <w:tcW w:w="2176" w:type="dxa"/>
            <w:tcBorders>
              <w:top w:val="nil"/>
              <w:left w:val="nil"/>
              <w:bottom w:val="single" w:color="auto" w:sz="8" w:space="0"/>
              <w:right w:val="single" w:color="auto" w:sz="8" w:space="0"/>
            </w:tcBorders>
            <w:vAlign w:val="center"/>
          </w:tcPr>
          <w:p>
            <w:pPr>
              <w:pStyle w:val="74"/>
              <w:adjustRightInd w:val="0"/>
              <w:snapToGrid w:val="0"/>
              <w:spacing w:line="560" w:lineRule="exact"/>
              <w:rPr>
                <w:rFonts w:eastAsia="仿宋_GB2312" w:cs="Times New Roman"/>
                <w:b/>
                <w:bCs/>
                <w:kern w:val="0"/>
                <w:szCs w:val="24"/>
              </w:rPr>
            </w:pPr>
            <w:r>
              <w:rPr>
                <w:rFonts w:eastAsia="仿宋_GB2312" w:cs="Times New Roman"/>
                <w:b/>
                <w:bCs/>
                <w:kern w:val="0"/>
                <w:szCs w:val="24"/>
              </w:rPr>
              <w:t>100</w:t>
            </w:r>
          </w:p>
        </w:tc>
      </w:tr>
    </w:tbl>
    <w:p>
      <w:pPr>
        <w:pStyle w:val="4"/>
        <w:spacing w:line="560" w:lineRule="exact"/>
        <w:ind w:firstLine="640"/>
        <w:rPr>
          <w:b w:val="0"/>
          <w:bCs w:val="0"/>
        </w:rPr>
      </w:pPr>
      <w:bookmarkStart w:id="190" w:name="_Toc21548"/>
      <w:bookmarkStart w:id="191" w:name="_Toc19630"/>
      <w:bookmarkStart w:id="192" w:name="_Toc26886"/>
      <w:bookmarkStart w:id="193" w:name="_Toc28963"/>
      <w:bookmarkStart w:id="194" w:name="_Toc9976"/>
      <w:bookmarkStart w:id="195" w:name="_Toc27758"/>
      <w:bookmarkStart w:id="196" w:name="_Toc12776"/>
      <w:bookmarkStart w:id="197" w:name="_Toc1618"/>
      <w:r>
        <w:rPr>
          <w:rFonts w:hint="eastAsia"/>
          <w:b w:val="0"/>
          <w:bCs w:val="0"/>
        </w:rPr>
        <w:t>二、效益分析</w:t>
      </w:r>
      <w:bookmarkEnd w:id="190"/>
      <w:bookmarkEnd w:id="191"/>
      <w:bookmarkEnd w:id="192"/>
      <w:bookmarkEnd w:id="193"/>
      <w:bookmarkEnd w:id="194"/>
      <w:bookmarkEnd w:id="195"/>
      <w:bookmarkEnd w:id="196"/>
      <w:bookmarkEnd w:id="197"/>
    </w:p>
    <w:p>
      <w:pPr>
        <w:pStyle w:val="5"/>
        <w:spacing w:line="560" w:lineRule="exact"/>
        <w:ind w:firstLine="640"/>
        <w:rPr>
          <w:rFonts w:ascii="楷体_GB2312" w:hAnsi="楷体_GB2312" w:eastAsia="楷体_GB2312" w:cs="楷体_GB2312"/>
        </w:rPr>
      </w:pPr>
      <w:r>
        <w:rPr>
          <w:rFonts w:hint="eastAsia" w:ascii="楷体_GB2312" w:hAnsi="楷体_GB2312" w:eastAsia="楷体_GB2312" w:cs="楷体_GB2312"/>
        </w:rPr>
        <w:t>（一）经济效益</w:t>
      </w:r>
    </w:p>
    <w:p>
      <w:pPr>
        <w:spacing w:line="560" w:lineRule="exact"/>
        <w:ind w:firstLine="640"/>
        <w:rPr>
          <w:rFonts w:eastAsia="仿宋_GB2312" w:cs="Times New Roman"/>
        </w:rPr>
      </w:pPr>
      <w:r>
        <w:rPr>
          <w:rFonts w:eastAsia="仿宋_GB2312" w:cs="Times New Roman"/>
        </w:rPr>
        <w:t>1.推动经济增长</w:t>
      </w:r>
    </w:p>
    <w:p>
      <w:pPr>
        <w:spacing w:line="560" w:lineRule="exact"/>
        <w:ind w:firstLine="640"/>
        <w:rPr>
          <w:rFonts w:cs="Times New Roman"/>
        </w:rPr>
      </w:pPr>
      <w:r>
        <w:rPr>
          <w:rFonts w:eastAsia="仿宋_GB2312" w:cs="Times New Roman"/>
        </w:rPr>
        <w:t>规划实施后，生态经济模式初步形成，经济发展的适应性和稳定性增强。三次产业构成关系趋于协调，经济组分之间的有序化程度提高。工业朝着生态工业、生态园区等绿色方向发展，对环境更为友好，产值将更高。农业朝着生态农业、有机循环农业等绿色方向发展，既解决了已有的农业环境问题，又大大提高农业生产效率，增加了农民收入，生态生产与经济生产形成了较为合理的接应支持关系。同时还将</w:t>
      </w:r>
      <w:r>
        <w:rPr>
          <w:rFonts w:hint="eastAsia" w:eastAsia="仿宋_GB2312" w:cs="Times New Roman"/>
        </w:rPr>
        <w:t>带动</w:t>
      </w:r>
      <w:r>
        <w:rPr>
          <w:rFonts w:eastAsia="仿宋_GB2312" w:cs="Times New Roman"/>
        </w:rPr>
        <w:t>服务业的快速发展，将为剩余劳动力提供更多的就业机会和创业空间，扩大群众收入途径，从而增加群众收入，使社会整体经济水平提高。</w:t>
      </w:r>
    </w:p>
    <w:p>
      <w:pPr>
        <w:spacing w:line="560" w:lineRule="exact"/>
        <w:ind w:firstLine="640"/>
        <w:rPr>
          <w:rFonts w:cs="Times New Roman"/>
          <w:b/>
          <w:bCs/>
        </w:rPr>
      </w:pPr>
      <w:r>
        <w:rPr>
          <w:rFonts w:eastAsia="仿宋_GB2312" w:cs="Times New Roman"/>
        </w:rPr>
        <w:t>2.促进生态经济类指标达标</w:t>
      </w:r>
    </w:p>
    <w:p>
      <w:pPr>
        <w:spacing w:line="560" w:lineRule="exact"/>
        <w:ind w:firstLine="640"/>
        <w:rPr>
          <w:rFonts w:cs="Times New Roman"/>
        </w:rPr>
      </w:pPr>
      <w:r>
        <w:rPr>
          <w:rFonts w:eastAsia="仿宋_GB2312" w:cs="Times New Roman"/>
        </w:rPr>
        <w:t>规划期间，通过实施生态工业、能源结构调整、产业结构调整、循环经济、生态农业、生态旅游业等一批生态经济类工程，建设鹿寨县石墨烯新材料产业基地、静脉产业园及重污染企业搬迁、改造等项目，使柳州市产业生态化，企业集约化，技术创新，产品高端，以创造更大经济效益，提高工业副增加值，有利以降低柳州市的单位地区生产总值能耗和单位地区生产总值用水量指标；鹿寨黄冕风电场、柳州琦泉生物质发电有限公司生物质发电等新的清洁能源开发利用及管网优化改造升压及柳北片区焦炉煤气气源转换、五菱柳机新能源PHEV核心零部件及系统集成开发项目、广西汽车集团新能源整车项目等利用清洁能源的新工艺及清洁产品有利于企业通过清洁生产审核，有利于“应当实施强制性清洁生产企业通过审核的比例”达标。柳工智能化工厂升级改造、柳挖新建中型挖掘机智能化生产线项目等生态经济类工程的实施，以及再生资源循环利用加工、一般工业固体废物综合利用等循环利用类项目的实施，有利于节能降耗减排、工业集约化和绿色化，有效促进了全市资源和能源利用效率明显提高，经济可持续发展能力显著增强，经济发展的质量和效益明显提升。</w:t>
      </w:r>
    </w:p>
    <w:p>
      <w:pPr>
        <w:spacing w:line="560" w:lineRule="exact"/>
        <w:ind w:firstLine="640"/>
        <w:rPr>
          <w:rFonts w:eastAsia="仿宋_GB2312" w:cs="Times New Roman"/>
        </w:rPr>
      </w:pPr>
      <w:r>
        <w:rPr>
          <w:rFonts w:eastAsia="仿宋_GB2312" w:cs="Times New Roman"/>
        </w:rPr>
        <w:t>3.减少环境污染和生态破坏造成的经济损失</w:t>
      </w:r>
    </w:p>
    <w:p>
      <w:pPr>
        <w:spacing w:line="560" w:lineRule="exact"/>
        <w:ind w:firstLine="640"/>
        <w:rPr>
          <w:rFonts w:eastAsia="仿宋_GB2312" w:cs="Times New Roman"/>
        </w:rPr>
      </w:pPr>
      <w:r>
        <w:rPr>
          <w:rFonts w:eastAsia="仿宋_GB2312" w:cs="Times New Roman"/>
        </w:rPr>
        <w:t>通过生态文明建设示范市</w:t>
      </w:r>
      <w:r>
        <w:rPr>
          <w:rFonts w:hint="eastAsia" w:eastAsia="仿宋_GB2312" w:cs="Times New Roman"/>
        </w:rPr>
        <w:t>创建</w:t>
      </w:r>
      <w:r>
        <w:rPr>
          <w:rFonts w:eastAsia="仿宋_GB2312" w:cs="Times New Roman"/>
        </w:rPr>
        <w:t>，将大幅改善生态环境，提高环境质量，明显减少由于水土流失、石漠化、生态系统功能下降、环境污染事故等造成的直接经济损失和由于环境污染等导致的医疗费用增加所造成的经济损失。</w:t>
      </w:r>
    </w:p>
    <w:p>
      <w:pPr>
        <w:spacing w:line="560" w:lineRule="exact"/>
        <w:ind w:firstLine="640"/>
        <w:rPr>
          <w:rFonts w:eastAsia="仿宋_GB2312" w:cs="Times New Roman"/>
        </w:rPr>
      </w:pPr>
      <w:r>
        <w:rPr>
          <w:rFonts w:eastAsia="仿宋_GB2312" w:cs="Times New Roman"/>
        </w:rPr>
        <w:t>4.提升城乡形象，创造好的投资环境</w:t>
      </w:r>
    </w:p>
    <w:p>
      <w:pPr>
        <w:spacing w:line="560" w:lineRule="exact"/>
        <w:ind w:firstLine="640"/>
        <w:rPr>
          <w:rFonts w:eastAsia="仿宋_GB2312" w:cs="Times New Roman"/>
        </w:rPr>
      </w:pPr>
      <w:r>
        <w:rPr>
          <w:rFonts w:eastAsia="仿宋_GB2312" w:cs="Times New Roman"/>
        </w:rPr>
        <w:t>随着柳州市国家生态文明建设示范市的创建，生态环境的改善和环境质量的提高，将减少生态破坏和环境污染带来的对人体健康和社会活动的经济损失，从而减轻财政负担，使得当地的财力可以致力于城乡服务功能建设，从整体上提升城市形象，创造更美好的投资环境。</w:t>
      </w:r>
    </w:p>
    <w:p>
      <w:pPr>
        <w:pStyle w:val="5"/>
        <w:spacing w:line="560" w:lineRule="exact"/>
        <w:ind w:firstLine="640"/>
        <w:rPr>
          <w:rFonts w:eastAsia="楷体_GB2312" w:cs="Times New Roman"/>
        </w:rPr>
      </w:pPr>
      <w:r>
        <w:rPr>
          <w:rFonts w:eastAsia="楷体_GB2312" w:cs="Times New Roman"/>
        </w:rPr>
        <w:t>（二）环境效益</w:t>
      </w:r>
    </w:p>
    <w:p>
      <w:pPr>
        <w:spacing w:line="560" w:lineRule="exact"/>
        <w:ind w:firstLine="640"/>
        <w:rPr>
          <w:rFonts w:eastAsia="仿宋_GB2312" w:cs="Times New Roman"/>
        </w:rPr>
      </w:pPr>
      <w:r>
        <w:rPr>
          <w:rFonts w:eastAsia="仿宋_GB2312" w:cs="Times New Roman"/>
        </w:rPr>
        <w:t>1.有效改善城乡环境质量</w:t>
      </w:r>
    </w:p>
    <w:p>
      <w:pPr>
        <w:spacing w:line="560" w:lineRule="exact"/>
        <w:ind w:firstLine="640"/>
        <w:rPr>
          <w:rFonts w:eastAsia="仿宋_GB2312" w:cs="Times New Roman"/>
        </w:rPr>
      </w:pPr>
      <w:r>
        <w:rPr>
          <w:rFonts w:eastAsia="仿宋_GB2312" w:cs="Times New Roman"/>
        </w:rPr>
        <w:t>规划期内，通过实施水源地保护建设、生态保护修复等一批生态环境体系建设工程，工业烟粉尘污染治理工程、柳钢焦炉烟气脱硫脱硝治理工程、挥发性有机物污染治理项目等的实施将减少企业向空气排放污染物量，减少对环境空气污染，有利于柳州市的环境空气质量指标维持稳定达标；柳州市水环境治理项目、工业园区污水处理、乡镇污水处理厂建设等项目的实施将减少生活污染物向地表水环境的排放量，洛清江环境综合整治等流域治理项目的实施，将有利于地表水环境质量指标在完成自治区考核目标的情况下，有一定程度提升；通过实施农村改厨改厕、农村人饮工程规范化建设等一批环境综合整治工程，城乡的环境将得到极大的改善。通过实施洋紫荆公园、康和公园、惠龙山公园及三门江公园保护提升工程等一批城镇绿地建设项目后，可有效推进城镇绿化建设，持续推动森林生态环境进一步改善和提高，提升人居生活环境</w:t>
      </w:r>
      <w:r>
        <w:rPr>
          <w:rFonts w:hint="eastAsia" w:eastAsia="仿宋_GB2312" w:cs="Times New Roman"/>
        </w:rPr>
        <w:t>质量</w:t>
      </w:r>
      <w:r>
        <w:rPr>
          <w:rFonts w:eastAsia="仿宋_GB2312" w:cs="Times New Roman"/>
        </w:rPr>
        <w:t>，促进人与自然和谐发展。目前未达标的城镇人均公园绿地面积指标在规划期内可达到15平方米/人的标准。</w:t>
      </w:r>
    </w:p>
    <w:p>
      <w:pPr>
        <w:spacing w:line="560" w:lineRule="exact"/>
        <w:ind w:firstLine="640"/>
        <w:rPr>
          <w:rFonts w:eastAsia="仿宋_GB2312" w:cs="Times New Roman"/>
        </w:rPr>
      </w:pPr>
      <w:r>
        <w:rPr>
          <w:rFonts w:eastAsia="仿宋_GB2312" w:cs="Times New Roman"/>
        </w:rPr>
        <w:t>2.生态系统功能得到加强</w:t>
      </w:r>
    </w:p>
    <w:p>
      <w:pPr>
        <w:spacing w:line="560" w:lineRule="exact"/>
        <w:ind w:firstLine="640"/>
        <w:rPr>
          <w:rFonts w:eastAsia="仿宋_GB2312" w:cs="Times New Roman"/>
        </w:rPr>
      </w:pPr>
      <w:r>
        <w:rPr>
          <w:rFonts w:eastAsia="仿宋_GB2312" w:cs="Times New Roman"/>
        </w:rPr>
        <w:t>规划期间，通过实施国家生态公益林、封山育林等重点生态公益林保护工程，石漠化治理项目、主要河流两岸及水库周边水源涵养林等水土保持工程，以及矿山生态环境恢复与治理工程，全市防护林面积、森林覆盖率保持较高水平，石漠化及水土流失得到有效治理，岩溶地区和矿区退化</w:t>
      </w:r>
      <w:r>
        <w:rPr>
          <w:rFonts w:hint="eastAsia" w:eastAsia="仿宋_GB2312" w:cs="Times New Roman"/>
        </w:rPr>
        <w:t>的</w:t>
      </w:r>
      <w:r>
        <w:rPr>
          <w:rFonts w:eastAsia="仿宋_GB2312" w:cs="Times New Roman"/>
        </w:rPr>
        <w:t>生态环境得到有效修复和重建，涵养水源和水土保持能力不断提高，生态屏障和生态功能不断增强。通过开展野生动植物保护工作，区域内的重点保护物种也将得到更好的保护。通过生态文明示范创建，实施一批生态环境体系建设工程，未达标的指标可达到国家标准，已达标的指标在保持现状的基础上，也将有不同程度的提升，从而在整体上改善城市的环境质量。届时柳州市的天更蓝、水更清、地更绿，城乡环境更美丽、宜居，由此带动全市品位和形象的不断提升。</w:t>
      </w:r>
    </w:p>
    <w:p>
      <w:pPr>
        <w:pStyle w:val="5"/>
        <w:spacing w:line="560" w:lineRule="exact"/>
        <w:ind w:firstLine="640"/>
        <w:rPr>
          <w:rFonts w:eastAsia="楷体_GB2312" w:cs="Times New Roman"/>
        </w:rPr>
      </w:pPr>
      <w:r>
        <w:rPr>
          <w:rFonts w:eastAsia="楷体_GB2312" w:cs="Times New Roman"/>
        </w:rPr>
        <w:t>（三）社会效益</w:t>
      </w:r>
    </w:p>
    <w:p>
      <w:pPr>
        <w:spacing w:line="560" w:lineRule="exact"/>
        <w:ind w:firstLine="640"/>
        <w:rPr>
          <w:rFonts w:eastAsia="仿宋_GB2312" w:cs="Times New Roman"/>
        </w:rPr>
      </w:pPr>
      <w:r>
        <w:rPr>
          <w:rFonts w:eastAsia="仿宋_GB2312" w:cs="Times New Roman"/>
        </w:rPr>
        <w:t>1.实现城乡统筹发展，提高居民生活质量</w:t>
      </w:r>
    </w:p>
    <w:p>
      <w:pPr>
        <w:spacing w:line="560" w:lineRule="exact"/>
        <w:ind w:firstLine="640"/>
        <w:rPr>
          <w:rFonts w:cs="Times New Roman"/>
        </w:rPr>
      </w:pPr>
      <w:r>
        <w:rPr>
          <w:rFonts w:eastAsia="仿宋_GB2312" w:cs="Times New Roman"/>
        </w:rPr>
        <w:t>通过生态文明建设示范市创建，城乡环境基础设施将更加完善，城乡环境面貌将进一步得到改善，人们居住的环境将更加舒适，人与自然的关系将更加和谐。随着人均收入和城镇化水平的不断提高以及贫困人口的不断下降，交通、通讯、给排水、卫生等基础设施的不断完善以及城乡社会保障体系的日益完善，城乡二元结构将逐步消除，食品和饮用水安全得到有效保障，人民生活质量将得到显著提高。</w:t>
      </w:r>
    </w:p>
    <w:p>
      <w:pPr>
        <w:spacing w:line="560" w:lineRule="exact"/>
        <w:ind w:firstLine="640"/>
        <w:rPr>
          <w:rFonts w:eastAsia="仿宋_GB2312" w:cs="Times New Roman"/>
        </w:rPr>
      </w:pPr>
      <w:r>
        <w:rPr>
          <w:rFonts w:eastAsia="仿宋_GB2312" w:cs="Times New Roman"/>
        </w:rPr>
        <w:t>2.促进社会稳定发展</w:t>
      </w:r>
    </w:p>
    <w:p>
      <w:pPr>
        <w:spacing w:line="560" w:lineRule="exact"/>
        <w:ind w:firstLine="640"/>
        <w:rPr>
          <w:rFonts w:eastAsia="仿宋_GB2312" w:cs="Times New Roman"/>
        </w:rPr>
      </w:pPr>
      <w:r>
        <w:rPr>
          <w:rFonts w:eastAsia="仿宋_GB2312" w:cs="Times New Roman"/>
        </w:rPr>
        <w:t>生态文明建设的社会效益主要体现在促进当地社会稳定，人民群众生活水平和质量的提高及社会发展可持续性的改善，社会救济、社会福利和社会医疗等保障体系逐渐完善，缩小贫富差距，使得人民在生活、就业、教育、医疗、卫生、保健、社会福利等方面享有的内容不断得</w:t>
      </w:r>
      <w:r>
        <w:rPr>
          <w:rFonts w:hint="eastAsia" w:eastAsia="仿宋_GB2312" w:cs="Times New Roman"/>
        </w:rPr>
        <w:t>到满足</w:t>
      </w:r>
      <w:r>
        <w:rPr>
          <w:rFonts w:eastAsia="仿宋_GB2312" w:cs="Times New Roman"/>
        </w:rPr>
        <w:t>。同时由于生态经济建设的发展将创造多种就业机会，改变人们生产生活的环境，促进社会的安定团结和文明进步。</w:t>
      </w:r>
    </w:p>
    <w:p>
      <w:pPr>
        <w:spacing w:line="560" w:lineRule="exact"/>
        <w:ind w:firstLine="640"/>
        <w:rPr>
          <w:rFonts w:eastAsia="仿宋_GB2312" w:cs="Times New Roman"/>
        </w:rPr>
      </w:pPr>
      <w:r>
        <w:rPr>
          <w:rFonts w:eastAsia="仿宋_GB2312" w:cs="Times New Roman"/>
        </w:rPr>
        <w:t>3.促进规划指标稳定达标</w:t>
      </w:r>
    </w:p>
    <w:p>
      <w:pPr>
        <w:spacing w:line="560" w:lineRule="exact"/>
        <w:ind w:firstLine="640"/>
        <w:rPr>
          <w:rFonts w:eastAsia="仿宋_GB2312" w:cs="Times New Roman"/>
        </w:rPr>
      </w:pPr>
      <w:r>
        <w:rPr>
          <w:rFonts w:eastAsia="仿宋_GB2312" w:cs="Times New Roman"/>
        </w:rPr>
        <w:t>规划期内，通过实施新能源公交车项目，实施农村客运公交化改造，扩大乡村社区公共交通覆盖率，同时</w:t>
      </w:r>
      <w:r>
        <w:rPr>
          <w:rFonts w:hint="eastAsia" w:eastAsia="仿宋_GB2312" w:cs="Times New Roman"/>
        </w:rPr>
        <w:t>促进</w:t>
      </w:r>
      <w:r>
        <w:rPr>
          <w:rFonts w:eastAsia="仿宋_GB2312" w:cs="Times New Roman"/>
        </w:rPr>
        <w:t>公众绿色出行率在原来达标的基础上，将有一定的提升。随着大力推广绿色建筑节能、节水器具，该指标在规划期内将有所提升；通过实施一批具体的生态生活项目，柳州市民的生活方式将更为绿色化。在实施城镇污水处理设施建设、城镇生活垃圾无害化处理设施建设等一批生态生活体系工程后，城镇污水处理率、城镇生活垃圾无害化处理率指标在达到省级考核要求的基础上，将有一定的提升；市集中式饮用水源地保护项目、县集中式饮用水源地保护项目、乡镇集中式饮用水源地保护项目以及水厂建设的实施，有利于饮用水水源地保护及水质安全，使集中式饮用水水源地水质优良比例将持续保持在100%的水平；饮用水源地专项整治及加强农村饮用水源地规范化建设，农村饮用水安全得到保障。广西主要支流柳江防洪治理融水县城区河道治理工程、交壅沟应急治涝工程、柳城县里明河湾防汛护岸工程等公共基础设施的建设，以及三江县“美丽柳州”乡村建设综合示范村、柳江区“乡约·藕遇”美丽乡村建设等一批生态生活体系工程的实施，可有效改善全市人民群众的人居环境，提升人民群众的生活品质，带来明显的社会效益。</w:t>
      </w:r>
    </w:p>
    <w:p>
      <w:pPr>
        <w:spacing w:line="560" w:lineRule="exact"/>
        <w:ind w:firstLine="640"/>
        <w:rPr>
          <w:rFonts w:eastAsia="仿宋_GB2312" w:cs="Times New Roman"/>
        </w:rPr>
      </w:pPr>
      <w:r>
        <w:rPr>
          <w:rFonts w:eastAsia="仿宋_GB2312" w:cs="Times New Roman"/>
        </w:rPr>
        <w:t>4.改善投资环境，增强招商引资能力</w:t>
      </w:r>
    </w:p>
    <w:p>
      <w:pPr>
        <w:spacing w:line="560" w:lineRule="exact"/>
        <w:ind w:firstLine="640"/>
        <w:rPr>
          <w:rFonts w:cs="Times New Roman"/>
        </w:rPr>
      </w:pPr>
      <w:r>
        <w:rPr>
          <w:rFonts w:eastAsia="仿宋_GB2312" w:cs="Times New Roman"/>
        </w:rPr>
        <w:t>通过生态文明建设示范市</w:t>
      </w:r>
      <w:r>
        <w:rPr>
          <w:rFonts w:hint="eastAsia" w:eastAsia="仿宋_GB2312" w:cs="Times New Roman"/>
        </w:rPr>
        <w:t>创建</w:t>
      </w:r>
      <w:r>
        <w:rPr>
          <w:rFonts w:eastAsia="仿宋_GB2312" w:cs="Times New Roman"/>
        </w:rPr>
        <w:t>，城乡基础设施将更加完善，城市服务功能将显著增强，环境将更加优美，提升整个城市的品位和形象，投资环境的竞争力大大增强，成为区内外资本争相投入的资金洼地和投资热土，给经济发展带来更强劲的推动力。</w:t>
      </w:r>
    </w:p>
    <w:p>
      <w:pPr>
        <w:spacing w:line="560" w:lineRule="exact"/>
        <w:ind w:firstLine="640"/>
        <w:rPr>
          <w:rFonts w:eastAsia="仿宋_GB2312" w:cs="Times New Roman"/>
        </w:rPr>
      </w:pPr>
      <w:r>
        <w:rPr>
          <w:rFonts w:eastAsia="仿宋_GB2312" w:cs="Times New Roman"/>
        </w:rPr>
        <w:t>5.增强公众生态环保意识，提高人口素质</w:t>
      </w:r>
    </w:p>
    <w:p>
      <w:pPr>
        <w:spacing w:line="560" w:lineRule="exact"/>
        <w:ind w:firstLine="640"/>
      </w:pPr>
      <w:r>
        <w:rPr>
          <w:rFonts w:eastAsia="仿宋_GB2312" w:cs="Times New Roman"/>
        </w:rPr>
        <w:t>通过生态文化建设，有利于不断提高居民受教育人口比例和受教育程度，有利促进整个社会生态文明程度和提高人口素质，使普通百姓形成文明、健康、科学、环保的生产和生活方式，养成节约资源和保护环境的生活生产习惯，树立尊重自然、顺应自然和保护自然的生态价值观念，可产生较为明显的社会效益。</w:t>
      </w:r>
    </w:p>
    <w:p>
      <w:pPr>
        <w:spacing w:line="560" w:lineRule="exact"/>
        <w:ind w:firstLine="640"/>
        <w:sectPr>
          <w:footerReference r:id="rId20" w:type="default"/>
          <w:pgSz w:w="11906" w:h="16838"/>
          <w:pgMar w:top="1418" w:right="1418" w:bottom="1418" w:left="1418" w:header="851" w:footer="992" w:gutter="0"/>
          <w:cols w:space="425" w:num="1"/>
          <w:docGrid w:type="linesAndChars" w:linePitch="312" w:charSpace="0"/>
        </w:sectPr>
      </w:pPr>
      <w:r>
        <w:br w:type="page"/>
      </w:r>
    </w:p>
    <w:p>
      <w:pPr>
        <w:ind w:firstLine="640"/>
        <w:jc w:val="center"/>
        <w:rPr>
          <w:rFonts w:eastAsia="方正小标宋简体" w:cs="Times New Roman"/>
          <w:bCs/>
          <w:szCs w:val="32"/>
        </w:rPr>
      </w:pPr>
      <w:r>
        <w:rPr>
          <w:rFonts w:eastAsia="方正小标宋简体" w:cs="Times New Roman"/>
          <w:bCs/>
          <w:szCs w:val="32"/>
        </w:rPr>
        <w:t>表3   工程项目设置与规划指标的对应分析表</w:t>
      </w:r>
    </w:p>
    <w:tbl>
      <w:tblPr>
        <w:tblStyle w:val="25"/>
        <w:tblW w:w="14191" w:type="dxa"/>
        <w:tblCellSpacing w:w="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7"/>
        <w:gridCol w:w="1105"/>
        <w:gridCol w:w="1128"/>
        <w:gridCol w:w="1245"/>
        <w:gridCol w:w="5142"/>
        <w:gridCol w:w="1230"/>
        <w:gridCol w:w="2201"/>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blHeader/>
          <w:tblCellSpacing w:w="0" w:type="dxa"/>
        </w:trPr>
        <w:tc>
          <w:tcPr>
            <w:tcW w:w="667" w:type="dxa"/>
            <w:vMerge w:val="restart"/>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r>
              <w:rPr>
                <w:rFonts w:ascii="Times New Roman" w:hAnsi="Times New Roman" w:eastAsia="仿宋_GB2312" w:cs="Times New Roman"/>
                <w:b/>
              </w:rPr>
              <w:t>序号</w:t>
            </w:r>
          </w:p>
        </w:tc>
        <w:tc>
          <w:tcPr>
            <w:tcW w:w="1105" w:type="dxa"/>
            <w:vMerge w:val="restart"/>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r>
              <w:rPr>
                <w:rFonts w:ascii="Times New Roman" w:hAnsi="Times New Roman" w:eastAsia="仿宋_GB2312" w:cs="Times New Roman"/>
                <w:b/>
              </w:rPr>
              <w:t>重点任务</w:t>
            </w:r>
          </w:p>
        </w:tc>
        <w:tc>
          <w:tcPr>
            <w:tcW w:w="1128" w:type="dxa"/>
            <w:vMerge w:val="restart"/>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r>
              <w:rPr>
                <w:rFonts w:ascii="Times New Roman" w:hAnsi="Times New Roman" w:eastAsia="仿宋_GB2312" w:cs="Times New Roman"/>
                <w:b/>
              </w:rPr>
              <w:t>工程类别</w:t>
            </w:r>
          </w:p>
        </w:tc>
        <w:tc>
          <w:tcPr>
            <w:tcW w:w="1245" w:type="dxa"/>
            <w:vMerge w:val="restart"/>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r>
              <w:rPr>
                <w:rFonts w:ascii="Times New Roman" w:hAnsi="Times New Roman" w:eastAsia="仿宋_GB2312" w:cs="Times New Roman"/>
                <w:b/>
              </w:rPr>
              <w:t>项目及投资</w:t>
            </w:r>
          </w:p>
        </w:tc>
        <w:tc>
          <w:tcPr>
            <w:tcW w:w="5142" w:type="dxa"/>
            <w:vMerge w:val="restart"/>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r>
              <w:rPr>
                <w:rFonts w:ascii="Times New Roman" w:hAnsi="Times New Roman" w:eastAsia="仿宋_GB2312" w:cs="Times New Roman"/>
                <w:b/>
              </w:rPr>
              <w:t>主要工程措施</w:t>
            </w:r>
          </w:p>
        </w:tc>
        <w:tc>
          <w:tcPr>
            <w:tcW w:w="4904" w:type="dxa"/>
            <w:gridSpan w:val="3"/>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r>
              <w:rPr>
                <w:rFonts w:ascii="Times New Roman" w:hAnsi="Times New Roman" w:eastAsia="仿宋_GB2312" w:cs="Times New Roman"/>
                <w:b/>
              </w:rPr>
              <w:t>对应指标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0" w:hRule="atLeast"/>
          <w:tblHeader/>
          <w:tblCellSpacing w:w="0" w:type="dxa"/>
        </w:trPr>
        <w:tc>
          <w:tcPr>
            <w:tcW w:w="667" w:type="dxa"/>
            <w:vMerge w:val="continue"/>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p>
        </w:tc>
        <w:tc>
          <w:tcPr>
            <w:tcW w:w="1105" w:type="dxa"/>
            <w:vMerge w:val="continue"/>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p>
        </w:tc>
        <w:tc>
          <w:tcPr>
            <w:tcW w:w="1128" w:type="dxa"/>
            <w:vMerge w:val="continue"/>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p>
        </w:tc>
        <w:tc>
          <w:tcPr>
            <w:tcW w:w="1245" w:type="dxa"/>
            <w:vMerge w:val="continue"/>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p>
        </w:tc>
        <w:tc>
          <w:tcPr>
            <w:tcW w:w="5142" w:type="dxa"/>
            <w:vMerge w:val="continue"/>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p>
        </w:tc>
        <w:tc>
          <w:tcPr>
            <w:tcW w:w="1230"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r>
              <w:rPr>
                <w:rFonts w:ascii="Times New Roman" w:hAnsi="Times New Roman" w:eastAsia="仿宋_GB2312" w:cs="Times New Roman"/>
                <w:b/>
              </w:rPr>
              <w:t>提升幅度较大指标</w:t>
            </w:r>
          </w:p>
        </w:tc>
        <w:tc>
          <w:tcPr>
            <w:tcW w:w="2201"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r>
              <w:rPr>
                <w:rFonts w:ascii="Times New Roman" w:hAnsi="Times New Roman" w:eastAsia="仿宋_GB2312" w:cs="Times New Roman"/>
                <w:b/>
              </w:rPr>
              <w:t>提升幅度较小或维持现状指标</w:t>
            </w:r>
          </w:p>
        </w:tc>
        <w:tc>
          <w:tcPr>
            <w:tcW w:w="1473"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
              </w:rPr>
            </w:pPr>
            <w:r>
              <w:rPr>
                <w:rFonts w:ascii="Times New Roman" w:hAnsi="Times New Roman" w:eastAsia="仿宋_GB2312" w:cs="Times New Roman"/>
                <w:b/>
              </w:rPr>
              <w:t>未达标指标可达标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tblCellSpacing w:w="0" w:type="dxa"/>
        </w:trPr>
        <w:tc>
          <w:tcPr>
            <w:tcW w:w="667" w:type="dxa"/>
            <w:tcBorders>
              <w:top w:val="single" w:color="auto" w:sz="4" w:space="0"/>
              <w:left w:val="single" w:color="auto" w:sz="4" w:space="0"/>
              <w:bottom w:val="single" w:color="auto" w:sz="4" w:space="0"/>
              <w:right w:val="single" w:color="auto" w:sz="4" w:space="0"/>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1</w:t>
            </w:r>
          </w:p>
        </w:tc>
        <w:tc>
          <w:tcPr>
            <w:tcW w:w="1105" w:type="dxa"/>
            <w:tcBorders>
              <w:top w:val="single" w:color="auto" w:sz="4" w:space="0"/>
              <w:left w:val="single" w:color="auto" w:sz="4" w:space="0"/>
              <w:bottom w:val="single" w:color="auto" w:sz="4" w:space="0"/>
              <w:right w:val="single" w:color="auto" w:sz="4" w:space="0"/>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构建优化的生态空间</w:t>
            </w:r>
          </w:p>
        </w:tc>
        <w:tc>
          <w:tcPr>
            <w:tcW w:w="1128" w:type="dxa"/>
            <w:tcBorders>
              <w:top w:val="single" w:color="auto" w:sz="4" w:space="0"/>
              <w:left w:val="single" w:color="auto" w:sz="4" w:space="0"/>
              <w:bottom w:val="single" w:color="auto" w:sz="4" w:space="0"/>
              <w:right w:val="single" w:color="auto" w:sz="4" w:space="0"/>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生态空间体系建设工程</w:t>
            </w:r>
          </w:p>
        </w:tc>
        <w:tc>
          <w:tcPr>
            <w:tcW w:w="1245" w:type="dxa"/>
            <w:tcBorders>
              <w:top w:val="single" w:color="auto" w:sz="4" w:space="0"/>
              <w:left w:val="single" w:color="auto" w:sz="4" w:space="0"/>
              <w:bottom w:val="single" w:color="auto" w:sz="4" w:space="0"/>
              <w:right w:val="single" w:color="auto" w:sz="4" w:space="0"/>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3个项目，投资0.37亿元</w:t>
            </w:r>
          </w:p>
        </w:tc>
        <w:tc>
          <w:tcPr>
            <w:tcW w:w="5142" w:type="dxa"/>
            <w:tcBorders>
              <w:top w:val="single" w:color="auto" w:sz="4" w:space="0"/>
              <w:left w:val="single" w:color="auto" w:sz="4" w:space="0"/>
              <w:bottom w:val="single" w:color="auto" w:sz="4" w:space="0"/>
              <w:right w:val="single" w:color="auto" w:sz="4" w:space="0"/>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1、编制柳州市国土空间规划（0.34亿元）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2、柳州市生态保护红线划定</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3、柳州市河湖管理范围划定（0.03亿元）</w:t>
            </w:r>
          </w:p>
        </w:tc>
        <w:tc>
          <w:tcPr>
            <w:tcW w:w="1230" w:type="dxa"/>
            <w:tcBorders>
              <w:top w:val="single" w:color="auto" w:sz="4" w:space="0"/>
              <w:left w:val="single" w:color="auto" w:sz="4" w:space="0"/>
              <w:bottom w:val="single" w:color="auto" w:sz="4" w:space="0"/>
              <w:right w:val="single" w:color="auto" w:sz="4" w:space="0"/>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Cs/>
              </w:rPr>
            </w:pPr>
            <w:r>
              <w:rPr>
                <w:rFonts w:ascii="Times New Roman" w:hAnsi="Times New Roman" w:eastAsia="仿宋_GB2312" w:cs="Times New Roman"/>
                <w:bCs/>
              </w:rPr>
              <w:t>/</w:t>
            </w:r>
          </w:p>
        </w:tc>
        <w:tc>
          <w:tcPr>
            <w:tcW w:w="2201" w:type="dxa"/>
            <w:tcBorders>
              <w:top w:val="single" w:color="auto" w:sz="4" w:space="0"/>
              <w:left w:val="single" w:color="auto" w:sz="4" w:space="0"/>
              <w:bottom w:val="single" w:color="auto" w:sz="4" w:space="0"/>
              <w:right w:val="single" w:color="auto" w:sz="4" w:space="0"/>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自然生态空间</w:t>
            </w:r>
          </w:p>
        </w:tc>
        <w:tc>
          <w:tcPr>
            <w:tcW w:w="1473" w:type="dxa"/>
            <w:tcBorders>
              <w:top w:val="single" w:color="auto" w:sz="4" w:space="0"/>
              <w:left w:val="single" w:color="auto" w:sz="4" w:space="0"/>
              <w:bottom w:val="single" w:color="auto" w:sz="4" w:space="0"/>
              <w:right w:val="single" w:color="auto" w:sz="4" w:space="0"/>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Cs/>
              </w:rPr>
            </w:pPr>
            <w:r>
              <w:rPr>
                <w:rFonts w:ascii="Times New Roman" w:hAnsi="Times New Roman" w:eastAsia="仿宋_GB2312" w:cs="Times New Roman"/>
                <w:bCs/>
              </w:rPr>
              <w:t>河湖岸线保护率</w:t>
            </w:r>
            <w:r>
              <w:rPr>
                <w:rFonts w:hint="eastAsia" w:ascii="Times New Roman" w:hAnsi="Times New Roman" w:eastAsia="仿宋_GB2312" w:cs="Times New Roman"/>
                <w:bCs/>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0" w:hRule="atLeast"/>
          <w:tblCellSpacing w:w="0" w:type="dxa"/>
        </w:trPr>
        <w:tc>
          <w:tcPr>
            <w:tcW w:w="667"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2</w:t>
            </w:r>
          </w:p>
        </w:tc>
        <w:tc>
          <w:tcPr>
            <w:tcW w:w="1105"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发展绿色的生态经济</w:t>
            </w:r>
          </w:p>
        </w:tc>
        <w:tc>
          <w:tcPr>
            <w:tcW w:w="1128"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生态经济体系建设工程</w:t>
            </w:r>
          </w:p>
        </w:tc>
        <w:tc>
          <w:tcPr>
            <w:tcW w:w="1245"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44个项目，投资474.64亿元</w:t>
            </w:r>
          </w:p>
        </w:tc>
        <w:tc>
          <w:tcPr>
            <w:tcW w:w="5142"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1、调整产业结构（5个项目，47.6亿元）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2、调整能源结构（19个项目，296.59亿元）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3、发展生态工业（5个项目，22.25亿元）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4、发展生态农业（7个项目，19.13亿元）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5、发展生态服务业（5个项目，71.02亿元）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6、循环利用（3个项目，18.05亿元）</w:t>
            </w:r>
          </w:p>
        </w:tc>
        <w:tc>
          <w:tcPr>
            <w:tcW w:w="1230"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Cs/>
              </w:rPr>
            </w:pPr>
            <w:r>
              <w:rPr>
                <w:rFonts w:ascii="Times New Roman" w:hAnsi="Times New Roman" w:eastAsia="仿宋_GB2312" w:cs="Times New Roman"/>
                <w:bCs/>
              </w:rPr>
              <w:t>/</w:t>
            </w:r>
          </w:p>
        </w:tc>
        <w:tc>
          <w:tcPr>
            <w:tcW w:w="2201"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单位地区生产总值用水量、单位国内生产总值建设用地使用面积下降率、应当实施强制性清洁生产企业通过审核的比例</w:t>
            </w:r>
            <w:r>
              <w:rPr>
                <w:rFonts w:hint="eastAsia" w:ascii="Times New Roman" w:hAnsi="Times New Roman" w:eastAsia="仿宋_GB2312" w:cs="Times New Roman"/>
                <w:bCs/>
              </w:rPr>
              <w:t>、一般工业固体废物综合利用率</w:t>
            </w:r>
          </w:p>
        </w:tc>
        <w:tc>
          <w:tcPr>
            <w:tcW w:w="1473"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单位地区生产总值能耗（约束性）/碳排放强度（约束性）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0" w:hRule="atLeast"/>
          <w:tblCellSpacing w:w="0" w:type="dxa"/>
        </w:trPr>
        <w:tc>
          <w:tcPr>
            <w:tcW w:w="667"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3</w:t>
            </w:r>
          </w:p>
        </w:tc>
        <w:tc>
          <w:tcPr>
            <w:tcW w:w="1105"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维护良好的生态安全</w:t>
            </w:r>
          </w:p>
        </w:tc>
        <w:tc>
          <w:tcPr>
            <w:tcW w:w="1128"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生态安全体系建设工程</w:t>
            </w:r>
          </w:p>
        </w:tc>
        <w:tc>
          <w:tcPr>
            <w:tcW w:w="1245"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3</w:t>
            </w:r>
            <w:r>
              <w:rPr>
                <w:rFonts w:hint="eastAsia" w:ascii="Times New Roman" w:hAnsi="Times New Roman" w:eastAsia="仿宋_GB2312" w:cs="Times New Roman"/>
                <w:bCs/>
              </w:rPr>
              <w:t>8</w:t>
            </w:r>
            <w:r>
              <w:rPr>
                <w:rFonts w:ascii="Times New Roman" w:hAnsi="Times New Roman" w:eastAsia="仿宋_GB2312" w:cs="Times New Roman"/>
                <w:bCs/>
              </w:rPr>
              <w:t>个项目，投资175.14亿元</w:t>
            </w:r>
          </w:p>
        </w:tc>
        <w:tc>
          <w:tcPr>
            <w:tcW w:w="5142"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1、水环境综合治理（14个项目，37.33亿元）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2、大气污染防控（4个项目，13亿元）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3、土壤环境污染防治（2个项目，3.0亿元）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4、推进噪声污染防控</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5、垃圾处理（7个项目，20.83亿元）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6、森林公园建设（1个项目，10.0亿元）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7、湿地公园建设（3个项目，55.18亿元）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8、森林资源培育（3个项目，30.67亿元）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9、安全处置医废和危废（</w:t>
            </w:r>
            <w:r>
              <w:rPr>
                <w:rFonts w:hint="eastAsia" w:ascii="Times New Roman" w:hAnsi="Times New Roman" w:eastAsia="仿宋_GB2312" w:cs="Times New Roman"/>
                <w:bCs/>
              </w:rPr>
              <w:t>3</w:t>
            </w:r>
            <w:r>
              <w:rPr>
                <w:rFonts w:ascii="Times New Roman" w:hAnsi="Times New Roman" w:eastAsia="仿宋_GB2312" w:cs="Times New Roman"/>
                <w:bCs/>
              </w:rPr>
              <w:t>个项目，5.12亿元）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10、矿山修复</w:t>
            </w:r>
            <w:r>
              <w:rPr>
                <w:rFonts w:hint="eastAsia" w:ascii="Times New Roman" w:hAnsi="Times New Roman" w:eastAsia="仿宋_GB2312" w:cs="Times New Roman"/>
                <w:bCs/>
              </w:rPr>
              <w:t>1个项目</w:t>
            </w:r>
          </w:p>
        </w:tc>
        <w:tc>
          <w:tcPr>
            <w:tcW w:w="1230"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Cs/>
              </w:rPr>
            </w:pPr>
            <w:r>
              <w:rPr>
                <w:rFonts w:ascii="Times New Roman" w:hAnsi="Times New Roman" w:eastAsia="仿宋_GB2312" w:cs="Times New Roman"/>
                <w:bCs/>
              </w:rPr>
              <w:t>/</w:t>
            </w:r>
          </w:p>
        </w:tc>
        <w:tc>
          <w:tcPr>
            <w:tcW w:w="2201"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环境空气质量、水环境质量、生态环境状况指数（EI）、林草覆盖率、生物多样性保护、危险废物利用处置率、建</w:t>
            </w:r>
            <w:r>
              <w:rPr>
                <w:rFonts w:hint="eastAsia" w:ascii="Times New Roman" w:hAnsi="Times New Roman" w:eastAsia="仿宋_GB2312" w:cs="Times New Roman"/>
                <w:bCs/>
              </w:rPr>
              <w:t>设</w:t>
            </w:r>
            <w:r>
              <w:rPr>
                <w:rFonts w:ascii="Times New Roman" w:hAnsi="Times New Roman" w:eastAsia="仿宋_GB2312" w:cs="Times New Roman"/>
                <w:bCs/>
              </w:rPr>
              <w:t>用地土壤污染风险管控和修复名录制度、突发生态环境事件应急管理机制</w:t>
            </w:r>
          </w:p>
        </w:tc>
        <w:tc>
          <w:tcPr>
            <w:tcW w:w="1473"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Cs/>
              </w:rPr>
            </w:pPr>
            <w:r>
              <w:rPr>
                <w:rFonts w:ascii="Times New Roman" w:hAnsi="Times New Roman" w:eastAsia="仿宋_GB2312"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CellSpacing w:w="0" w:type="dxa"/>
        </w:trPr>
        <w:tc>
          <w:tcPr>
            <w:tcW w:w="667"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4</w:t>
            </w:r>
          </w:p>
        </w:tc>
        <w:tc>
          <w:tcPr>
            <w:tcW w:w="1105"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践行绿色的生态生活</w:t>
            </w:r>
          </w:p>
        </w:tc>
        <w:tc>
          <w:tcPr>
            <w:tcW w:w="1128"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生态生活体系建设工程</w:t>
            </w:r>
          </w:p>
        </w:tc>
        <w:tc>
          <w:tcPr>
            <w:tcW w:w="1245"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37个项目，投资257.58亿元</w:t>
            </w:r>
          </w:p>
          <w:p>
            <w:pPr>
              <w:pStyle w:val="21"/>
              <w:spacing w:beforeAutospacing="0" w:afterAutospacing="0" w:line="240" w:lineRule="atLeast"/>
              <w:rPr>
                <w:rFonts w:ascii="Times New Roman" w:hAnsi="Times New Roman" w:eastAsia="仿宋_GB2312" w:cs="Times New Roman"/>
                <w:bCs/>
              </w:rPr>
            </w:pPr>
          </w:p>
        </w:tc>
        <w:tc>
          <w:tcPr>
            <w:tcW w:w="5142"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1、饮用水源地保护（6个项目，9.88亿元）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2、公共服务设施建设（8个项目，30.96亿元）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3、公园绿地建设（7个项目，69.56亿元）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4、人居环境综合整治（4个项目，32.09亿元）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5、绿色建筑、绿色交通、绿色消费（6个项目，3.0亿元）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6、智慧城市建设（6个项目，112.08亿元）</w:t>
            </w:r>
          </w:p>
        </w:tc>
        <w:tc>
          <w:tcPr>
            <w:tcW w:w="1230"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Cs/>
              </w:rPr>
            </w:pPr>
            <w:r>
              <w:rPr>
                <w:rFonts w:ascii="Times New Roman" w:hAnsi="Times New Roman" w:eastAsia="仿宋_GB2312" w:cs="Times New Roman"/>
                <w:bCs/>
              </w:rPr>
              <w:t>/</w:t>
            </w:r>
          </w:p>
        </w:tc>
        <w:tc>
          <w:tcPr>
            <w:tcW w:w="2201"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集中式饮用水水源地水质优良比例、城镇生活垃圾无害化处理率</w:t>
            </w:r>
            <w:r>
              <w:rPr>
                <w:rFonts w:hint="eastAsia" w:ascii="Times New Roman" w:hAnsi="Times New Roman" w:eastAsia="仿宋_GB2312" w:cs="Times New Roman"/>
                <w:bCs/>
              </w:rPr>
              <w:t>、</w:t>
            </w:r>
            <w:r>
              <w:rPr>
                <w:rFonts w:ascii="Times New Roman" w:hAnsi="Times New Roman" w:eastAsia="仿宋_GB2312" w:cs="Times New Roman"/>
                <w:bCs/>
              </w:rPr>
              <w:t>生活废弃物综合利用、政府绿色采购比例</w:t>
            </w:r>
          </w:p>
        </w:tc>
        <w:tc>
          <w:tcPr>
            <w:tcW w:w="1473"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城镇污水处理率、城镇人均公园绿地面积、城镇新建绿色建筑比例、公共交通出行分担率、绿色产品市场占有率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8" w:hRule="atLeast"/>
          <w:tblCellSpacing w:w="0" w:type="dxa"/>
        </w:trPr>
        <w:tc>
          <w:tcPr>
            <w:tcW w:w="667"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5</w:t>
            </w:r>
          </w:p>
        </w:tc>
        <w:tc>
          <w:tcPr>
            <w:tcW w:w="1105"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弘扬科学的生态文化</w:t>
            </w:r>
          </w:p>
        </w:tc>
        <w:tc>
          <w:tcPr>
            <w:tcW w:w="1128"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生态文化体系建设工程</w:t>
            </w:r>
          </w:p>
        </w:tc>
        <w:tc>
          <w:tcPr>
            <w:tcW w:w="1245"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13个项目，投资62.76亿元</w:t>
            </w:r>
          </w:p>
          <w:p>
            <w:pPr>
              <w:pStyle w:val="21"/>
              <w:spacing w:beforeAutospacing="0" w:afterAutospacing="0" w:line="240" w:lineRule="atLeast"/>
              <w:rPr>
                <w:rFonts w:ascii="Times New Roman" w:hAnsi="Times New Roman" w:eastAsia="仿宋_GB2312" w:cs="Times New Roman"/>
                <w:bCs/>
              </w:rPr>
            </w:pPr>
          </w:p>
        </w:tc>
        <w:tc>
          <w:tcPr>
            <w:tcW w:w="5142"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1、绿色教育与宣传（5个项目，25.93亿元）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2、生态文化建设与宣传（8个项目，36.84亿元）</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3、积极推进公众参与</w:t>
            </w:r>
          </w:p>
        </w:tc>
        <w:tc>
          <w:tcPr>
            <w:tcW w:w="1230"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Cs/>
              </w:rPr>
            </w:pPr>
            <w:r>
              <w:rPr>
                <w:rFonts w:ascii="Times New Roman" w:hAnsi="Times New Roman" w:eastAsia="仿宋_GB2312" w:cs="Times New Roman"/>
                <w:bCs/>
              </w:rPr>
              <w:t>/</w:t>
            </w:r>
          </w:p>
        </w:tc>
        <w:tc>
          <w:tcPr>
            <w:tcW w:w="2201"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党政领导干部参加生态文明培训的人数比例</w:t>
            </w:r>
          </w:p>
        </w:tc>
        <w:tc>
          <w:tcPr>
            <w:tcW w:w="1473" w:type="dxa"/>
            <w:tcBorders>
              <w:tl2br w:val="nil"/>
              <w:tr2bl w:val="nil"/>
            </w:tcBorders>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公众对生态文明建设的满意度、公众对生态文明建设的参与度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0" w:hRule="atLeast"/>
          <w:tblCellSpacing w:w="0" w:type="dxa"/>
        </w:trPr>
        <w:tc>
          <w:tcPr>
            <w:tcW w:w="667" w:type="dxa"/>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6</w:t>
            </w:r>
          </w:p>
        </w:tc>
        <w:tc>
          <w:tcPr>
            <w:tcW w:w="1105" w:type="dxa"/>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健全完善的生态制度</w:t>
            </w:r>
          </w:p>
        </w:tc>
        <w:tc>
          <w:tcPr>
            <w:tcW w:w="1128" w:type="dxa"/>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生态制度体系建设工程</w:t>
            </w:r>
          </w:p>
        </w:tc>
        <w:tc>
          <w:tcPr>
            <w:tcW w:w="1245" w:type="dxa"/>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4个项目，投资0.01亿元</w:t>
            </w:r>
          </w:p>
          <w:p>
            <w:pPr>
              <w:pStyle w:val="21"/>
              <w:spacing w:beforeAutospacing="0" w:afterAutospacing="0" w:line="240" w:lineRule="atLeast"/>
              <w:rPr>
                <w:rFonts w:ascii="Times New Roman" w:hAnsi="Times New Roman" w:eastAsia="仿宋_GB2312" w:cs="Times New Roman"/>
                <w:bCs/>
              </w:rPr>
            </w:pPr>
          </w:p>
        </w:tc>
        <w:tc>
          <w:tcPr>
            <w:tcW w:w="5142" w:type="dxa"/>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1、完善源头保护制度</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2、健全过程严管制度</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3、健全后果严惩制度</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4、统筹山水林田湖草系统治理制度</w:t>
            </w:r>
          </w:p>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5、落实环境经济政策</w:t>
            </w:r>
          </w:p>
        </w:tc>
        <w:tc>
          <w:tcPr>
            <w:tcW w:w="1230" w:type="dxa"/>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Cs/>
              </w:rPr>
            </w:pPr>
            <w:r>
              <w:rPr>
                <w:rFonts w:ascii="Times New Roman" w:hAnsi="Times New Roman" w:eastAsia="仿宋_GB2312" w:cs="Times New Roman"/>
                <w:bCs/>
              </w:rPr>
              <w:t>/</w:t>
            </w:r>
          </w:p>
        </w:tc>
        <w:tc>
          <w:tcPr>
            <w:tcW w:w="2201" w:type="dxa"/>
            <w:shd w:val="clear" w:color="auto" w:fill="FFFFFF"/>
            <w:tcMar>
              <w:top w:w="72" w:type="dxa"/>
              <w:left w:w="144" w:type="dxa"/>
              <w:bottom w:w="72" w:type="dxa"/>
              <w:right w:w="144" w:type="dxa"/>
            </w:tcMar>
            <w:vAlign w:val="center"/>
          </w:tcPr>
          <w:p>
            <w:pPr>
              <w:pStyle w:val="21"/>
              <w:spacing w:beforeAutospacing="0" w:afterAutospacing="0" w:line="240" w:lineRule="atLeast"/>
              <w:rPr>
                <w:rFonts w:ascii="Times New Roman" w:hAnsi="Times New Roman" w:eastAsia="仿宋_GB2312" w:cs="Times New Roman"/>
                <w:bCs/>
              </w:rPr>
            </w:pPr>
            <w:r>
              <w:rPr>
                <w:rFonts w:ascii="Times New Roman" w:hAnsi="Times New Roman" w:eastAsia="仿宋_GB2312" w:cs="Times New Roman"/>
                <w:bCs/>
              </w:rPr>
              <w:t>生态文明建设规划、党委政府对生态文明建设重大目标任务部署情况、生态文明建设工作占党政实绩考核的比例、河长制、生态环境信息公开率、依法开展规划环境影响评价</w:t>
            </w:r>
          </w:p>
        </w:tc>
        <w:tc>
          <w:tcPr>
            <w:tcW w:w="1473" w:type="dxa"/>
            <w:shd w:val="clear" w:color="auto" w:fill="FFFFFF"/>
            <w:tcMar>
              <w:top w:w="72" w:type="dxa"/>
              <w:left w:w="144" w:type="dxa"/>
              <w:bottom w:w="72" w:type="dxa"/>
              <w:right w:w="144" w:type="dxa"/>
            </w:tcMar>
            <w:vAlign w:val="center"/>
          </w:tcPr>
          <w:p>
            <w:pPr>
              <w:pStyle w:val="21"/>
              <w:spacing w:beforeAutospacing="0" w:afterAutospacing="0" w:line="240" w:lineRule="atLeast"/>
              <w:jc w:val="center"/>
              <w:rPr>
                <w:rFonts w:ascii="Times New Roman" w:hAnsi="Times New Roman" w:eastAsia="仿宋_GB2312" w:cs="Times New Roman"/>
                <w:bCs/>
              </w:rPr>
            </w:pPr>
            <w:r>
              <w:rPr>
                <w:rFonts w:ascii="Times New Roman" w:hAnsi="Times New Roman" w:eastAsia="仿宋_GB2312" w:cs="Times New Roman"/>
                <w:bCs/>
              </w:rPr>
              <w:t>/</w:t>
            </w:r>
          </w:p>
        </w:tc>
      </w:tr>
    </w:tbl>
    <w:p>
      <w:pPr>
        <w:spacing w:line="560" w:lineRule="exact"/>
        <w:ind w:firstLine="640"/>
      </w:pPr>
    </w:p>
    <w:p>
      <w:pPr>
        <w:pStyle w:val="2"/>
        <w:ind w:firstLine="640"/>
      </w:pPr>
    </w:p>
    <w:p>
      <w:pPr>
        <w:spacing w:line="560" w:lineRule="exact"/>
        <w:ind w:firstLine="640"/>
        <w:sectPr>
          <w:pgSz w:w="16838" w:h="11906" w:orient="landscape"/>
          <w:pgMar w:top="1418" w:right="1418" w:bottom="1418" w:left="1418" w:header="851" w:footer="992" w:gutter="0"/>
          <w:cols w:space="425" w:num="1"/>
          <w:docGrid w:type="linesAndChars" w:linePitch="312" w:charSpace="0"/>
        </w:sectPr>
      </w:pPr>
      <w:r>
        <w:br w:type="page"/>
      </w:r>
    </w:p>
    <w:p>
      <w:pPr>
        <w:pStyle w:val="3"/>
        <w:spacing w:line="560" w:lineRule="exact"/>
        <w:ind w:firstLine="880"/>
        <w:jc w:val="center"/>
        <w:rPr>
          <w:b w:val="0"/>
          <w:bCs w:val="0"/>
        </w:rPr>
      </w:pPr>
      <w:bookmarkStart w:id="198" w:name="_Toc18805"/>
      <w:bookmarkStart w:id="199" w:name="_Toc629"/>
      <w:bookmarkStart w:id="200" w:name="_Toc26022"/>
      <w:bookmarkStart w:id="201" w:name="_Toc15922"/>
      <w:bookmarkStart w:id="202" w:name="_Toc15705"/>
      <w:bookmarkStart w:id="203" w:name="_Toc9829"/>
      <w:bookmarkStart w:id="204" w:name="_Toc10561"/>
      <w:bookmarkStart w:id="205" w:name="_Toc7898"/>
      <w:r>
        <w:rPr>
          <w:rFonts w:hint="eastAsia"/>
          <w:b w:val="0"/>
          <w:bCs w:val="0"/>
        </w:rPr>
        <w:t>第六章  规划保障措施</w:t>
      </w:r>
      <w:bookmarkEnd w:id="198"/>
      <w:bookmarkEnd w:id="199"/>
      <w:bookmarkEnd w:id="200"/>
      <w:bookmarkEnd w:id="201"/>
      <w:bookmarkEnd w:id="202"/>
      <w:bookmarkEnd w:id="203"/>
      <w:bookmarkEnd w:id="204"/>
      <w:bookmarkEnd w:id="205"/>
    </w:p>
    <w:p>
      <w:pPr>
        <w:pStyle w:val="4"/>
        <w:spacing w:line="560" w:lineRule="exact"/>
        <w:ind w:firstLine="640"/>
        <w:rPr>
          <w:rFonts w:ascii="Times New Roman" w:hAnsi="Times New Roman" w:cs="Times New Roman"/>
          <w:b w:val="0"/>
          <w:bCs w:val="0"/>
        </w:rPr>
      </w:pPr>
      <w:bookmarkStart w:id="206" w:name="_Toc491434495"/>
      <w:bookmarkStart w:id="207" w:name="_Toc491434553"/>
      <w:bookmarkStart w:id="208" w:name="_Toc31278"/>
      <w:bookmarkStart w:id="209" w:name="_Toc14456"/>
      <w:bookmarkStart w:id="210" w:name="_Toc29226"/>
      <w:bookmarkStart w:id="211" w:name="_Toc8922"/>
      <w:bookmarkStart w:id="212" w:name="_Toc20617"/>
      <w:bookmarkStart w:id="213" w:name="_Toc18886"/>
      <w:bookmarkStart w:id="214" w:name="_Toc25562"/>
      <w:bookmarkStart w:id="215" w:name="_Toc2391"/>
      <w:r>
        <w:rPr>
          <w:rFonts w:ascii="Times New Roman" w:hAnsi="Times New Roman" w:cs="Times New Roman"/>
          <w:b w:val="0"/>
          <w:bCs w:val="0"/>
        </w:rPr>
        <w:t>一、法制保障</w:t>
      </w:r>
      <w:bookmarkEnd w:id="206"/>
      <w:bookmarkEnd w:id="207"/>
      <w:bookmarkEnd w:id="208"/>
      <w:bookmarkEnd w:id="209"/>
      <w:bookmarkEnd w:id="210"/>
      <w:bookmarkEnd w:id="211"/>
      <w:bookmarkEnd w:id="212"/>
      <w:bookmarkEnd w:id="213"/>
      <w:bookmarkEnd w:id="214"/>
      <w:bookmarkEnd w:id="215"/>
    </w:p>
    <w:p>
      <w:pPr>
        <w:pStyle w:val="5"/>
        <w:spacing w:line="560" w:lineRule="exact"/>
        <w:ind w:firstLine="640"/>
        <w:rPr>
          <w:rFonts w:eastAsia="楷体_GB2312" w:cs="Times New Roman"/>
        </w:rPr>
      </w:pPr>
      <w:r>
        <w:rPr>
          <w:rFonts w:eastAsia="楷体_GB2312" w:cs="Times New Roman"/>
        </w:rPr>
        <w:t>（一）确立规划的法律地位</w:t>
      </w:r>
    </w:p>
    <w:p>
      <w:pPr>
        <w:spacing w:line="560" w:lineRule="exact"/>
        <w:ind w:firstLine="640"/>
        <w:rPr>
          <w:rFonts w:cs="Times New Roman"/>
        </w:rPr>
      </w:pPr>
      <w:r>
        <w:rPr>
          <w:rFonts w:eastAsia="仿宋_GB2312" w:cs="Times New Roman"/>
        </w:rPr>
        <w:t>《柳州市国家生态文明建设示范市规划》作为柳州市生态文明建设纲要文件，对柳州市生态文明建设具有重要指导意义，应将规划中的具体建设内容、指标目标纳入国民经济和社会发展计划中的建设内容和远景规划中，在通过专家论证的基础上，经人民政府审批通过，成为柳州市生态文明建设的指导文件。并根据规划的各项规定和要求，进一步制定相应的实施细则，依法进行柳州市生态文明建设和管理。</w:t>
      </w:r>
    </w:p>
    <w:p>
      <w:pPr>
        <w:pStyle w:val="5"/>
        <w:spacing w:line="560" w:lineRule="exact"/>
        <w:ind w:firstLine="640"/>
        <w:rPr>
          <w:rFonts w:eastAsia="楷体_GB2312" w:cs="Times New Roman"/>
        </w:rPr>
      </w:pPr>
      <w:r>
        <w:rPr>
          <w:rFonts w:eastAsia="楷体_GB2312" w:cs="Times New Roman"/>
        </w:rPr>
        <w:t>（二）制定相关政策措施</w:t>
      </w:r>
    </w:p>
    <w:p>
      <w:pPr>
        <w:spacing w:line="560" w:lineRule="exact"/>
        <w:ind w:firstLine="640"/>
        <w:rPr>
          <w:rFonts w:eastAsia="仿宋_GB2312" w:cs="Times New Roman"/>
        </w:rPr>
      </w:pPr>
      <w:r>
        <w:rPr>
          <w:rFonts w:eastAsia="仿宋_GB2312" w:cs="Times New Roman"/>
        </w:rPr>
        <w:t>在贯彻执行现有地方行政法规、规章的基础上，加快制定与生态文明建设示范市创建配套的地方产业政策、促进清洁生产、生态保护和合理利用资源等的各项措施，修订现有与生态建设不相适应的政策措施，建立健全生态文明建设的政策体系，推动生态文明建设体制机制建设；建立鼓励政策，对生态产业、环境保护和生态建设中优先发展的项目提供相应的税收优惠和政策倾斜。</w:t>
      </w:r>
    </w:p>
    <w:p>
      <w:pPr>
        <w:pStyle w:val="4"/>
        <w:spacing w:line="560" w:lineRule="exact"/>
        <w:ind w:firstLine="640"/>
        <w:rPr>
          <w:rFonts w:ascii="Times New Roman" w:hAnsi="Times New Roman" w:cs="Times New Roman"/>
          <w:b w:val="0"/>
          <w:bCs w:val="0"/>
        </w:rPr>
      </w:pPr>
      <w:bookmarkStart w:id="216" w:name="_Toc6519"/>
      <w:bookmarkStart w:id="217" w:name="_Toc10301"/>
      <w:bookmarkStart w:id="218" w:name="_Toc877"/>
      <w:bookmarkStart w:id="219" w:name="_Toc12658"/>
      <w:bookmarkStart w:id="220" w:name="_Toc491434554"/>
      <w:bookmarkStart w:id="221" w:name="_Toc491434496"/>
      <w:bookmarkStart w:id="222" w:name="_Toc8347"/>
      <w:bookmarkStart w:id="223" w:name="_Toc15401"/>
      <w:bookmarkStart w:id="224" w:name="_Toc15271"/>
      <w:bookmarkStart w:id="225" w:name="_Toc15983"/>
      <w:r>
        <w:rPr>
          <w:rFonts w:ascii="Times New Roman" w:hAnsi="Times New Roman" w:cs="Times New Roman"/>
          <w:b w:val="0"/>
          <w:bCs w:val="0"/>
        </w:rPr>
        <w:t>二、组织保障</w:t>
      </w:r>
      <w:bookmarkEnd w:id="216"/>
      <w:bookmarkEnd w:id="217"/>
      <w:bookmarkEnd w:id="218"/>
      <w:bookmarkEnd w:id="219"/>
      <w:bookmarkEnd w:id="220"/>
      <w:bookmarkEnd w:id="221"/>
      <w:bookmarkEnd w:id="222"/>
      <w:bookmarkEnd w:id="223"/>
      <w:bookmarkEnd w:id="224"/>
      <w:bookmarkEnd w:id="225"/>
    </w:p>
    <w:p>
      <w:pPr>
        <w:spacing w:line="560" w:lineRule="exact"/>
        <w:ind w:firstLine="640"/>
        <w:rPr>
          <w:rFonts w:eastAsia="仿宋_GB2312" w:cs="Times New Roman"/>
        </w:rPr>
      </w:pPr>
      <w:r>
        <w:rPr>
          <w:rFonts w:eastAsia="仿宋_GB2312" w:cs="Times New Roman"/>
        </w:rPr>
        <w:t>建立生态文明建设示范市创建的组织领导管理体系，建立健全各项制度，使生态文明建设示范市创建全面有序地展开，达到规划所预定目标，使创建工作制度化、规范化，以保障生态文明建设示范</w:t>
      </w:r>
      <w:r>
        <w:rPr>
          <w:rFonts w:hint="eastAsia" w:eastAsia="仿宋_GB2312" w:cs="Times New Roman"/>
        </w:rPr>
        <w:t>市</w:t>
      </w:r>
      <w:r>
        <w:rPr>
          <w:rFonts w:eastAsia="仿宋_GB2312" w:cs="Times New Roman"/>
        </w:rPr>
        <w:t>创建的顺利实施。生态文明建设示范市的创建涉及市发展改革委、市住房城乡建设局、市自然资源和规划局、市生态环境局、市农业农村局、市水利局、市</w:t>
      </w:r>
      <w:r>
        <w:rPr>
          <w:rFonts w:hint="eastAsia" w:eastAsia="仿宋_GB2312" w:cs="Times New Roman"/>
        </w:rPr>
        <w:t>城</w:t>
      </w:r>
      <w:r>
        <w:rPr>
          <w:rFonts w:eastAsia="仿宋_GB2312" w:cs="Times New Roman"/>
        </w:rPr>
        <w:t>管执法局、工业和信息化局、卫生健康委员会、教育局等多个部门，政府必须</w:t>
      </w:r>
      <w:r>
        <w:rPr>
          <w:rFonts w:hint="eastAsia" w:eastAsia="仿宋_GB2312" w:cs="Times New Roman"/>
        </w:rPr>
        <w:t>充分发</w:t>
      </w:r>
      <w:r>
        <w:rPr>
          <w:rFonts w:eastAsia="仿宋_GB2312" w:cs="Times New Roman"/>
        </w:rPr>
        <w:t>挥协调作用，加强各单位之间的配合、联系和协调，形成分工明确、相互配合、良性互动的工作运行机制。</w:t>
      </w:r>
    </w:p>
    <w:p>
      <w:pPr>
        <w:pStyle w:val="4"/>
        <w:spacing w:line="560" w:lineRule="exact"/>
        <w:ind w:firstLine="640"/>
        <w:rPr>
          <w:rFonts w:ascii="Times New Roman" w:hAnsi="Times New Roman" w:cs="Times New Roman"/>
          <w:b w:val="0"/>
          <w:bCs w:val="0"/>
        </w:rPr>
      </w:pPr>
      <w:bookmarkStart w:id="226" w:name="_Toc23421"/>
      <w:bookmarkStart w:id="227" w:name="_Toc32451"/>
      <w:bookmarkStart w:id="228" w:name="_Toc23780"/>
      <w:bookmarkStart w:id="229" w:name="_Toc4831"/>
      <w:bookmarkStart w:id="230" w:name="_Toc30297"/>
      <w:bookmarkStart w:id="231" w:name="_Toc491434497"/>
      <w:bookmarkStart w:id="232" w:name="_Toc26496"/>
      <w:bookmarkStart w:id="233" w:name="_Toc27509"/>
      <w:bookmarkStart w:id="234" w:name="_Toc25526"/>
      <w:bookmarkStart w:id="235" w:name="_Toc491434555"/>
      <w:r>
        <w:rPr>
          <w:rFonts w:ascii="Times New Roman" w:hAnsi="Times New Roman" w:cs="Times New Roman"/>
          <w:b w:val="0"/>
          <w:bCs w:val="0"/>
        </w:rPr>
        <w:t>三、资金保障</w:t>
      </w:r>
      <w:bookmarkEnd w:id="226"/>
      <w:bookmarkEnd w:id="227"/>
      <w:bookmarkEnd w:id="228"/>
      <w:bookmarkEnd w:id="229"/>
      <w:bookmarkEnd w:id="230"/>
      <w:bookmarkEnd w:id="231"/>
      <w:bookmarkEnd w:id="232"/>
      <w:bookmarkEnd w:id="233"/>
      <w:bookmarkEnd w:id="234"/>
      <w:bookmarkEnd w:id="235"/>
    </w:p>
    <w:p>
      <w:pPr>
        <w:pStyle w:val="5"/>
        <w:spacing w:line="560" w:lineRule="exact"/>
        <w:ind w:firstLine="640"/>
        <w:rPr>
          <w:rFonts w:eastAsia="楷体_GB2312" w:cs="Times New Roman"/>
        </w:rPr>
      </w:pPr>
      <w:r>
        <w:rPr>
          <w:rFonts w:eastAsia="楷体_GB2312" w:cs="Times New Roman"/>
        </w:rPr>
        <w:t>（一）发挥公共财政导向作用</w:t>
      </w:r>
    </w:p>
    <w:p>
      <w:pPr>
        <w:spacing w:line="560" w:lineRule="exact"/>
        <w:ind w:firstLine="640"/>
        <w:rPr>
          <w:rFonts w:cs="Times New Roman"/>
        </w:rPr>
      </w:pPr>
      <w:r>
        <w:rPr>
          <w:rFonts w:eastAsia="仿宋_GB2312" w:cs="Times New Roman"/>
        </w:rPr>
        <w:t>把生态文明建设作为公共财政支出的重要内容，统筹整合利用中央、自治区财政安排的补助资金，优先用于重要生态功能区保护、突出环境问题治理等生态文明建设内容。争取并落实国家、自治区和柳州市有关环境保护的各项税收优惠政策和专项资金，对柳州市节能减排、循环经济、清洁生产、新能源和可再生能源开发利用、生态系统修复、水利建设、文化遗产保护、美丽乡村、能力建设等方面给予政策和资金扶持。</w:t>
      </w:r>
    </w:p>
    <w:p>
      <w:pPr>
        <w:pStyle w:val="5"/>
        <w:spacing w:line="560" w:lineRule="exact"/>
        <w:ind w:firstLine="640"/>
        <w:rPr>
          <w:rFonts w:eastAsia="楷体_GB2312" w:cs="Times New Roman"/>
        </w:rPr>
      </w:pPr>
      <w:r>
        <w:rPr>
          <w:rFonts w:eastAsia="楷体_GB2312" w:cs="Times New Roman"/>
        </w:rPr>
        <w:t>（二）发挥财政资金引导作用</w:t>
      </w:r>
    </w:p>
    <w:p>
      <w:pPr>
        <w:spacing w:line="560" w:lineRule="exact"/>
        <w:ind w:firstLine="640"/>
        <w:rPr>
          <w:rFonts w:eastAsia="仿宋_GB2312" w:cs="Times New Roman"/>
        </w:rPr>
      </w:pPr>
      <w:r>
        <w:rPr>
          <w:rFonts w:eastAsia="仿宋_GB2312" w:cs="Times New Roman"/>
        </w:rPr>
        <w:t>采用政府投入、引导、鼓励支持社会资金投入、市场运作方式，多渠道筹措资金，全方位增加对生态治理和环境保护的投资。发挥财政资源配置职能和财政资金引导作用，带动其他资金投向生态建设和环境保护领域，形成多元投资格局。通过财政贴息、投资补助、适度让利、税收优惠等措施，引导和鼓励社会资金参与，引导金融机构对符合条件的项目给予信贷支持，积极吸引各类资本和社会力量投入生态建设和环境保护中。按照“政府引导、社会参与、市场运作”原则，积极引导企业等社会资金参与城镇和农村污水处理设施、污水配套管网、垃圾处理设施、污泥处理项目等环境基础设施建设和运营。</w:t>
      </w:r>
    </w:p>
    <w:p>
      <w:pPr>
        <w:pStyle w:val="5"/>
        <w:spacing w:line="560" w:lineRule="exact"/>
        <w:ind w:firstLine="640"/>
        <w:rPr>
          <w:rFonts w:eastAsia="楷体_GB2312" w:cs="Times New Roman"/>
        </w:rPr>
      </w:pPr>
      <w:r>
        <w:rPr>
          <w:rFonts w:eastAsia="楷体_GB2312" w:cs="Times New Roman"/>
        </w:rPr>
        <w:t>（三）建立社会化多元化投入机制</w:t>
      </w:r>
    </w:p>
    <w:p>
      <w:pPr>
        <w:spacing w:line="560" w:lineRule="exact"/>
        <w:ind w:firstLine="640"/>
        <w:rPr>
          <w:rFonts w:eastAsia="仿宋_GB2312" w:cs="Times New Roman"/>
        </w:rPr>
      </w:pPr>
      <w:r>
        <w:rPr>
          <w:rFonts w:eastAsia="仿宋_GB2312" w:cs="Times New Roman"/>
        </w:rPr>
        <w:t>加大生态建设和环境保护财政投入力度，建立社会化多元化投入机制，推广PPP等模式，实施</w:t>
      </w:r>
      <w:r>
        <w:rPr>
          <w:rFonts w:hint="eastAsia" w:eastAsia="仿宋_GB2312" w:cs="Times New Roman"/>
        </w:rPr>
        <w:t>“</w:t>
      </w:r>
      <w:r>
        <w:rPr>
          <w:rFonts w:eastAsia="仿宋_GB2312" w:cs="Times New Roman"/>
        </w:rPr>
        <w:t>互联网+</w:t>
      </w:r>
      <w:r>
        <w:rPr>
          <w:rFonts w:hint="eastAsia" w:eastAsia="仿宋_GB2312" w:cs="Times New Roman"/>
        </w:rPr>
        <w:t>”</w:t>
      </w:r>
      <w:r>
        <w:rPr>
          <w:rFonts w:eastAsia="仿宋_GB2312" w:cs="Times New Roman"/>
        </w:rPr>
        <w:t>绿色生态行动计划；推广绿色信贷，支持符合条件的项目通过资本市场融资；做好生态环境保护项目策划包装，努力争取国家</w:t>
      </w:r>
      <w:r>
        <w:rPr>
          <w:rFonts w:hint="eastAsia" w:eastAsia="仿宋_GB2312" w:cs="Times New Roman"/>
        </w:rPr>
        <w:t>、自治区及</w:t>
      </w:r>
      <w:r>
        <w:rPr>
          <w:rFonts w:eastAsia="仿宋_GB2312" w:cs="Times New Roman"/>
        </w:rPr>
        <w:t>市设立的生态环境保护、修复等各类专项资金。推进政府购买环境服务，积极推动环境污染第三方治理。发展生态环保市场，建立节能量、碳排放权交易制度以及排污权有偿使用和交易制度，完善废气、污水等污染物排放指标的市场化交易机制。</w:t>
      </w:r>
    </w:p>
    <w:p>
      <w:pPr>
        <w:pStyle w:val="4"/>
        <w:spacing w:line="560" w:lineRule="exact"/>
        <w:ind w:firstLine="640"/>
        <w:rPr>
          <w:rFonts w:ascii="Times New Roman" w:hAnsi="Times New Roman" w:cs="Times New Roman"/>
          <w:b w:val="0"/>
          <w:bCs w:val="0"/>
        </w:rPr>
      </w:pPr>
      <w:bookmarkStart w:id="236" w:name="_Toc10688"/>
      <w:bookmarkStart w:id="237" w:name="_Toc9182"/>
      <w:bookmarkStart w:id="238" w:name="_Toc10000"/>
      <w:bookmarkStart w:id="239" w:name="_Toc4500"/>
      <w:bookmarkStart w:id="240" w:name="_Toc26702"/>
      <w:bookmarkStart w:id="241" w:name="_Toc491434498"/>
      <w:bookmarkStart w:id="242" w:name="_Toc27311"/>
      <w:bookmarkStart w:id="243" w:name="_Toc491434556"/>
      <w:bookmarkStart w:id="244" w:name="_Toc15455"/>
      <w:bookmarkStart w:id="245" w:name="_Toc10659"/>
      <w:r>
        <w:rPr>
          <w:rFonts w:ascii="Times New Roman" w:hAnsi="Times New Roman" w:cs="Times New Roman"/>
          <w:b w:val="0"/>
          <w:bCs w:val="0"/>
        </w:rPr>
        <w:t>四、技术保障</w:t>
      </w:r>
      <w:bookmarkEnd w:id="236"/>
      <w:bookmarkEnd w:id="237"/>
      <w:bookmarkEnd w:id="238"/>
      <w:bookmarkEnd w:id="239"/>
      <w:bookmarkEnd w:id="240"/>
      <w:bookmarkEnd w:id="241"/>
      <w:bookmarkEnd w:id="242"/>
      <w:bookmarkEnd w:id="243"/>
      <w:bookmarkEnd w:id="244"/>
      <w:bookmarkEnd w:id="245"/>
    </w:p>
    <w:p>
      <w:pPr>
        <w:pStyle w:val="5"/>
        <w:spacing w:line="560" w:lineRule="exact"/>
        <w:ind w:firstLine="640"/>
        <w:rPr>
          <w:rFonts w:eastAsia="楷体_GB2312" w:cs="Times New Roman"/>
        </w:rPr>
      </w:pPr>
      <w:r>
        <w:rPr>
          <w:rFonts w:eastAsia="楷体_GB2312" w:cs="Times New Roman"/>
        </w:rPr>
        <w:t>（一）建立科技支撑保障体系</w:t>
      </w:r>
    </w:p>
    <w:p>
      <w:pPr>
        <w:spacing w:line="560" w:lineRule="exact"/>
        <w:ind w:firstLine="640"/>
        <w:rPr>
          <w:rFonts w:eastAsia="仿宋_GB2312" w:cs="Times New Roman"/>
        </w:rPr>
      </w:pPr>
      <w:r>
        <w:rPr>
          <w:rFonts w:eastAsia="仿宋_GB2312" w:cs="Times New Roman"/>
        </w:rPr>
        <w:t>着力培养一批懂生态保护、懂经营、善管理的中青年科技骨干，同时引进高层次人才，形成一支强大的生态环境建设科技生力军，建立起为生态文明示范市建设服务的科技支撑体系。</w:t>
      </w:r>
    </w:p>
    <w:p>
      <w:pPr>
        <w:pStyle w:val="5"/>
        <w:spacing w:line="560" w:lineRule="exact"/>
        <w:ind w:firstLine="640"/>
        <w:rPr>
          <w:rFonts w:eastAsia="楷体_GB2312" w:cs="Times New Roman"/>
        </w:rPr>
      </w:pPr>
      <w:r>
        <w:rPr>
          <w:rFonts w:eastAsia="楷体_GB2312" w:cs="Times New Roman"/>
        </w:rPr>
        <w:t>（二）加强科研和技术开发应用</w:t>
      </w:r>
    </w:p>
    <w:p>
      <w:pPr>
        <w:spacing w:line="560" w:lineRule="exact"/>
        <w:ind w:firstLine="640"/>
        <w:rPr>
          <w:rFonts w:cs="Times New Roman"/>
        </w:rPr>
      </w:pPr>
      <w:r>
        <w:rPr>
          <w:rFonts w:eastAsia="仿宋_GB2312" w:cs="Times New Roman"/>
        </w:rPr>
        <w:t>积极发展和培育科技市场，健全技术市场功能，扩大科技使用交流渠道，促进生态文明建设示范市创建。加强生态文明建设示范市创建的科学研究，鼓励科技创新，在引进外地科技成果的同时，积极开展技术开发和应用，提高各个领域的科技含量和水平。</w:t>
      </w:r>
    </w:p>
    <w:p>
      <w:pPr>
        <w:pStyle w:val="5"/>
        <w:spacing w:line="560" w:lineRule="exact"/>
        <w:ind w:firstLine="640"/>
        <w:rPr>
          <w:rFonts w:eastAsia="楷体_GB2312" w:cs="Times New Roman"/>
        </w:rPr>
      </w:pPr>
      <w:r>
        <w:rPr>
          <w:rFonts w:eastAsia="楷体_GB2312" w:cs="Times New Roman"/>
        </w:rPr>
        <w:t>（三）增强科技服务能力</w:t>
      </w:r>
    </w:p>
    <w:p>
      <w:pPr>
        <w:spacing w:line="560" w:lineRule="exact"/>
        <w:ind w:firstLine="640"/>
        <w:rPr>
          <w:rFonts w:eastAsia="仿宋_GB2312" w:cs="Times New Roman"/>
        </w:rPr>
      </w:pPr>
      <w:r>
        <w:rPr>
          <w:rFonts w:eastAsia="仿宋_GB2312" w:cs="Times New Roman"/>
        </w:rPr>
        <w:t>切实加大科技投入，保障科技投入的逐年只增不减，向生态文明建设示范市创建的科学研究项目进行倾斜。要加强科技推广和咨询活动，加快科技体制改革，增强科技服务能力。引导农民依靠科技种田、造林、发展经济，保护生态环境。</w:t>
      </w:r>
    </w:p>
    <w:p>
      <w:pPr>
        <w:pStyle w:val="4"/>
        <w:spacing w:line="560" w:lineRule="exact"/>
        <w:ind w:firstLine="640"/>
        <w:rPr>
          <w:rFonts w:ascii="Times New Roman" w:hAnsi="Times New Roman" w:cs="Times New Roman"/>
          <w:b w:val="0"/>
          <w:bCs w:val="0"/>
        </w:rPr>
      </w:pPr>
      <w:bookmarkStart w:id="246" w:name="_Toc32747"/>
      <w:bookmarkStart w:id="247" w:name="_Toc491434557"/>
      <w:bookmarkStart w:id="248" w:name="_Toc25382"/>
      <w:bookmarkStart w:id="249" w:name="_Toc4730"/>
      <w:bookmarkStart w:id="250" w:name="_Toc29071"/>
      <w:bookmarkStart w:id="251" w:name="_Toc491434499"/>
      <w:bookmarkStart w:id="252" w:name="_Toc7673"/>
      <w:bookmarkStart w:id="253" w:name="_Toc20992"/>
      <w:bookmarkStart w:id="254" w:name="_Toc18830"/>
      <w:bookmarkStart w:id="255" w:name="_Toc24600"/>
      <w:r>
        <w:rPr>
          <w:rFonts w:ascii="Times New Roman" w:hAnsi="Times New Roman" w:cs="Times New Roman"/>
          <w:b w:val="0"/>
          <w:bCs w:val="0"/>
        </w:rPr>
        <w:t>五、社会保障</w:t>
      </w:r>
      <w:bookmarkEnd w:id="246"/>
      <w:bookmarkEnd w:id="247"/>
      <w:bookmarkEnd w:id="248"/>
      <w:bookmarkEnd w:id="249"/>
      <w:bookmarkEnd w:id="250"/>
      <w:bookmarkEnd w:id="251"/>
      <w:bookmarkEnd w:id="252"/>
      <w:bookmarkEnd w:id="253"/>
      <w:bookmarkEnd w:id="254"/>
      <w:bookmarkEnd w:id="255"/>
    </w:p>
    <w:p>
      <w:pPr>
        <w:pStyle w:val="5"/>
        <w:spacing w:line="560" w:lineRule="exact"/>
        <w:ind w:firstLine="640"/>
        <w:rPr>
          <w:rFonts w:eastAsia="楷体_GB2312" w:cs="Times New Roman"/>
        </w:rPr>
      </w:pPr>
      <w:r>
        <w:rPr>
          <w:rFonts w:eastAsia="楷体_GB2312" w:cs="Times New Roman"/>
        </w:rPr>
        <w:t>（一）加大生态文明建设宣传教育力度</w:t>
      </w:r>
    </w:p>
    <w:p>
      <w:pPr>
        <w:spacing w:line="560" w:lineRule="exact"/>
        <w:ind w:firstLine="640"/>
        <w:rPr>
          <w:rFonts w:eastAsia="仿宋_GB2312" w:cs="Times New Roman"/>
        </w:rPr>
      </w:pPr>
      <w:r>
        <w:rPr>
          <w:rFonts w:eastAsia="仿宋_GB2312" w:cs="Times New Roman"/>
        </w:rPr>
        <w:t>开展对各级行政领导的可持续发展战略培训教育，切实增强生态文明建设示范市创建战略意义的认识；有计划地开展各种技术讲座、培训，提高全民可持续发展和生态保护意识；通过各新闻媒体开展形式多样的宣传，开展中小学的生态文明宣传教育，提高参与可持续发展的能力；扩大宣传范围，使全市内外了解规划实施的重要信息，关注、支持和参与生态文明建设。</w:t>
      </w:r>
    </w:p>
    <w:p>
      <w:pPr>
        <w:pStyle w:val="5"/>
        <w:spacing w:line="560" w:lineRule="exact"/>
        <w:ind w:firstLine="640"/>
        <w:rPr>
          <w:rFonts w:eastAsia="楷体_GB2312" w:cs="Times New Roman"/>
        </w:rPr>
      </w:pPr>
      <w:r>
        <w:rPr>
          <w:rFonts w:eastAsia="楷体_GB2312" w:cs="Times New Roman"/>
        </w:rPr>
        <w:t>（二）强化公众监督参与和环境信息公开</w:t>
      </w:r>
    </w:p>
    <w:p>
      <w:pPr>
        <w:spacing w:line="560" w:lineRule="exact"/>
        <w:ind w:firstLine="640"/>
        <w:rPr>
          <w:rFonts w:cs="Times New Roman"/>
        </w:rPr>
      </w:pPr>
      <w:r>
        <w:rPr>
          <w:rFonts w:eastAsia="仿宋_GB2312" w:cs="Times New Roman"/>
        </w:rPr>
        <w:t>通过电子政务建设，进一步完善环境政务公开制度，为公众参与提供信息渠道支持；逐步形成以公民监督举报、听证、新闻舆论监督、公益诉讼等为主要内容的公众监督制度，保障公众全过程参与生态文明建设规划、决策、实施、监督和评估的全过程；建立生态文明建设工作问卷调查制度，完善群众信访的办理制度；充分发挥新闻记者的舆论监督作用，明确公众参与是环境决策、生态文明建设的必经程序，完善环境状况公布工作，实施政务公开制度。</w:t>
      </w:r>
      <w:bookmarkEnd w:id="15"/>
      <w:bookmarkEnd w:id="16"/>
    </w:p>
    <w:p>
      <w:pPr>
        <w:ind w:firstLine="640"/>
      </w:pPr>
    </w:p>
    <w:p>
      <w:pPr>
        <w:ind w:firstLine="640"/>
        <w:sectPr>
          <w:pgSz w:w="11906" w:h="16838"/>
          <w:pgMar w:top="1418" w:right="1418" w:bottom="1418" w:left="1418" w:header="851" w:footer="992" w:gutter="0"/>
          <w:cols w:space="425" w:num="1"/>
          <w:docGrid w:type="linesAndChars" w:linePitch="312" w:charSpace="0"/>
        </w:sectPr>
      </w:pPr>
    </w:p>
    <w:p>
      <w:pPr>
        <w:pStyle w:val="61"/>
        <w:spacing w:line="560" w:lineRule="exact"/>
        <w:rPr>
          <w:rFonts w:eastAsia="方正小标宋简体" w:cs="Times New Roman"/>
        </w:rPr>
      </w:pPr>
      <w:bookmarkStart w:id="256" w:name="_Toc6838"/>
      <w:bookmarkStart w:id="257" w:name="_Toc26511"/>
      <w:bookmarkStart w:id="258" w:name="_Toc19044"/>
      <w:bookmarkStart w:id="259" w:name="_Toc28774"/>
      <w:bookmarkStart w:id="260" w:name="_Toc11608"/>
      <w:bookmarkStart w:id="261" w:name="_Toc6363"/>
      <w:bookmarkStart w:id="262" w:name="_Toc3920"/>
      <w:r>
        <w:rPr>
          <w:rFonts w:eastAsia="方正小标宋简体" w:cs="Times New Roman"/>
        </w:rPr>
        <w:t xml:space="preserve">附表1   </w:t>
      </w:r>
      <w:bookmarkEnd w:id="256"/>
      <w:r>
        <w:rPr>
          <w:rFonts w:eastAsia="方正小标宋简体" w:cs="Times New Roman"/>
        </w:rPr>
        <w:t>启动创建期重点规划建设工程</w:t>
      </w:r>
      <w:bookmarkEnd w:id="257"/>
      <w:bookmarkEnd w:id="258"/>
      <w:bookmarkEnd w:id="259"/>
      <w:bookmarkEnd w:id="260"/>
      <w:bookmarkEnd w:id="261"/>
      <w:bookmarkEnd w:id="262"/>
    </w:p>
    <w:tbl>
      <w:tblPr>
        <w:tblStyle w:val="25"/>
        <w:tblW w:w="14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08"/>
        <w:gridCol w:w="509"/>
        <w:gridCol w:w="388"/>
        <w:gridCol w:w="1134"/>
        <w:gridCol w:w="2544"/>
        <w:gridCol w:w="1587"/>
        <w:gridCol w:w="1232"/>
        <w:gridCol w:w="1304"/>
        <w:gridCol w:w="1455"/>
        <w:gridCol w:w="1139"/>
        <w:gridCol w:w="1589"/>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1217" w:type="dxa"/>
            <w:gridSpan w:val="2"/>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
                <w:sz w:val="24"/>
                <w:szCs w:val="24"/>
              </w:rPr>
            </w:pPr>
            <w:r>
              <w:rPr>
                <w:rFonts w:eastAsia="仿宋_GB2312" w:cs="Times New Roman"/>
                <w:b/>
                <w:kern w:val="0"/>
                <w:sz w:val="24"/>
                <w:szCs w:val="24"/>
              </w:rPr>
              <w:t>项目类别</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
                <w:sz w:val="24"/>
                <w:szCs w:val="24"/>
              </w:rPr>
            </w:pPr>
            <w:r>
              <w:rPr>
                <w:rFonts w:eastAsia="仿宋_GB2312" w:cs="Times New Roman"/>
                <w:b/>
                <w:kern w:val="0"/>
                <w:sz w:val="24"/>
                <w:szCs w:val="24"/>
              </w:rPr>
              <w:t>序号</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
                <w:sz w:val="24"/>
                <w:szCs w:val="24"/>
              </w:rPr>
            </w:pPr>
            <w:r>
              <w:rPr>
                <w:rFonts w:eastAsia="仿宋_GB2312" w:cs="Times New Roman"/>
                <w:b/>
                <w:kern w:val="0"/>
                <w:sz w:val="24"/>
                <w:szCs w:val="24"/>
              </w:rPr>
              <w:t>项目名称</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
                <w:sz w:val="24"/>
                <w:szCs w:val="24"/>
              </w:rPr>
            </w:pPr>
            <w:r>
              <w:rPr>
                <w:rFonts w:eastAsia="仿宋_GB2312" w:cs="Times New Roman"/>
                <w:b/>
                <w:kern w:val="0"/>
                <w:sz w:val="24"/>
                <w:szCs w:val="24"/>
              </w:rPr>
              <w:t>建设内容</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
                <w:sz w:val="24"/>
                <w:szCs w:val="24"/>
              </w:rPr>
            </w:pPr>
            <w:r>
              <w:rPr>
                <w:rFonts w:eastAsia="仿宋_GB2312" w:cs="Times New Roman"/>
                <w:b/>
                <w:kern w:val="0"/>
                <w:sz w:val="24"/>
                <w:szCs w:val="24"/>
              </w:rPr>
              <w:t>总投资（万元）</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
                <w:sz w:val="24"/>
                <w:szCs w:val="24"/>
              </w:rPr>
            </w:pPr>
            <w:r>
              <w:rPr>
                <w:rFonts w:eastAsia="仿宋_GB2312" w:cs="Times New Roman"/>
                <w:b/>
                <w:kern w:val="0"/>
                <w:sz w:val="24"/>
                <w:szCs w:val="24"/>
              </w:rPr>
              <w:t>建设年限</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
                <w:sz w:val="24"/>
                <w:szCs w:val="24"/>
              </w:rPr>
            </w:pPr>
            <w:r>
              <w:rPr>
                <w:rFonts w:eastAsia="仿宋_GB2312" w:cs="Times New Roman"/>
                <w:b/>
                <w:kern w:val="0"/>
                <w:sz w:val="24"/>
                <w:szCs w:val="24"/>
              </w:rPr>
              <w:t>实施主体或责任主体</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
                <w:sz w:val="24"/>
                <w:szCs w:val="24"/>
              </w:rPr>
            </w:pPr>
            <w:r>
              <w:rPr>
                <w:rFonts w:eastAsia="仿宋_GB2312" w:cs="Times New Roman"/>
                <w:b/>
                <w:kern w:val="0"/>
                <w:sz w:val="24"/>
                <w:szCs w:val="24"/>
              </w:rPr>
              <w:t>项目实施后效果分析</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
                <w:sz w:val="24"/>
                <w:szCs w:val="24"/>
              </w:rPr>
            </w:pPr>
            <w:r>
              <w:rPr>
                <w:rFonts w:eastAsia="仿宋_GB2312" w:cs="Times New Roman"/>
                <w:b/>
                <w:kern w:val="0"/>
                <w:sz w:val="24"/>
                <w:szCs w:val="24"/>
              </w:rPr>
              <w:t>项目可达性分析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
                <w:kern w:val="0"/>
                <w:sz w:val="24"/>
                <w:szCs w:val="24"/>
              </w:rPr>
            </w:pPr>
            <w:r>
              <w:rPr>
                <w:rFonts w:hint="eastAsia" w:eastAsia="仿宋_GB2312" w:cs="Times New Roman"/>
                <w:b/>
                <w:kern w:val="0"/>
                <w:sz w:val="24"/>
                <w:szCs w:val="24"/>
              </w:rPr>
              <w:t>项目来源</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
                <w:kern w:val="0"/>
                <w:sz w:val="24"/>
                <w:szCs w:val="24"/>
              </w:rPr>
            </w:pPr>
            <w:r>
              <w:rPr>
                <w:rFonts w:hint="eastAsia" w:eastAsia="仿宋_GB2312" w:cs="Times New Roman"/>
                <w:b/>
                <w:kern w:val="0"/>
                <w:sz w:val="24"/>
                <w:szCs w:val="24"/>
              </w:rPr>
              <w:t>规划编制牵头单位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283" w:type="dxa"/>
            <w:gridSpan w:val="5"/>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Style w:val="62"/>
                <w:rFonts w:hint="default" w:eastAsia="仿宋_GB2312" w:cs="Times New Roman"/>
                <w:bCs/>
                <w:color w:val="auto"/>
              </w:rPr>
              <w:t>启动</w:t>
            </w:r>
            <w:r>
              <w:rPr>
                <w:rStyle w:val="62"/>
                <w:rFonts w:hint="default" w:ascii="Times New Roman" w:hAnsi="Times New Roman" w:eastAsia="仿宋_GB2312" w:cs="Times New Roman"/>
                <w:bCs/>
                <w:color w:val="auto"/>
              </w:rPr>
              <w:t>创建期规划重点建设项目总投资及项目总数量</w:t>
            </w:r>
          </w:p>
        </w:tc>
        <w:tc>
          <w:tcPr>
            <w:tcW w:w="1587" w:type="dxa"/>
            <w:tcMar>
              <w:top w:w="28" w:type="dxa"/>
              <w:left w:w="57" w:type="dxa"/>
              <w:bottom w:w="28" w:type="dxa"/>
              <w:right w:w="57" w:type="dxa"/>
            </w:tcMar>
            <w:vAlign w:val="center"/>
          </w:tcPr>
          <w:p>
            <w:pPr>
              <w:widowControl/>
              <w:ind w:firstLine="0" w:firstLineChars="0"/>
              <w:jc w:val="center"/>
              <w:textAlignment w:val="center"/>
              <w:rPr>
                <w:rFonts w:eastAsia="仿宋_GB2312" w:cs="Times New Roman"/>
                <w:bCs/>
                <w:sz w:val="24"/>
                <w:szCs w:val="24"/>
              </w:rPr>
            </w:pPr>
            <w:r>
              <w:rPr>
                <w:rFonts w:eastAsia="仿宋_GB2312" w:cs="Times New Roman"/>
                <w:bCs/>
                <w:sz w:val="24"/>
                <w:szCs w:val="24"/>
              </w:rPr>
              <w:t>9705002.05</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Style w:val="77"/>
                <w:rFonts w:hint="default" w:ascii="Times New Roman" w:hAnsi="Times New Roman" w:eastAsia="仿宋_GB2312" w:cs="Times New Roman"/>
                <w:bCs/>
                <w:i w:val="0"/>
                <w:color w:val="auto"/>
              </w:rPr>
              <w:t>项目数（个）</w:t>
            </w:r>
          </w:p>
        </w:tc>
        <w:tc>
          <w:tcPr>
            <w:tcW w:w="1304" w:type="dxa"/>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r>
              <w:rPr>
                <w:rFonts w:hint="eastAsia" w:eastAsia="仿宋_GB2312" w:cs="Times New Roman"/>
                <w:bCs/>
                <w:sz w:val="24"/>
                <w:szCs w:val="24"/>
              </w:rPr>
              <w:t>139</w:t>
            </w:r>
          </w:p>
        </w:tc>
        <w:tc>
          <w:tcPr>
            <w:tcW w:w="1455" w:type="dxa"/>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1139" w:type="dxa"/>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1589" w:type="dxa"/>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1040" w:type="dxa"/>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283" w:type="dxa"/>
            <w:gridSpan w:val="5"/>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Style w:val="77"/>
                <w:rFonts w:hint="default" w:ascii="Times New Roman" w:hAnsi="Times New Roman" w:eastAsia="仿宋_GB2312" w:cs="Times New Roman"/>
                <w:bCs/>
                <w:i w:val="0"/>
                <w:color w:val="auto"/>
              </w:rPr>
              <w:t>一、生态空间体系建设工程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sz w:val="24"/>
                <w:szCs w:val="24"/>
              </w:rPr>
              <w:t>3673</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Style w:val="77"/>
                <w:rFonts w:hint="default" w:ascii="Times New Roman" w:hAnsi="Times New Roman" w:eastAsia="仿宋_GB2312" w:cs="Times New Roman"/>
                <w:bCs/>
                <w:i w:val="0"/>
                <w:color w:val="auto"/>
              </w:rPr>
              <w:t>项目数（个）</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455" w:type="dxa"/>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1139" w:type="dxa"/>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1589" w:type="dxa"/>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1040" w:type="dxa"/>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7" w:type="dxa"/>
            <w:gridSpan w:val="2"/>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w:t>
            </w:r>
            <w:r>
              <w:rPr>
                <w:rStyle w:val="62"/>
                <w:rFonts w:hint="default" w:ascii="Times New Roman" w:hAnsi="Times New Roman" w:eastAsia="仿宋_GB2312" w:cs="Times New Roman"/>
                <w:bCs/>
                <w:color w:val="auto"/>
              </w:rPr>
              <w:t>一）空间格局优化</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柳州市生态保护红线划定</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sz w:val="24"/>
                <w:szCs w:val="24"/>
              </w:rPr>
              <w:t>根据《广西壮族自治区生态保护红线评估工作方案》，对柳州市生态保护红线进行评估调整。</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Style w:val="69"/>
                <w:rFonts w:hint="default" w:ascii="Times New Roman" w:hAnsi="Times New Roman" w:eastAsia="仿宋_GB2312" w:cs="Times New Roman"/>
                <w:bCs/>
                <w:color w:val="auto"/>
              </w:rPr>
              <w:t>市自然资源和规划局</w:t>
            </w:r>
            <w:r>
              <w:rPr>
                <w:rStyle w:val="72"/>
                <w:rFonts w:hint="default" w:ascii="Times New Roman" w:hAnsi="Times New Roman" w:eastAsia="仿宋_GB2312" w:cs="Times New Roman"/>
                <w:bCs/>
                <w:color w:val="auto"/>
              </w:rPr>
              <w:t>、市</w:t>
            </w:r>
            <w:r>
              <w:rPr>
                <w:rStyle w:val="69"/>
                <w:rFonts w:hint="default" w:ascii="Times New Roman" w:hAnsi="Times New Roman" w:eastAsia="仿宋_GB2312" w:cs="Times New Roman"/>
                <w:bCs/>
                <w:color w:val="auto"/>
              </w:rPr>
              <w:t>生态环境</w:t>
            </w:r>
            <w:r>
              <w:rPr>
                <w:rStyle w:val="72"/>
                <w:rFonts w:hint="default" w:ascii="Times New Roman" w:hAnsi="Times New Roman" w:eastAsia="仿宋_GB2312" w:cs="Times New Roman"/>
                <w:bCs/>
                <w:color w:val="auto"/>
              </w:rPr>
              <w:t>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严守生态保护红线，更好保护环境。</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预计规划期内完成。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7" w:type="dxa"/>
            <w:gridSpan w:val="2"/>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柳州市国土空间规划</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编制柳州市国土空间规划</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3373</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市</w:t>
            </w:r>
            <w:r>
              <w:rPr>
                <w:rStyle w:val="69"/>
                <w:rFonts w:hint="default" w:ascii="Times New Roman" w:hAnsi="Times New Roman" w:eastAsia="仿宋_GB2312" w:cs="Times New Roman"/>
                <w:bCs/>
                <w:color w:val="auto"/>
              </w:rPr>
              <w:t>自然资源和规划</w:t>
            </w:r>
            <w:r>
              <w:rPr>
                <w:rStyle w:val="72"/>
                <w:rFonts w:hint="default" w:ascii="Times New Roman" w:hAnsi="Times New Roman" w:eastAsia="仿宋_GB2312" w:cs="Times New Roman"/>
                <w:bCs/>
                <w:color w:val="auto"/>
              </w:rPr>
              <w:t>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项目实施后可优化柳州市的空间发展格局。</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预计规划期内完成。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7" w:type="dxa"/>
            <w:gridSpan w:val="2"/>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柳州市河湖管理范围划定</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开展柳州市河湖管理范围划定工作</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Style w:val="72"/>
                <w:rFonts w:hint="default" w:ascii="Times New Roman" w:hAnsi="Times New Roman" w:eastAsia="仿宋_GB2312" w:cs="Times New Roman"/>
                <w:bCs/>
                <w:color w:val="auto"/>
              </w:rPr>
              <w:t>市水利局、</w:t>
            </w:r>
            <w:r>
              <w:rPr>
                <w:rFonts w:eastAsia="仿宋_GB2312" w:cs="Times New Roman"/>
                <w:bCs/>
                <w:kern w:val="0"/>
                <w:sz w:val="24"/>
                <w:szCs w:val="24"/>
              </w:rPr>
              <w:t>市</w:t>
            </w:r>
            <w:r>
              <w:rPr>
                <w:rStyle w:val="69"/>
                <w:rFonts w:hint="default" w:ascii="Times New Roman" w:hAnsi="Times New Roman" w:eastAsia="仿宋_GB2312" w:cs="Times New Roman"/>
                <w:bCs/>
                <w:color w:val="auto"/>
              </w:rPr>
              <w:t>自然资源和规划</w:t>
            </w:r>
            <w:r>
              <w:rPr>
                <w:rStyle w:val="72"/>
                <w:rFonts w:hint="default" w:ascii="Times New Roman" w:hAnsi="Times New Roman" w:eastAsia="仿宋_GB2312" w:cs="Times New Roman"/>
                <w:bCs/>
                <w:color w:val="auto"/>
              </w:rPr>
              <w:t>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项目实施后便于开展河湖管理，保护河湖岸线生态环境。</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预计规划期内完成。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283" w:type="dxa"/>
            <w:gridSpan w:val="5"/>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二、生态经济体系建设工程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4746364.66</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项目数（个）</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44</w:t>
            </w:r>
          </w:p>
        </w:tc>
        <w:tc>
          <w:tcPr>
            <w:tcW w:w="1455"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c>
          <w:tcPr>
            <w:tcW w:w="1139"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c>
          <w:tcPr>
            <w:tcW w:w="1589"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c>
          <w:tcPr>
            <w:tcW w:w="1040"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（二）资源节约与利用</w:t>
            </w: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调整能源结构</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鹿寨黄冕风电场</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规划总装机容量为</w:t>
            </w:r>
            <w:r>
              <w:rPr>
                <w:rStyle w:val="78"/>
                <w:rFonts w:eastAsia="仿宋_GB2312"/>
                <w:bCs/>
                <w:color w:val="auto"/>
              </w:rPr>
              <w:t>100MW</w:t>
            </w:r>
            <w:r>
              <w:rPr>
                <w:rStyle w:val="72"/>
                <w:rFonts w:hint="default" w:ascii="Times New Roman" w:hAnsi="Times New Roman" w:eastAsia="仿宋_GB2312" w:cs="Times New Roman"/>
                <w:bCs/>
                <w:color w:val="auto"/>
              </w:rPr>
              <w:t>，拟安装</w:t>
            </w:r>
            <w:r>
              <w:rPr>
                <w:rStyle w:val="78"/>
                <w:rFonts w:eastAsia="仿宋_GB2312"/>
                <w:bCs/>
                <w:color w:val="auto"/>
              </w:rPr>
              <w:t>50</w:t>
            </w:r>
            <w:r>
              <w:rPr>
                <w:rStyle w:val="72"/>
                <w:rFonts w:hint="default" w:ascii="Times New Roman" w:hAnsi="Times New Roman" w:eastAsia="仿宋_GB2312" w:cs="Times New Roman"/>
                <w:bCs/>
                <w:color w:val="auto"/>
              </w:rPr>
              <w:t>台</w:t>
            </w:r>
            <w:r>
              <w:rPr>
                <w:rStyle w:val="78"/>
                <w:rFonts w:eastAsia="仿宋_GB2312"/>
                <w:bCs/>
                <w:color w:val="auto"/>
              </w:rPr>
              <w:t>2000kW</w:t>
            </w:r>
            <w:r>
              <w:rPr>
                <w:rStyle w:val="72"/>
                <w:rFonts w:hint="default" w:ascii="Times New Roman" w:hAnsi="Times New Roman" w:eastAsia="仿宋_GB2312" w:cs="Times New Roman"/>
                <w:bCs/>
                <w:color w:val="auto"/>
              </w:rPr>
              <w:t>大型风力发电机组，项目建成后，预计年发电量</w:t>
            </w:r>
            <w:r>
              <w:rPr>
                <w:rStyle w:val="78"/>
                <w:rFonts w:eastAsia="仿宋_GB2312"/>
                <w:bCs/>
                <w:color w:val="auto"/>
              </w:rPr>
              <w:t>2.4</w:t>
            </w:r>
            <w:r>
              <w:rPr>
                <w:rStyle w:val="72"/>
                <w:rFonts w:hint="default" w:ascii="Times New Roman" w:hAnsi="Times New Roman" w:eastAsia="仿宋_GB2312" w:cs="Times New Roman"/>
                <w:bCs/>
                <w:color w:val="auto"/>
              </w:rPr>
              <w:t>亿千瓦时。</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90000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广东聚量能源集团有限公司、鹿寨县政府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融安协合狮子岭风电场一期工程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总装机容量</w:t>
            </w:r>
            <w:r>
              <w:rPr>
                <w:rStyle w:val="78"/>
                <w:rFonts w:eastAsia="仿宋_GB2312"/>
                <w:bCs/>
                <w:color w:val="auto"/>
              </w:rPr>
              <w:t>48MW</w:t>
            </w:r>
            <w:r>
              <w:rPr>
                <w:rStyle w:val="72"/>
                <w:rFonts w:hint="default" w:ascii="Times New Roman" w:hAnsi="Times New Roman"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42360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融安协合狮子岭风力发电有限公司、融安县政府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启动升压站及场内道路建设。预计规划时间内完成。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融安协合狮子岭风电场二期工程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总装机容量</w:t>
            </w:r>
            <w:r>
              <w:rPr>
                <w:rStyle w:val="78"/>
                <w:rFonts w:eastAsia="仿宋_GB2312"/>
                <w:bCs/>
                <w:color w:val="auto"/>
              </w:rPr>
              <w:t>42MW</w:t>
            </w:r>
            <w:r>
              <w:rPr>
                <w:rStyle w:val="72"/>
                <w:rFonts w:hint="default" w:ascii="Times New Roman" w:hAnsi="Times New Roman"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35508</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融安协合孟公岭风力发电有限公司、融安县政府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启动升压站及场内道路建设。预计规划时间内完成。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融安白云岭风电场二期工程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总装机容量</w:t>
            </w:r>
            <w:r>
              <w:rPr>
                <w:rStyle w:val="78"/>
                <w:rFonts w:eastAsia="仿宋_GB2312"/>
                <w:bCs/>
                <w:color w:val="auto"/>
              </w:rPr>
              <w:t>48MW</w:t>
            </w:r>
            <w:r>
              <w:rPr>
                <w:rStyle w:val="72"/>
                <w:rFonts w:hint="default" w:ascii="Times New Roman" w:hAnsi="Times New Roman"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38700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2017-2020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融安协合风电公司、融安县政府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启动升压站及场内道路建设。预计规划时间内完成。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优能融水摩天岭</w:t>
            </w:r>
            <w:r>
              <w:rPr>
                <w:rStyle w:val="78"/>
                <w:rFonts w:eastAsia="仿宋_GB2312"/>
                <w:bCs/>
                <w:color w:val="auto"/>
              </w:rPr>
              <w:t>48MW</w:t>
            </w:r>
            <w:r>
              <w:rPr>
                <w:rStyle w:val="72"/>
                <w:rFonts w:hint="default" w:ascii="Times New Roman" w:hAnsi="Times New Roman" w:eastAsia="仿宋_GB2312" w:cs="Times New Roman"/>
                <w:bCs/>
                <w:color w:val="auto"/>
              </w:rPr>
              <w:t>风电场</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安装24</w:t>
            </w:r>
            <w:r>
              <w:rPr>
                <w:rStyle w:val="72"/>
                <w:rFonts w:hint="default" w:ascii="Times New Roman" w:hAnsi="Times New Roman" w:eastAsia="仿宋_GB2312" w:cs="Times New Roman"/>
                <w:bCs/>
                <w:color w:val="auto"/>
              </w:rPr>
              <w:t>台</w:t>
            </w:r>
            <w:r>
              <w:rPr>
                <w:rStyle w:val="78"/>
                <w:rFonts w:eastAsia="仿宋_GB2312"/>
                <w:bCs/>
                <w:color w:val="auto"/>
              </w:rPr>
              <w:t>2</w:t>
            </w:r>
            <w:r>
              <w:rPr>
                <w:rStyle w:val="72"/>
                <w:rFonts w:hint="default" w:ascii="Times New Roman" w:hAnsi="Times New Roman" w:eastAsia="仿宋_GB2312" w:cs="Times New Roman"/>
                <w:bCs/>
                <w:color w:val="auto"/>
              </w:rPr>
              <w:t>兆瓦风机，一座</w:t>
            </w:r>
            <w:r>
              <w:rPr>
                <w:rStyle w:val="78"/>
                <w:rFonts w:eastAsia="仿宋_GB2312"/>
                <w:bCs/>
                <w:color w:val="auto"/>
              </w:rPr>
              <w:t>220KV</w:t>
            </w:r>
            <w:r>
              <w:rPr>
                <w:rStyle w:val="72"/>
                <w:rFonts w:hint="default" w:ascii="Times New Roman" w:hAnsi="Times New Roman" w:eastAsia="仿宋_GB2312" w:cs="Times New Roman"/>
                <w:bCs/>
                <w:color w:val="auto"/>
              </w:rPr>
              <w:t>升压站。</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49447</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融水优能风电公司、融水县政府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升压站及场内道路施工。预计规划时间内完成。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6</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优能融水梓山坪</w:t>
            </w:r>
            <w:r>
              <w:rPr>
                <w:rStyle w:val="78"/>
                <w:rFonts w:eastAsia="仿宋_GB2312"/>
                <w:bCs/>
                <w:color w:val="auto"/>
              </w:rPr>
              <w:t>48MW</w:t>
            </w:r>
            <w:r>
              <w:rPr>
                <w:rStyle w:val="72"/>
                <w:rFonts w:hint="default" w:ascii="Times New Roman" w:hAnsi="Times New Roman" w:eastAsia="仿宋_GB2312" w:cs="Times New Roman"/>
                <w:bCs/>
                <w:color w:val="auto"/>
              </w:rPr>
              <w:t>风电场</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安装24</w:t>
            </w:r>
            <w:r>
              <w:rPr>
                <w:rStyle w:val="72"/>
                <w:rFonts w:hint="default" w:ascii="Times New Roman" w:hAnsi="Times New Roman" w:eastAsia="仿宋_GB2312" w:cs="Times New Roman"/>
                <w:bCs/>
                <w:color w:val="auto"/>
              </w:rPr>
              <w:t>台</w:t>
            </w:r>
            <w:r>
              <w:rPr>
                <w:rStyle w:val="78"/>
                <w:rFonts w:eastAsia="仿宋_GB2312"/>
                <w:bCs/>
                <w:color w:val="auto"/>
              </w:rPr>
              <w:t>2</w:t>
            </w:r>
            <w:r>
              <w:rPr>
                <w:rStyle w:val="72"/>
                <w:rFonts w:hint="default" w:ascii="Times New Roman" w:hAnsi="Times New Roman" w:eastAsia="仿宋_GB2312" w:cs="Times New Roman"/>
                <w:bCs/>
                <w:color w:val="auto"/>
              </w:rPr>
              <w:t>兆瓦风机。</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45136</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融水优能风电公司、融水县政府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升压站及场内道路施工。预计规划时间内完成。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7</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融水县白云风电场</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总规模为112米W，分两期建设，本期装机规模46MW</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43000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2020-2022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三峡新能源融水发电有限公司</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8</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融水九元山风电场</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规划装机容量约100米W，拟安装50台单机容量2000kW的风电机组，建设1座110kV升压站</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89000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2020-2022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华电广西能源有限公司</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9</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三江独峒风电</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建设49.5兆瓦风力发电场</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49000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国电集团南方分公司</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柳州琦泉生物质发电有限公司1×40MW生物质发电项目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用地153.87亩，建设1台130吨/小时高温超高压循环流化床生物质锅炉，配套1台40兆瓦高温超高压中间再热凝汽轮发电机组及相关配套设施等。</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41034</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柳州琦泉生物质发电有限公司、鹿寨县政府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项目实施后使秸秆等生物质发电，既减少秸秆焚烧污染，还产生经济效益。</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完成40MW发电机组安装，规划时间内完成。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城中区、鱼峰区、柳南区、柳北区、柳江区；柳城县、鹿寨县、融安县；融水苗族自治县、三江侗族自治县分散式风电项目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推动5县5区346兆瓦共25个分散式风电场的建设</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310000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w:t>
            </w:r>
            <w:r>
              <w:rPr>
                <w:rFonts w:eastAsia="仿宋_GB2312" w:cs="Times New Roman"/>
                <w:bCs/>
                <w:kern w:val="0"/>
                <w:sz w:val="24"/>
                <w:szCs w:val="24"/>
                <w:lang w:eastAsia="en-US"/>
              </w:rPr>
              <w:t>022-2026</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投资商主导，各区县发改局协调推进</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开展项目前期，预计规划时间内完成。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钢铁行业冶炼电能替代示范项目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选取重点钢铁企业，建设基于“废钢~电炉~连铸~轧制”工艺的钢铁冶炼示范项目</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40000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w:t>
            </w:r>
            <w:r>
              <w:rPr>
                <w:rFonts w:eastAsia="仿宋_GB2312" w:cs="Times New Roman"/>
                <w:bCs/>
                <w:kern w:val="0"/>
                <w:sz w:val="24"/>
                <w:szCs w:val="24"/>
                <w:lang w:eastAsia="en-US"/>
              </w:rPr>
              <w:t>024-2026</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相关重点钢铁企业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开展项目前期，预计规划时间内完成。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非化石能源替代化石能源项目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探索利用云南、贵州等绿色水电服务柳州工业、民用等领域需要，建设相关电力基础设施</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100000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2019-2026</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市工业和信息化局、柳州供电局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开展项目前期，预计规划时间内完成。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管网优化改造升压及柳北片区焦炉煤气气源转换</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管网优化改造升压新建中压燃气管道</w:t>
            </w:r>
            <w:r>
              <w:rPr>
                <w:rStyle w:val="78"/>
                <w:rFonts w:eastAsia="仿宋_GB2312"/>
                <w:bCs/>
                <w:color w:val="auto"/>
              </w:rPr>
              <w:t>78.43</w:t>
            </w:r>
            <w:r>
              <w:rPr>
                <w:rStyle w:val="72"/>
                <w:rFonts w:hint="default" w:ascii="Times New Roman" w:hAnsi="Times New Roman" w:eastAsia="仿宋_GB2312" w:cs="Times New Roman"/>
                <w:bCs/>
                <w:color w:val="auto"/>
              </w:rPr>
              <w:t>公里，调压站</w:t>
            </w:r>
            <w:r>
              <w:rPr>
                <w:rStyle w:val="78"/>
                <w:rFonts w:eastAsia="仿宋_GB2312"/>
                <w:bCs/>
                <w:color w:val="auto"/>
              </w:rPr>
              <w:t>11</w:t>
            </w:r>
            <w:r>
              <w:rPr>
                <w:rStyle w:val="72"/>
                <w:rFonts w:hint="default" w:ascii="Times New Roman" w:hAnsi="Times New Roman" w:eastAsia="仿宋_GB2312" w:cs="Times New Roman"/>
                <w:bCs/>
                <w:color w:val="auto"/>
              </w:rPr>
              <w:t>个，维修改造老旧燃气管道</w:t>
            </w:r>
            <w:r>
              <w:rPr>
                <w:rStyle w:val="78"/>
                <w:rFonts w:eastAsia="仿宋_GB2312"/>
                <w:bCs/>
                <w:color w:val="auto"/>
              </w:rPr>
              <w:t>23.38</w:t>
            </w:r>
            <w:r>
              <w:rPr>
                <w:rStyle w:val="72"/>
                <w:rFonts w:hint="default" w:ascii="Times New Roman" w:hAnsi="Times New Roman" w:eastAsia="仿宋_GB2312" w:cs="Times New Roman"/>
                <w:bCs/>
                <w:color w:val="auto"/>
              </w:rPr>
              <w:t>公里，调压站</w:t>
            </w:r>
            <w:r>
              <w:rPr>
                <w:rStyle w:val="78"/>
                <w:rFonts w:eastAsia="仿宋_GB2312"/>
                <w:bCs/>
                <w:color w:val="auto"/>
              </w:rPr>
              <w:t>24</w:t>
            </w:r>
            <w:r>
              <w:rPr>
                <w:rStyle w:val="72"/>
                <w:rFonts w:hint="default" w:ascii="Times New Roman" w:hAnsi="Times New Roman" w:eastAsia="仿宋_GB2312" w:cs="Times New Roman"/>
                <w:bCs/>
                <w:color w:val="auto"/>
              </w:rPr>
              <w:t>个；柳北片区焦炉煤气气源转换新建中压燃气管道</w:t>
            </w:r>
            <w:r>
              <w:rPr>
                <w:rStyle w:val="78"/>
                <w:rFonts w:eastAsia="仿宋_GB2312"/>
                <w:bCs/>
                <w:color w:val="auto"/>
              </w:rPr>
              <w:t>20.78</w:t>
            </w:r>
            <w:r>
              <w:rPr>
                <w:rStyle w:val="72"/>
                <w:rFonts w:hint="default" w:ascii="Times New Roman" w:hAnsi="Times New Roman" w:eastAsia="仿宋_GB2312" w:cs="Times New Roman"/>
                <w:bCs/>
                <w:color w:val="auto"/>
              </w:rPr>
              <w:t>公里，调压站</w:t>
            </w:r>
            <w:r>
              <w:rPr>
                <w:rStyle w:val="78"/>
                <w:rFonts w:eastAsia="仿宋_GB2312"/>
                <w:bCs/>
                <w:color w:val="auto"/>
              </w:rPr>
              <w:t>29</w:t>
            </w:r>
            <w:r>
              <w:rPr>
                <w:rStyle w:val="72"/>
                <w:rFonts w:hint="default" w:ascii="Times New Roman" w:hAnsi="Times New Roman" w:eastAsia="仿宋_GB2312" w:cs="Times New Roman"/>
                <w:bCs/>
                <w:color w:val="auto"/>
              </w:rPr>
              <w:t>个，维修改造老旧燃气管道</w:t>
            </w:r>
            <w:r>
              <w:rPr>
                <w:rStyle w:val="78"/>
                <w:rFonts w:eastAsia="仿宋_GB2312"/>
                <w:bCs/>
                <w:color w:val="auto"/>
              </w:rPr>
              <w:t>35.71</w:t>
            </w:r>
            <w:r>
              <w:rPr>
                <w:rStyle w:val="72"/>
                <w:rFonts w:hint="default" w:ascii="Times New Roman" w:hAnsi="Times New Roman" w:eastAsia="仿宋_GB2312" w:cs="Times New Roman"/>
                <w:bCs/>
                <w:color w:val="auto"/>
              </w:rPr>
              <w:t>公里，调压站</w:t>
            </w:r>
            <w:r>
              <w:rPr>
                <w:rStyle w:val="78"/>
                <w:rFonts w:eastAsia="仿宋_GB2312"/>
                <w:bCs/>
                <w:color w:val="auto"/>
              </w:rPr>
              <w:t>34</w:t>
            </w:r>
            <w:r>
              <w:rPr>
                <w:rStyle w:val="72"/>
                <w:rFonts w:hint="default" w:ascii="Times New Roman" w:hAnsi="Times New Roman" w:eastAsia="仿宋_GB2312" w:cs="Times New Roman"/>
                <w:bCs/>
                <w:color w:val="auto"/>
              </w:rPr>
              <w:t>个及用户燃气灶具改造。</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20682</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市东城集团、市住房城乡建设局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20.78Km</w:t>
            </w:r>
            <w:r>
              <w:rPr>
                <w:rStyle w:val="72"/>
                <w:rFonts w:hint="default" w:ascii="Times New Roman" w:hAnsi="Times New Roman" w:eastAsia="仿宋_GB2312" w:cs="Times New Roman"/>
                <w:bCs/>
                <w:color w:val="auto"/>
              </w:rPr>
              <w:t>灰口铸铁管改建更换，调压器改造。预计规划时间内完成。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洋溪水利枢纽工程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正常蓄水位为</w:t>
            </w:r>
            <w:r>
              <w:rPr>
                <w:rStyle w:val="78"/>
                <w:rFonts w:eastAsia="仿宋_GB2312"/>
                <w:bCs/>
                <w:color w:val="auto"/>
              </w:rPr>
              <w:t>163</w:t>
            </w:r>
            <w:r>
              <w:rPr>
                <w:rStyle w:val="72"/>
                <w:rFonts w:hint="default" w:ascii="Times New Roman" w:hAnsi="Times New Roman" w:eastAsia="仿宋_GB2312" w:cs="Times New Roman"/>
                <w:bCs/>
                <w:color w:val="auto"/>
              </w:rPr>
              <w:t>米，水库总容量为</w:t>
            </w:r>
            <w:r>
              <w:rPr>
                <w:rStyle w:val="78"/>
                <w:rFonts w:eastAsia="仿宋_GB2312"/>
                <w:bCs/>
                <w:color w:val="auto"/>
              </w:rPr>
              <w:t>9.25</w:t>
            </w:r>
            <w:r>
              <w:rPr>
                <w:rStyle w:val="72"/>
                <w:rFonts w:hint="default" w:ascii="Times New Roman" w:hAnsi="Times New Roman" w:eastAsia="仿宋_GB2312" w:cs="Times New Roman"/>
                <w:bCs/>
                <w:color w:val="auto"/>
              </w:rPr>
              <w:t>亿立方米，其中防洪库容</w:t>
            </w:r>
            <w:r>
              <w:rPr>
                <w:rStyle w:val="78"/>
                <w:rFonts w:eastAsia="仿宋_GB2312"/>
                <w:bCs/>
                <w:color w:val="auto"/>
              </w:rPr>
              <w:t>7.8</w:t>
            </w:r>
            <w:r>
              <w:rPr>
                <w:rStyle w:val="72"/>
                <w:rFonts w:hint="default" w:ascii="Times New Roman" w:hAnsi="Times New Roman" w:eastAsia="仿宋_GB2312" w:cs="Times New Roman"/>
                <w:bCs/>
                <w:color w:val="auto"/>
              </w:rPr>
              <w:t>亿立方米，电站总装机容量</w:t>
            </w:r>
            <w:r>
              <w:rPr>
                <w:rStyle w:val="78"/>
                <w:rFonts w:eastAsia="仿宋_GB2312"/>
                <w:bCs/>
                <w:color w:val="auto"/>
              </w:rPr>
              <w:t>12</w:t>
            </w:r>
            <w:r>
              <w:rPr>
                <w:rStyle w:val="72"/>
                <w:rFonts w:hint="default" w:ascii="Times New Roman" w:hAnsi="Times New Roman" w:eastAsia="仿宋_GB2312" w:cs="Times New Roman"/>
                <w:bCs/>
                <w:color w:val="auto"/>
              </w:rPr>
              <w:t>万千瓦，设计通航船只为</w:t>
            </w:r>
            <w:r>
              <w:rPr>
                <w:rStyle w:val="78"/>
                <w:rFonts w:eastAsia="仿宋_GB2312"/>
                <w:bCs/>
                <w:color w:val="auto"/>
              </w:rPr>
              <w:t>500</w:t>
            </w:r>
            <w:r>
              <w:rPr>
                <w:rStyle w:val="72"/>
                <w:rFonts w:hint="default" w:ascii="Times New Roman" w:hAnsi="Times New Roman" w:eastAsia="仿宋_GB2312" w:cs="Times New Roman"/>
                <w:bCs/>
                <w:color w:val="auto"/>
              </w:rPr>
              <w:t>吨船舶。</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1101000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2019-2026</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市农投集团、市水利局、三江县政府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rPr>
            </w:pPr>
          </w:p>
          <w:p>
            <w:pPr>
              <w:pStyle w:val="2"/>
              <w:ind w:firstLine="0" w:firstLineChars="0"/>
              <w:rPr>
                <w:rFonts w:eastAsia="仿宋_GB2312" w:cs="Times New Roman"/>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color w:val="000000" w:themeColor="text1"/>
                <w:kern w:val="0"/>
                <w:sz w:val="24"/>
                <w:szCs w:val="24"/>
              </w:rPr>
            </w:pPr>
            <w:r>
              <w:rPr>
                <w:rFonts w:eastAsia="仿宋_GB2312" w:cs="Times New Roman"/>
                <w:bCs/>
                <w:color w:val="000000" w:themeColor="text1"/>
                <w:kern w:val="0"/>
                <w:sz w:val="24"/>
                <w:szCs w:val="24"/>
              </w:rPr>
              <w:t>16</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color w:val="000000" w:themeColor="text1"/>
                <w:kern w:val="0"/>
                <w:sz w:val="24"/>
                <w:szCs w:val="24"/>
              </w:rPr>
            </w:pPr>
            <w:r>
              <w:rPr>
                <w:rFonts w:eastAsia="仿宋_GB2312" w:cs="Times New Roman"/>
                <w:bCs/>
                <w:color w:val="000000" w:themeColor="text1"/>
                <w:kern w:val="0"/>
                <w:sz w:val="24"/>
                <w:szCs w:val="24"/>
              </w:rPr>
              <w:t>梅林航电枢纽工程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color w:val="000000" w:themeColor="text1"/>
                <w:kern w:val="0"/>
                <w:sz w:val="24"/>
                <w:szCs w:val="24"/>
              </w:rPr>
            </w:pPr>
            <w:r>
              <w:rPr>
                <w:rFonts w:eastAsia="仿宋_GB2312" w:cs="Times New Roman"/>
                <w:bCs/>
                <w:color w:val="000000" w:themeColor="text1"/>
                <w:kern w:val="0"/>
                <w:sz w:val="24"/>
                <w:szCs w:val="24"/>
              </w:rPr>
              <w:t>水库正常蓄水位为</w:t>
            </w:r>
            <w:r>
              <w:rPr>
                <w:rStyle w:val="78"/>
                <w:rFonts w:eastAsia="仿宋_GB2312"/>
                <w:bCs/>
                <w:color w:val="000000" w:themeColor="text1"/>
              </w:rPr>
              <w:t>176</w:t>
            </w:r>
            <w:r>
              <w:rPr>
                <w:rStyle w:val="72"/>
                <w:rFonts w:hint="default" w:ascii="Times New Roman" w:hAnsi="Times New Roman" w:eastAsia="仿宋_GB2312" w:cs="Times New Roman"/>
                <w:bCs/>
                <w:color w:val="000000" w:themeColor="text1"/>
              </w:rPr>
              <w:t>米，水库总库容为</w:t>
            </w:r>
            <w:r>
              <w:rPr>
                <w:rStyle w:val="78"/>
                <w:rFonts w:eastAsia="仿宋_GB2312"/>
                <w:bCs/>
                <w:color w:val="000000" w:themeColor="text1"/>
              </w:rPr>
              <w:t>2.06</w:t>
            </w:r>
            <w:r>
              <w:rPr>
                <w:rStyle w:val="72"/>
                <w:rFonts w:hint="default" w:ascii="Times New Roman" w:hAnsi="Times New Roman" w:eastAsia="仿宋_GB2312" w:cs="Times New Roman"/>
                <w:bCs/>
                <w:color w:val="000000" w:themeColor="text1"/>
              </w:rPr>
              <w:t>亿立方米，Ⅴ级双线航道，船闸按</w:t>
            </w:r>
            <w:r>
              <w:rPr>
                <w:rStyle w:val="78"/>
                <w:rFonts w:eastAsia="仿宋_GB2312"/>
                <w:bCs/>
                <w:color w:val="000000" w:themeColor="text1"/>
              </w:rPr>
              <w:t>500</w:t>
            </w:r>
            <w:r>
              <w:rPr>
                <w:rStyle w:val="72"/>
                <w:rFonts w:hint="default" w:ascii="Times New Roman" w:hAnsi="Times New Roman" w:eastAsia="仿宋_GB2312" w:cs="Times New Roman"/>
                <w:bCs/>
                <w:color w:val="000000" w:themeColor="text1"/>
              </w:rPr>
              <w:t>吨级设计，电站装机容量为</w:t>
            </w:r>
            <w:r>
              <w:rPr>
                <w:rStyle w:val="78"/>
                <w:rFonts w:eastAsia="仿宋_GB2312"/>
                <w:bCs/>
                <w:color w:val="000000" w:themeColor="text1"/>
              </w:rPr>
              <w:t>42</w:t>
            </w:r>
            <w:r>
              <w:rPr>
                <w:rStyle w:val="72"/>
                <w:rFonts w:hint="default" w:ascii="Times New Roman" w:hAnsi="Times New Roman" w:eastAsia="仿宋_GB2312" w:cs="Times New Roman"/>
                <w:bCs/>
                <w:color w:val="000000" w:themeColor="text1"/>
              </w:rPr>
              <w:t>兆瓦。</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color w:val="000000" w:themeColor="text1"/>
                <w:kern w:val="0"/>
                <w:sz w:val="24"/>
                <w:szCs w:val="24"/>
              </w:rPr>
            </w:pPr>
            <w:r>
              <w:rPr>
                <w:rFonts w:eastAsia="仿宋_GB2312" w:cs="Times New Roman"/>
                <w:bCs/>
                <w:color w:val="000000" w:themeColor="text1"/>
                <w:kern w:val="0"/>
                <w:sz w:val="24"/>
                <w:szCs w:val="24"/>
              </w:rPr>
              <w:t>351000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color w:val="000000" w:themeColor="text1"/>
                <w:kern w:val="0"/>
                <w:sz w:val="24"/>
                <w:szCs w:val="24"/>
              </w:rPr>
            </w:pPr>
            <w:r>
              <w:rPr>
                <w:rFonts w:eastAsia="仿宋_GB2312" w:cs="Times New Roman"/>
                <w:bCs/>
                <w:color w:val="000000" w:themeColor="text1"/>
                <w:kern w:val="0"/>
                <w:sz w:val="24"/>
                <w:szCs w:val="24"/>
              </w:rPr>
              <w:t>2019-2025</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color w:val="000000" w:themeColor="text1"/>
                <w:kern w:val="0"/>
                <w:sz w:val="24"/>
                <w:szCs w:val="24"/>
              </w:rPr>
            </w:pPr>
            <w:r>
              <w:rPr>
                <w:rFonts w:hint="eastAsia" w:eastAsia="仿宋_GB2312" w:cs="Times New Roman"/>
                <w:bCs/>
                <w:color w:val="000000" w:themeColor="text1"/>
                <w:kern w:val="0"/>
                <w:sz w:val="24"/>
                <w:szCs w:val="24"/>
              </w:rPr>
              <w:t>市农投集团、市交通运输局、三江县政府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color w:val="000000" w:themeColor="text1"/>
                <w:kern w:val="0"/>
                <w:sz w:val="24"/>
                <w:szCs w:val="24"/>
              </w:rPr>
            </w:pPr>
            <w:r>
              <w:rPr>
                <w:rFonts w:hint="eastAsia" w:eastAsia="仿宋_GB2312" w:cs="Times New Roman"/>
                <w:bCs/>
                <w:color w:val="000000" w:themeColor="text1"/>
                <w:kern w:val="0"/>
                <w:sz w:val="24"/>
                <w:szCs w:val="24"/>
              </w:rPr>
              <w:t>项目实施有利于优化能源结构</w:t>
            </w:r>
            <w:r>
              <w:rPr>
                <w:rFonts w:eastAsia="仿宋_GB2312" w:cs="Times New Roman"/>
                <w:bCs/>
                <w:color w:val="000000" w:themeColor="text1"/>
                <w:kern w:val="0"/>
                <w:sz w:val="24"/>
                <w:szCs w:val="24"/>
              </w:rPr>
              <w:t>，提高清洁能源比重</w:t>
            </w:r>
            <w:r>
              <w:rPr>
                <w:rFonts w:hint="eastAsia" w:eastAsia="仿宋_GB2312" w:cs="Times New Roman"/>
                <w:bCs/>
                <w:color w:val="000000" w:themeColor="text1"/>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color w:val="000000" w:themeColor="text1"/>
                <w:kern w:val="0"/>
                <w:sz w:val="24"/>
                <w:szCs w:val="24"/>
              </w:rPr>
            </w:pPr>
            <w:r>
              <w:rPr>
                <w:rFonts w:eastAsia="仿宋_GB2312" w:cs="Times New Roman"/>
                <w:bCs/>
                <w:color w:val="000000" w:themeColor="text1"/>
                <w:kern w:val="0"/>
                <w:sz w:val="24"/>
                <w:szCs w:val="24"/>
              </w:rPr>
              <w:t>开展项目前期、启动征地等前期工作，实现开工建设。预计规划时间内完成。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color w:val="000000" w:themeColor="text1"/>
                <w:kern w:val="0"/>
                <w:sz w:val="24"/>
                <w:szCs w:val="24"/>
              </w:rPr>
            </w:pPr>
            <w:r>
              <w:rPr>
                <w:rFonts w:hint="eastAsia" w:eastAsia="仿宋_GB2312" w:cs="Times New Roman"/>
                <w:bCs/>
                <w:color w:val="000000" w:themeColor="text1"/>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pStyle w:val="2"/>
              <w:ind w:firstLine="0" w:firstLineChars="0"/>
              <w:rPr>
                <w:rFonts w:eastAsia="仿宋_GB2312" w:cs="Times New Roman"/>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17</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焦炉上升管荒煤气余热回收</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采用HYWHR型荒煤气换热器对焦化厂2×60+4×55共340孔焦炉荒煤气废热进行回收利用</w:t>
            </w:r>
            <w:r>
              <w:rPr>
                <w:rFonts w:hint="eastAsia" w:eastAsia="仿宋_GB2312" w:cs="Times New Roman"/>
                <w:bCs/>
                <w:kern w:val="0"/>
                <w:sz w:val="24"/>
                <w:szCs w:val="24"/>
              </w:rPr>
              <w:t>，</w:t>
            </w:r>
            <w:r>
              <w:rPr>
                <w:rFonts w:eastAsia="仿宋_GB2312" w:cs="Times New Roman"/>
                <w:bCs/>
                <w:kern w:val="0"/>
                <w:sz w:val="24"/>
                <w:szCs w:val="24"/>
              </w:rPr>
              <w:t>预计可以生产0.6～1.0MPa</w:t>
            </w:r>
            <w:r>
              <w:rPr>
                <w:rFonts w:hint="eastAsia" w:eastAsia="仿宋_GB2312" w:cs="Times New Roman"/>
                <w:bCs/>
                <w:kern w:val="0"/>
                <w:sz w:val="24"/>
                <w:szCs w:val="24"/>
              </w:rPr>
              <w:t>，</w:t>
            </w:r>
            <w:r>
              <w:rPr>
                <w:rFonts w:eastAsia="仿宋_GB2312" w:cs="Times New Roman"/>
                <w:bCs/>
                <w:kern w:val="0"/>
                <w:sz w:val="24"/>
                <w:szCs w:val="24"/>
              </w:rPr>
              <w:t>160～180℃的饱和蒸汽42.5 t/h。</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11000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2017-2025</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柳钢集团</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降低煤气初冷器的热负荷，降低煤气回收车间电耗，减少荒煤气泄漏等。</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开展项目前期。预计规划时间内完成。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pStyle w:val="2"/>
              <w:ind w:firstLine="0" w:firstLineChars="0"/>
              <w:rPr>
                <w:rFonts w:eastAsia="仿宋_GB2312" w:cs="Times New Roman"/>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18</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生态新区清洁能源示范区建设项目（一期）</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打造天然气管网、供热（冷）管网和增量配电网“三网合一”的清洁能源示范区。</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506000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柳州广投北城清洁能源有限公司</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开展项目前期。预计规划时间内完成。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19</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热轧加热炉烟气余热回收</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柳钢现有3台2032步进式加热炉和2台1450步进式加热炉，配套建设余热锅炉、蒸汽回收管网、循环水泵站、汽包、除盐水泵站、给水泵、低压配电室、除盐水箱等。</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3000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2019-2025</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柳钢集团</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回收热轧区域加热炉烟气余热生产蒸汽，减少能耗。</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开展项目前期。预计规划时间内完成。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调整产业结构</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五菱柳机新能源</w:t>
            </w:r>
            <w:r>
              <w:rPr>
                <w:rStyle w:val="78"/>
                <w:rFonts w:eastAsia="仿宋_GB2312"/>
                <w:bCs/>
                <w:color w:val="auto"/>
              </w:rPr>
              <w:t>PHEV</w:t>
            </w:r>
            <w:r>
              <w:rPr>
                <w:rStyle w:val="72"/>
                <w:rFonts w:hint="default" w:ascii="Times New Roman" w:hAnsi="Times New Roman" w:eastAsia="仿宋_GB2312" w:cs="Times New Roman"/>
                <w:bCs/>
                <w:color w:val="auto"/>
              </w:rPr>
              <w:t>核心零部件及系统集成开发项目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对插电式新能源动力总成系统进行研究开发，购置新能源研发试验装备，对新能源生产线进行技改。达产后形成年产</w:t>
            </w:r>
            <w:r>
              <w:rPr>
                <w:rStyle w:val="78"/>
                <w:rFonts w:eastAsia="仿宋_GB2312"/>
                <w:bCs/>
                <w:color w:val="auto"/>
              </w:rPr>
              <w:t>20</w:t>
            </w:r>
            <w:r>
              <w:rPr>
                <w:rStyle w:val="72"/>
                <w:rFonts w:hint="default" w:ascii="Times New Roman" w:hAnsi="Times New Roman" w:eastAsia="仿宋_GB2312" w:cs="Times New Roman"/>
                <w:bCs/>
                <w:color w:val="auto"/>
              </w:rPr>
              <w:t>万台套的新能源动力总成的生产能力。</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19140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柳州五菱柳机动力有限公司、市工业和信息化局、鱼峰区政府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完成新能源各驱动电机，</w:t>
            </w:r>
            <w:r>
              <w:rPr>
                <w:rStyle w:val="78"/>
                <w:rFonts w:eastAsia="仿宋_GB2312"/>
                <w:bCs/>
                <w:color w:val="auto"/>
              </w:rPr>
              <w:t>ISG</w:t>
            </w:r>
            <w:r>
              <w:rPr>
                <w:rStyle w:val="72"/>
                <w:rFonts w:hint="default" w:ascii="Times New Roman" w:hAnsi="Times New Roman" w:eastAsia="仿宋_GB2312" w:cs="Times New Roman"/>
                <w:bCs/>
                <w:color w:val="auto"/>
              </w:rPr>
              <w:t>电机及电机控制器开发，并形成动力总成集成系统。</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广西汽车集团新能源整车项目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用地</w:t>
            </w:r>
            <w:r>
              <w:rPr>
                <w:rStyle w:val="78"/>
                <w:rFonts w:eastAsia="仿宋_GB2312"/>
                <w:bCs/>
                <w:color w:val="auto"/>
              </w:rPr>
              <w:t>800</w:t>
            </w:r>
            <w:r>
              <w:rPr>
                <w:rStyle w:val="72"/>
                <w:rFonts w:hint="default" w:ascii="Times New Roman" w:hAnsi="Times New Roman" w:eastAsia="仿宋_GB2312" w:cs="Times New Roman"/>
                <w:bCs/>
                <w:color w:val="auto"/>
              </w:rPr>
              <w:t>亩，主要生产车型有新能源轿车、</w:t>
            </w:r>
            <w:r>
              <w:rPr>
                <w:rStyle w:val="78"/>
                <w:rFonts w:eastAsia="仿宋_GB2312"/>
                <w:bCs/>
                <w:color w:val="auto"/>
              </w:rPr>
              <w:t>SUV</w:t>
            </w:r>
            <w:r>
              <w:rPr>
                <w:rStyle w:val="72"/>
                <w:rFonts w:hint="default" w:ascii="Times New Roman" w:hAnsi="Times New Roman" w:eastAsia="仿宋_GB2312" w:cs="Times New Roman"/>
                <w:bCs/>
                <w:color w:val="auto"/>
              </w:rPr>
              <w:t>、</w:t>
            </w:r>
            <w:r>
              <w:rPr>
                <w:rStyle w:val="78"/>
                <w:rFonts w:eastAsia="仿宋_GB2312"/>
                <w:bCs/>
                <w:color w:val="auto"/>
              </w:rPr>
              <w:t>MPV</w:t>
            </w:r>
            <w:r>
              <w:rPr>
                <w:rStyle w:val="72"/>
                <w:rFonts w:hint="default" w:ascii="Times New Roman" w:hAnsi="Times New Roman" w:eastAsia="仿宋_GB2312" w:cs="Times New Roman"/>
                <w:bCs/>
                <w:color w:val="auto"/>
              </w:rPr>
              <w:t>、低速电动车等。</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246900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广西汽车集团、市工业和信息化局、柳东新区管委会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柳东研发中心，科研、孵化集中区</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科研、孵化集中区：A区厂房改造，建设内容包括孵化器、加速器、厂房车间、创客空间等，配套建设供电、给排水、硬化、道路、地下停车场、绿化、消防等设施</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 xml:space="preserve">50000 </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2020-2024</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hint="eastAsia" w:eastAsia="仿宋_GB2312" w:cs="Times New Roman"/>
                <w:bCs/>
                <w:kern w:val="0"/>
                <w:sz w:val="24"/>
                <w:szCs w:val="24"/>
              </w:rPr>
              <w:t>市</w:t>
            </w:r>
            <w:r>
              <w:rPr>
                <w:rFonts w:eastAsia="仿宋_GB2312" w:cs="Times New Roman"/>
                <w:bCs/>
                <w:kern w:val="0"/>
                <w:sz w:val="24"/>
                <w:szCs w:val="24"/>
              </w:rPr>
              <w:t>东城集团</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项目实施有利于企业产业升级</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柳州市低碳工业园区工程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推进柳州市重点工业园区低碳发展，通过优化产业结构、节约提高能效、加强可再生能源应用、加强低碳基础设施建设和低碳管理，推进园区低碳产业集群。</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2019-2030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市工业和信息化局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项目实施，推进柳州市重点工业园区低碳发展，推进园区低碳产业集群</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鹿寨县石墨烯新材料产业基地一期</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项目总投资约</w:t>
            </w:r>
            <w:r>
              <w:rPr>
                <w:rStyle w:val="78"/>
                <w:rFonts w:eastAsia="仿宋_GB2312"/>
                <w:bCs/>
                <w:color w:val="auto"/>
              </w:rPr>
              <w:t>14</w:t>
            </w:r>
            <w:r>
              <w:rPr>
                <w:rStyle w:val="72"/>
                <w:rFonts w:hint="default" w:ascii="Times New Roman" w:hAnsi="Times New Roman" w:eastAsia="仿宋_GB2312" w:cs="Times New Roman"/>
                <w:bCs/>
                <w:color w:val="auto"/>
              </w:rPr>
              <w:t>亿元，占地约</w:t>
            </w:r>
            <w:r>
              <w:rPr>
                <w:rStyle w:val="78"/>
                <w:rFonts w:eastAsia="仿宋_GB2312"/>
                <w:bCs/>
                <w:color w:val="auto"/>
              </w:rPr>
              <w:t>300</w:t>
            </w:r>
            <w:r>
              <w:rPr>
                <w:rStyle w:val="72"/>
                <w:rFonts w:hint="default" w:ascii="Times New Roman" w:hAnsi="Times New Roman" w:eastAsia="仿宋_GB2312" w:cs="Times New Roman"/>
                <w:bCs/>
                <w:color w:val="auto"/>
              </w:rPr>
              <w:t>亩，主要建设研发孵化园区、产业化加速园区、产业化应用创新示范园区、综合配套区四个功能区。</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140000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鹿寨联发投资公司、鹿寨县政府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w:t>
            </w:r>
            <w:r>
              <w:rPr>
                <w:rStyle w:val="79"/>
                <w:rFonts w:hint="default" w:ascii="Times New Roman" w:hAnsi="Times New Roman" w:eastAsia="仿宋_GB2312" w:cs="Times New Roman"/>
                <w:bCs/>
                <w:color w:val="auto"/>
              </w:rPr>
              <w:t>三</w:t>
            </w:r>
            <w:r>
              <w:rPr>
                <w:rStyle w:val="70"/>
                <w:rFonts w:eastAsia="仿宋_GB2312"/>
                <w:bCs/>
                <w:color w:val="auto"/>
              </w:rPr>
              <w:t>)</w:t>
            </w:r>
            <w:r>
              <w:rPr>
                <w:rStyle w:val="79"/>
                <w:rFonts w:hint="default" w:ascii="Times New Roman" w:hAnsi="Times New Roman" w:eastAsia="仿宋_GB2312" w:cs="Times New Roman"/>
                <w:bCs/>
                <w:color w:val="auto"/>
              </w:rPr>
              <w:t>产业循环发展</w:t>
            </w: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生态工业</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静脉产业园近期项目基础设施建设项目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园区近期项目用地</w:t>
            </w:r>
            <w:r>
              <w:rPr>
                <w:rStyle w:val="78"/>
                <w:rFonts w:eastAsia="仿宋_GB2312"/>
                <w:bCs/>
                <w:color w:val="auto"/>
              </w:rPr>
              <w:t>409</w:t>
            </w:r>
            <w:r>
              <w:rPr>
                <w:rStyle w:val="72"/>
                <w:rFonts w:hint="default" w:ascii="Times New Roman" w:hAnsi="Times New Roman" w:eastAsia="仿宋_GB2312" w:cs="Times New Roman"/>
                <w:bCs/>
                <w:color w:val="auto"/>
              </w:rPr>
              <w:t>亩，建设内容主要为基础设施工程包括：园区内道路系统，园区内给水、排水及消防系统，园区电力、通信系统，园区绿化系统，管理及辅助工程。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31475</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市水务集团、市城管执法局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项目实施，有利于产业结构调整，企业技术改造升级</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主体建设。预计规划时间内完成。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广西鱼峰水泥股份有限公司熟料6000吨生产线技改项目一期</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淘汰旧生产线，在原址新建为1条6000吨生产线</w:t>
            </w:r>
            <w:r>
              <w:rPr>
                <w:rFonts w:hint="eastAsia" w:eastAsia="仿宋_GB2312" w:cs="Times New Roman"/>
                <w:bCs/>
                <w:kern w:val="0"/>
                <w:sz w:val="24"/>
                <w:szCs w:val="24"/>
              </w:rPr>
              <w:t>技术改造</w:t>
            </w:r>
            <w:r>
              <w:rPr>
                <w:rFonts w:eastAsia="仿宋_GB2312" w:cs="Times New Roman"/>
                <w:bCs/>
                <w:kern w:val="0"/>
                <w:sz w:val="24"/>
                <w:szCs w:val="24"/>
              </w:rPr>
              <w:t>项目</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60000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广西鱼峰水泥股份有限公司</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项目实施，有利于产业结构调整，企业技术改造升级</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广西鱼峰水泥股份有限公司熟料6000吨生产线技改项目二期</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淘汰旧生产线，在原址新建为1条6000吨生产线</w:t>
            </w:r>
            <w:r>
              <w:rPr>
                <w:rFonts w:hint="eastAsia" w:eastAsia="仿宋_GB2312" w:cs="Times New Roman"/>
                <w:bCs/>
                <w:kern w:val="0"/>
                <w:sz w:val="24"/>
                <w:szCs w:val="24"/>
              </w:rPr>
              <w:t>技术改造</w:t>
            </w:r>
            <w:r>
              <w:rPr>
                <w:rFonts w:eastAsia="仿宋_GB2312" w:cs="Times New Roman"/>
                <w:bCs/>
                <w:kern w:val="0"/>
                <w:sz w:val="24"/>
                <w:szCs w:val="24"/>
              </w:rPr>
              <w:t>项目</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60000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2021-2023</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广西鱼峰水泥股份有限公司</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项目实施，有利于产业结构调整，企业技术改造升级</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广西柳州化工控股有限公司产能转型升级节能减排项目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年产30万吨硝酸、20万吨硝酸铵、12万吨双氧水、35万吨复合肥项目</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61000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2019 -2022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广西柳州化工控股有限公司</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项目实施</w:t>
            </w:r>
            <w:r>
              <w:rPr>
                <w:rFonts w:hint="eastAsia" w:eastAsia="仿宋_GB2312" w:cs="Times New Roman"/>
                <w:bCs/>
                <w:kern w:val="0"/>
                <w:sz w:val="24"/>
                <w:szCs w:val="24"/>
              </w:rPr>
              <w:t>，</w:t>
            </w:r>
            <w:r>
              <w:rPr>
                <w:rFonts w:eastAsia="仿宋_GB2312" w:cs="Times New Roman"/>
                <w:bCs/>
                <w:kern w:val="0"/>
                <w:sz w:val="24"/>
                <w:szCs w:val="24"/>
              </w:rPr>
              <w:t>有利于产业结构调整，企业技术改造升级</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柳挖新建中型挖掘机智能化生产线项目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新建</w:t>
            </w:r>
            <w:r>
              <w:rPr>
                <w:rStyle w:val="78"/>
                <w:rFonts w:eastAsia="仿宋_GB2312"/>
                <w:bCs/>
                <w:color w:val="auto"/>
              </w:rPr>
              <w:t>1</w:t>
            </w:r>
            <w:r>
              <w:rPr>
                <w:rStyle w:val="72"/>
                <w:rFonts w:hint="default" w:ascii="Times New Roman" w:hAnsi="Times New Roman" w:eastAsia="仿宋_GB2312" w:cs="Times New Roman"/>
                <w:bCs/>
                <w:color w:val="auto"/>
              </w:rPr>
              <w:t>条斗杆焊接机器人</w:t>
            </w:r>
            <w:r>
              <w:rPr>
                <w:rStyle w:val="78"/>
                <w:rFonts w:eastAsia="仿宋_GB2312"/>
                <w:bCs/>
                <w:color w:val="auto"/>
              </w:rPr>
              <w:t>RGV</w:t>
            </w:r>
            <w:r>
              <w:rPr>
                <w:rStyle w:val="72"/>
                <w:rFonts w:hint="default" w:ascii="Times New Roman" w:hAnsi="Times New Roman" w:eastAsia="仿宋_GB2312" w:cs="Times New Roman"/>
                <w:bCs/>
                <w:color w:val="auto"/>
              </w:rPr>
              <w:t>自动化焊接线、动臂焊接机器人</w:t>
            </w:r>
            <w:r>
              <w:rPr>
                <w:rStyle w:val="78"/>
                <w:rFonts w:eastAsia="仿宋_GB2312"/>
                <w:bCs/>
                <w:color w:val="auto"/>
              </w:rPr>
              <w:t>RGV</w:t>
            </w:r>
            <w:r>
              <w:rPr>
                <w:rStyle w:val="72"/>
                <w:rFonts w:hint="default" w:ascii="Times New Roman" w:hAnsi="Times New Roman" w:eastAsia="仿宋_GB2312" w:cs="Times New Roman"/>
                <w:bCs/>
                <w:color w:val="auto"/>
              </w:rPr>
              <w:t>自动化焊接线和中型机装配</w:t>
            </w:r>
            <w:r>
              <w:rPr>
                <w:rStyle w:val="78"/>
                <w:rFonts w:eastAsia="仿宋_GB2312"/>
                <w:bCs/>
                <w:color w:val="auto"/>
              </w:rPr>
              <w:t>RGV</w:t>
            </w:r>
            <w:r>
              <w:rPr>
                <w:rStyle w:val="72"/>
                <w:rFonts w:hint="default" w:ascii="Times New Roman" w:hAnsi="Times New Roman" w:eastAsia="仿宋_GB2312" w:cs="Times New Roman"/>
                <w:bCs/>
                <w:color w:val="auto"/>
              </w:rPr>
              <w:t>线；新购</w:t>
            </w:r>
            <w:r>
              <w:rPr>
                <w:rStyle w:val="78"/>
                <w:rFonts w:eastAsia="仿宋_GB2312"/>
                <w:bCs/>
                <w:color w:val="auto"/>
              </w:rPr>
              <w:t>2</w:t>
            </w:r>
            <w:r>
              <w:rPr>
                <w:rStyle w:val="72"/>
                <w:rFonts w:hint="default" w:ascii="Times New Roman" w:hAnsi="Times New Roman" w:eastAsia="仿宋_GB2312" w:cs="Times New Roman"/>
                <w:bCs/>
                <w:color w:val="auto"/>
              </w:rPr>
              <w:t>台卧式加工中心；工厂风、水、电、气网扩容和智能化改造。</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柳州柳工挖掘机有限公司、市工业和信息化局、</w:t>
            </w:r>
            <w:r>
              <w:rPr>
                <w:rStyle w:val="72"/>
                <w:rFonts w:hint="default" w:ascii="Times New Roman" w:hAnsi="Times New Roman" w:eastAsia="仿宋_GB2312" w:cs="Times New Roman"/>
                <w:bCs/>
                <w:color w:val="auto"/>
              </w:rPr>
              <w:t>柳江区政府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项目实施，有利于产业结构调整，企业技术改造升级</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建设厂房及相关设备购置。预计规划时间内完成。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生态农业</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柳南区国家现代农业产业园</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科技创新与信息化示范工程、原料生产基地建设工程、加工物流提升工程、一二三产业融合发展促进工程、品牌营销提升工程、基础设施配套工程、公共服务能力保障工程</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43000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项目实施，引进农业先进技术，形成示范，有利于发展生态农业</w:t>
            </w:r>
            <w:r>
              <w:rPr>
                <w:rFonts w:hint="eastAsia"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基础设施建设。预计规划时间内完成。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鹿寨县龙母水库山楂之恋农业核心示范区建设项目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主要旅游服务中心、科研培训中心、科普文化馆、观景台、旅游服务用房、特色民宿、特色农产品商业街、亲水平台、水上娱乐中心等服务设施及配套基础设施等</w:t>
            </w:r>
            <w:r>
              <w:rPr>
                <w:rFonts w:hint="eastAsia" w:eastAsia="仿宋_GB2312" w:cs="Times New Roman"/>
                <w:bCs/>
                <w:kern w:val="0"/>
                <w:sz w:val="24"/>
                <w:szCs w:val="24"/>
              </w:rPr>
              <w:t>，</w:t>
            </w:r>
            <w:r>
              <w:rPr>
                <w:rFonts w:eastAsia="仿宋_GB2312" w:cs="Times New Roman"/>
                <w:bCs/>
                <w:kern w:val="0"/>
                <w:sz w:val="24"/>
                <w:szCs w:val="24"/>
              </w:rPr>
              <w:t>打造大果山楂种植现代农业示范区。</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鹿寨县农业</w:t>
            </w:r>
            <w:r>
              <w:rPr>
                <w:rFonts w:hint="eastAsia" w:eastAsia="仿宋_GB2312" w:cs="Times New Roman"/>
                <w:bCs/>
                <w:kern w:val="0"/>
                <w:sz w:val="24"/>
                <w:szCs w:val="24"/>
              </w:rPr>
              <w:t>农村</w:t>
            </w:r>
            <w:r>
              <w:rPr>
                <w:rFonts w:eastAsia="仿宋_GB2312" w:cs="Times New Roman"/>
                <w:bCs/>
                <w:kern w:val="0"/>
                <w:sz w:val="24"/>
                <w:szCs w:val="24"/>
              </w:rPr>
              <w:t>局、鹿寨县政府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项目实施，引进农业先进技术，形成示范，有利于发展生态农业。</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广西融安县浪溪河谷长寿养生特色金桔产业带农业综合体项目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建设新增金桔种植面积</w:t>
            </w:r>
            <w:r>
              <w:rPr>
                <w:rStyle w:val="78"/>
                <w:rFonts w:eastAsia="仿宋_GB2312"/>
                <w:bCs/>
                <w:color w:val="auto"/>
              </w:rPr>
              <w:t>1</w:t>
            </w:r>
            <w:r>
              <w:rPr>
                <w:rStyle w:val="72"/>
                <w:rFonts w:hint="default" w:ascii="Times New Roman" w:hAnsi="Times New Roman" w:eastAsia="仿宋_GB2312" w:cs="Times New Roman"/>
                <w:bCs/>
                <w:color w:val="auto"/>
              </w:rPr>
              <w:t>万亩，规模化、集群化、集约化种植金桔，建设脆蜜金柑、滑皮金桔种植示范区，创建自治区级现代农业（核心）示范区和国家金桔绿色食品生产基地。</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26673</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融安县农业投资开发有限责任公司、融安县政府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项目实施，引进农业先进技术，形成示范，有利于发展生态农业。</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进行示范区开发建设工作。预计规划时间内完成。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融安县香杉生态产业（核心）示范区</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以建设优质高效香杉培育、香杉种植为主导产业，兼具旅游、科普、休闲度假等多功能为一体的复合型特色农业示范核心区。项目规划总用地面积</w:t>
            </w:r>
            <w:r>
              <w:rPr>
                <w:rStyle w:val="78"/>
                <w:rFonts w:eastAsia="仿宋_GB2312"/>
                <w:bCs/>
                <w:color w:val="auto"/>
              </w:rPr>
              <w:t>58087</w:t>
            </w:r>
            <w:r>
              <w:rPr>
                <w:rStyle w:val="72"/>
                <w:rFonts w:hint="default" w:ascii="Times New Roman" w:hAnsi="Times New Roman" w:eastAsia="仿宋_GB2312" w:cs="Times New Roman"/>
                <w:bCs/>
                <w:color w:val="auto"/>
              </w:rPr>
              <w:t>㎡（约</w:t>
            </w:r>
            <w:r>
              <w:rPr>
                <w:rStyle w:val="78"/>
                <w:rFonts w:eastAsia="仿宋_GB2312"/>
                <w:bCs/>
                <w:color w:val="auto"/>
              </w:rPr>
              <w:t>87.1</w:t>
            </w:r>
            <w:r>
              <w:rPr>
                <w:rStyle w:val="72"/>
                <w:rFonts w:hint="default" w:ascii="Times New Roman" w:hAnsi="Times New Roman" w:eastAsia="仿宋_GB2312" w:cs="Times New Roman"/>
                <w:bCs/>
                <w:color w:val="auto"/>
              </w:rPr>
              <w:t>亩），总建筑面积</w:t>
            </w:r>
            <w:r>
              <w:rPr>
                <w:rStyle w:val="78"/>
                <w:rFonts w:eastAsia="仿宋_GB2312"/>
                <w:bCs/>
                <w:color w:val="auto"/>
              </w:rPr>
              <w:t>13987</w:t>
            </w:r>
            <w:r>
              <w:rPr>
                <w:rStyle w:val="72"/>
                <w:rFonts w:hint="default" w:ascii="Times New Roman" w:hAnsi="Times New Roman"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15153</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融安县资产管理公司、融安县政府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项目实施，引进农业先进技术，形成示范，有利于发展生态农业。</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一期工程基本建成。预计规划时间内完成。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柳州市北部新区生态农业示范园基础设施</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项目规划总用地面积</w:t>
            </w:r>
            <w:r>
              <w:rPr>
                <w:rStyle w:val="78"/>
                <w:rFonts w:eastAsia="仿宋_GB2312"/>
                <w:bCs/>
                <w:color w:val="auto"/>
              </w:rPr>
              <w:t>503.7</w:t>
            </w:r>
            <w:r>
              <w:rPr>
                <w:rStyle w:val="72"/>
                <w:rFonts w:hint="default" w:ascii="Times New Roman" w:hAnsi="Times New Roman" w:eastAsia="仿宋_GB2312" w:cs="Times New Roman"/>
                <w:bCs/>
                <w:color w:val="auto"/>
              </w:rPr>
              <w:t>亩，配套服务设施用房面积约</w:t>
            </w:r>
            <w:r>
              <w:rPr>
                <w:rStyle w:val="78"/>
                <w:rFonts w:eastAsia="仿宋_GB2312"/>
                <w:bCs/>
                <w:color w:val="auto"/>
              </w:rPr>
              <w:t>11140</w:t>
            </w:r>
            <w:r>
              <w:rPr>
                <w:rStyle w:val="72"/>
                <w:rFonts w:hint="default" w:ascii="Times New Roman" w:hAnsi="Times New Roman" w:eastAsia="仿宋_GB2312" w:cs="Times New Roman"/>
                <w:bCs/>
                <w:color w:val="auto"/>
              </w:rPr>
              <w:t>平方米</w:t>
            </w:r>
            <w:r>
              <w:rPr>
                <w:rStyle w:val="72"/>
                <w:rFonts w:hint="default" w:eastAsia="仿宋_GB2312" w:cs="Times New Roman"/>
                <w:bCs/>
                <w:color w:val="auto"/>
              </w:rPr>
              <w:t>，</w:t>
            </w:r>
            <w:r>
              <w:rPr>
                <w:rStyle w:val="72"/>
                <w:rFonts w:hint="default" w:ascii="Times New Roman" w:hAnsi="Times New Roman" w:eastAsia="仿宋_GB2312" w:cs="Times New Roman"/>
                <w:bCs/>
                <w:color w:val="auto"/>
              </w:rPr>
              <w:t>主要建设游客服务中心、农业科技展览馆、公厕、园路及铺装、生态停车场、景观小品、公共服务设施等工程。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48100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市北城集团、市林业和园林局、北部生态新区管委会、柳北区政府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项目实施，引进农业先进技术，形成示范，有利于发展生态农业。</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基础施工。预计规划时间内完成。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6</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北部生态新区农业示范园引水灌溉工程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建设约</w:t>
            </w:r>
            <w:r>
              <w:rPr>
                <w:rStyle w:val="78"/>
                <w:rFonts w:eastAsia="仿宋_GB2312"/>
                <w:bCs/>
                <w:color w:val="auto"/>
              </w:rPr>
              <w:t>22</w:t>
            </w:r>
            <w:r>
              <w:rPr>
                <w:rStyle w:val="72"/>
                <w:rFonts w:hint="default" w:ascii="Times New Roman" w:hAnsi="Times New Roman" w:eastAsia="仿宋_GB2312" w:cs="Times New Roman"/>
                <w:bCs/>
                <w:color w:val="auto"/>
              </w:rPr>
              <w:t>公里引水渠，其中，新建</w:t>
            </w:r>
            <w:r>
              <w:rPr>
                <w:rStyle w:val="78"/>
                <w:rFonts w:eastAsia="仿宋_GB2312"/>
                <w:bCs/>
                <w:color w:val="auto"/>
              </w:rPr>
              <w:t>12</w:t>
            </w:r>
            <w:r>
              <w:rPr>
                <w:rStyle w:val="72"/>
                <w:rFonts w:hint="default" w:ascii="Times New Roman" w:hAnsi="Times New Roman" w:eastAsia="仿宋_GB2312" w:cs="Times New Roman"/>
                <w:bCs/>
                <w:color w:val="auto"/>
              </w:rPr>
              <w:t>公里引水渠、改建</w:t>
            </w:r>
            <w:r>
              <w:rPr>
                <w:rStyle w:val="78"/>
                <w:rFonts w:eastAsia="仿宋_GB2312"/>
                <w:bCs/>
                <w:color w:val="auto"/>
              </w:rPr>
              <w:t>10</w:t>
            </w:r>
            <w:r>
              <w:rPr>
                <w:rStyle w:val="72"/>
                <w:rFonts w:hint="default" w:ascii="Times New Roman" w:hAnsi="Times New Roman" w:eastAsia="仿宋_GB2312" w:cs="Times New Roman"/>
                <w:bCs/>
                <w:color w:val="auto"/>
              </w:rPr>
              <w:t>公里原有引水渠</w:t>
            </w:r>
            <w:r>
              <w:rPr>
                <w:rStyle w:val="72"/>
                <w:rFonts w:hint="default" w:eastAsia="仿宋_GB2312" w:cs="Times New Roman"/>
                <w:bCs/>
                <w:color w:val="auto"/>
              </w:rPr>
              <w:t>，</w:t>
            </w:r>
            <w:r>
              <w:rPr>
                <w:rStyle w:val="72"/>
                <w:rFonts w:hint="default" w:ascii="Times New Roman" w:hAnsi="Times New Roman" w:eastAsia="仿宋_GB2312" w:cs="Times New Roman"/>
                <w:bCs/>
                <w:color w:val="auto"/>
              </w:rPr>
              <w:t>主要建设内容：东泉河至北部生态新区湿地公园引水工程及相关附属设施</w:t>
            </w:r>
            <w:r>
              <w:rPr>
                <w:rStyle w:val="72"/>
                <w:rFonts w:hint="default"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23000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市北城集团、北部生态新区管委会、柳北区政府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项目实施，引进农业先进技术，形成示范，有利于发展生态农业。</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基础施工。预计规划时间内完成。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7</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柳州百花岭生态花卉示范区（千亩花海）</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主要建设北方温控花海大棚、南方露天四季花海、旅游基础建设和婚纱摄影基地四大板块以及其他辅助性建设。</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15400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广西柳州可莘旅游投资股份有限公司、柳东新区管委会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项目实施，引进农业先进技术，形成示范，有利于发展生态农业。</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完成坡改梯。预计规划时间内完成。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生态服务业</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柳江区荷塘月色景区游客服务中心及配套基础设施项目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建设游客服务中心、景观绿地、生态停车场、景观围墙、游泳池、景观栈道</w:t>
            </w:r>
            <w:r>
              <w:rPr>
                <w:rFonts w:hint="eastAsia" w:eastAsia="仿宋_GB2312" w:cs="Times New Roman"/>
                <w:bCs/>
                <w:kern w:val="0"/>
                <w:sz w:val="24"/>
                <w:szCs w:val="24"/>
              </w:rPr>
              <w:t>、</w:t>
            </w:r>
            <w:r>
              <w:rPr>
                <w:rFonts w:eastAsia="仿宋_GB2312" w:cs="Times New Roman"/>
                <w:bCs/>
                <w:kern w:val="0"/>
                <w:sz w:val="24"/>
                <w:szCs w:val="24"/>
              </w:rPr>
              <w:t>玻璃观景平台</w:t>
            </w:r>
            <w:r>
              <w:rPr>
                <w:rFonts w:hint="eastAsia" w:eastAsia="仿宋_GB2312" w:cs="Times New Roman"/>
                <w:bCs/>
                <w:kern w:val="0"/>
                <w:sz w:val="24"/>
                <w:szCs w:val="24"/>
              </w:rPr>
              <w:t>、</w:t>
            </w:r>
            <w:r>
              <w:rPr>
                <w:rFonts w:eastAsia="仿宋_GB2312" w:cs="Times New Roman"/>
                <w:bCs/>
                <w:kern w:val="0"/>
                <w:sz w:val="24"/>
                <w:szCs w:val="24"/>
              </w:rPr>
              <w:t>民宿</w:t>
            </w:r>
            <w:r>
              <w:rPr>
                <w:rFonts w:hint="eastAsia" w:eastAsia="仿宋_GB2312" w:cs="Times New Roman"/>
                <w:bCs/>
                <w:kern w:val="0"/>
                <w:sz w:val="24"/>
                <w:szCs w:val="24"/>
              </w:rPr>
              <w:t>、</w:t>
            </w:r>
            <w:r>
              <w:rPr>
                <w:rFonts w:eastAsia="仿宋_GB2312" w:cs="Times New Roman"/>
                <w:bCs/>
                <w:kern w:val="0"/>
                <w:sz w:val="24"/>
                <w:szCs w:val="24"/>
              </w:rPr>
              <w:t>山体登山步道、景观照明、观景水道、出入口景观门。</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柳江区鑫旺旅游投资公司、柳江区政府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发展第三产业，有利于调整三产比重，有利于发展生态旅游。</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螺蛳粉特色小镇项目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螺蛳粉特色小镇位于太阳村镇，占地面积</w:t>
            </w:r>
            <w:r>
              <w:rPr>
                <w:rStyle w:val="78"/>
                <w:rFonts w:eastAsia="仿宋_GB2312"/>
                <w:bCs/>
                <w:color w:val="auto"/>
              </w:rPr>
              <w:t>3.5</w:t>
            </w:r>
            <w:r>
              <w:rPr>
                <w:rStyle w:val="72"/>
                <w:rFonts w:hint="default" w:ascii="Times New Roman" w:hAnsi="Times New Roman" w:eastAsia="仿宋_GB2312" w:cs="Times New Roman"/>
                <w:bCs/>
                <w:color w:val="auto"/>
              </w:rPr>
              <w:t>平方公里</w:t>
            </w:r>
            <w:r>
              <w:rPr>
                <w:rStyle w:val="78"/>
                <w:rFonts w:hint="eastAsia" w:eastAsia="仿宋_GB2312"/>
                <w:bCs/>
                <w:color w:val="auto"/>
              </w:rPr>
              <w:t>，</w:t>
            </w:r>
            <w:r>
              <w:rPr>
                <w:rStyle w:val="72"/>
                <w:rFonts w:hint="default" w:ascii="Times New Roman" w:hAnsi="Times New Roman" w:eastAsia="仿宋_GB2312" w:cs="Times New Roman"/>
                <w:bCs/>
                <w:color w:val="auto"/>
              </w:rPr>
              <w:t>分为特色创意产业区</w:t>
            </w:r>
            <w:r>
              <w:rPr>
                <w:rStyle w:val="72"/>
                <w:rFonts w:hint="default" w:eastAsia="仿宋_GB2312" w:cs="Times New Roman"/>
                <w:bCs/>
                <w:color w:val="auto"/>
              </w:rPr>
              <w:t>、</w:t>
            </w:r>
            <w:r>
              <w:rPr>
                <w:rStyle w:val="72"/>
                <w:rFonts w:hint="default" w:ascii="Times New Roman" w:hAnsi="Times New Roman" w:eastAsia="仿宋_GB2312" w:cs="Times New Roman"/>
                <w:bCs/>
                <w:color w:val="auto"/>
              </w:rPr>
              <w:t>都市观光农业区和生态农业体验区。</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360000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金太阳集团、柳南区政府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发展第三产业，有利于调整三产比重，有利于发展生态旅游。</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进行子项目建设。预计规划时间内完成。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贝江苗寨特色旅游小镇</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项目总占地面积</w:t>
            </w:r>
            <w:r>
              <w:rPr>
                <w:rStyle w:val="78"/>
                <w:rFonts w:eastAsia="仿宋_GB2312"/>
                <w:bCs/>
                <w:color w:val="auto"/>
              </w:rPr>
              <w:t>336</w:t>
            </w:r>
            <w:r>
              <w:rPr>
                <w:rStyle w:val="72"/>
                <w:rFonts w:hint="default" w:ascii="Times New Roman" w:hAnsi="Times New Roman" w:eastAsia="仿宋_GB2312" w:cs="Times New Roman"/>
                <w:bCs/>
                <w:color w:val="auto"/>
              </w:rPr>
              <w:t>亩，总建筑面积</w:t>
            </w:r>
            <w:r>
              <w:rPr>
                <w:rStyle w:val="78"/>
                <w:rFonts w:eastAsia="仿宋_GB2312"/>
                <w:bCs/>
                <w:color w:val="auto"/>
              </w:rPr>
              <w:t>126998.24</w:t>
            </w:r>
            <w:r>
              <w:rPr>
                <w:rStyle w:val="72"/>
                <w:rFonts w:hint="default" w:ascii="Times New Roman" w:hAnsi="Times New Roman" w:eastAsia="仿宋_GB2312" w:cs="Times New Roman"/>
                <w:bCs/>
                <w:color w:val="auto"/>
              </w:rPr>
              <w:t>平米</w:t>
            </w:r>
            <w:r>
              <w:rPr>
                <w:rStyle w:val="72"/>
                <w:rFonts w:hint="default" w:eastAsia="仿宋_GB2312" w:cs="Times New Roman"/>
                <w:bCs/>
                <w:color w:val="auto"/>
              </w:rPr>
              <w:t>，</w:t>
            </w:r>
            <w:r>
              <w:rPr>
                <w:rStyle w:val="72"/>
                <w:rFonts w:hint="default" w:ascii="Times New Roman" w:hAnsi="Times New Roman" w:eastAsia="仿宋_GB2312" w:cs="Times New Roman"/>
                <w:bCs/>
                <w:color w:val="auto"/>
              </w:rPr>
              <w:t>主要</w:t>
            </w:r>
            <w:r>
              <w:rPr>
                <w:rStyle w:val="72"/>
                <w:rFonts w:hint="default" w:eastAsia="仿宋_GB2312" w:cs="Times New Roman"/>
                <w:bCs/>
                <w:color w:val="auto"/>
              </w:rPr>
              <w:t>是</w:t>
            </w:r>
            <w:r>
              <w:rPr>
                <w:rStyle w:val="72"/>
                <w:rFonts w:hint="default" w:ascii="Times New Roman" w:hAnsi="Times New Roman" w:eastAsia="仿宋_GB2312" w:cs="Times New Roman"/>
                <w:bCs/>
                <w:color w:val="auto"/>
              </w:rPr>
              <w:t>综合服务区、苗族商业区、百节文化区、茶山竹海养生区。</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90156.66</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融水县元笙旅游发展有限公司、融水县政府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发展第三产业，有利于调整三产比重，有利于发展生态旅游。</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w:t>
            </w:r>
            <w:r>
              <w:rPr>
                <w:rStyle w:val="78"/>
                <w:rFonts w:eastAsia="仿宋_GB2312"/>
                <w:bCs/>
                <w:color w:val="auto"/>
              </w:rPr>
              <w:t>,</w:t>
            </w:r>
            <w:r>
              <w:rPr>
                <w:rStyle w:val="72"/>
                <w:rFonts w:hint="default" w:ascii="Times New Roman" w:hAnsi="Times New Roman" w:eastAsia="仿宋_GB2312" w:cs="Times New Roman"/>
                <w:bCs/>
                <w:color w:val="auto"/>
              </w:rPr>
              <w:t>主体工程完成</w:t>
            </w:r>
            <w:r>
              <w:rPr>
                <w:rStyle w:val="78"/>
                <w:rFonts w:eastAsia="仿宋_GB2312"/>
                <w:bCs/>
                <w:color w:val="auto"/>
              </w:rPr>
              <w:t>15%</w:t>
            </w:r>
            <w:r>
              <w:rPr>
                <w:rStyle w:val="72"/>
                <w:rFonts w:hint="default" w:ascii="Times New Roman" w:hAnsi="Times New Roman" w:eastAsia="仿宋_GB2312" w:cs="Times New Roman"/>
                <w:bCs/>
                <w:color w:val="auto"/>
              </w:rPr>
              <w:t>。预计规划时间内完成。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元宝山旅游开发项目（一期）</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项目重点开发白坪、培秀村、野人谷三个点。白坪以元宝山原生态自然风光和浓郁的苗族文化为主题；培秀通过改造提升现有村寨的寨、田、河、场等景观；打造野人主题探险旅游活动秘境。</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市</w:t>
            </w:r>
            <w:r>
              <w:rPr>
                <w:rFonts w:eastAsia="仿宋_GB2312" w:cs="Times New Roman"/>
                <w:bCs/>
                <w:kern w:val="0"/>
                <w:sz w:val="24"/>
                <w:szCs w:val="24"/>
              </w:rPr>
              <w:t>文旅集团、市文化广电</w:t>
            </w:r>
            <w:r>
              <w:rPr>
                <w:rFonts w:hint="eastAsia" w:eastAsia="仿宋_GB2312" w:cs="Times New Roman"/>
                <w:bCs/>
                <w:kern w:val="0"/>
                <w:sz w:val="24"/>
                <w:szCs w:val="24"/>
              </w:rPr>
              <w:t>旅游局</w:t>
            </w:r>
            <w:r>
              <w:rPr>
                <w:rFonts w:eastAsia="仿宋_GB2312" w:cs="Times New Roman"/>
                <w:bCs/>
                <w:kern w:val="0"/>
                <w:sz w:val="24"/>
                <w:szCs w:val="24"/>
              </w:rPr>
              <w:t>、融水县政府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发展第三产业，有利于调整三产比重，有利于发展生态旅游。</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主体建设。预计规划时间内完成。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中国</w:t>
            </w:r>
            <w:r>
              <w:rPr>
                <w:rStyle w:val="78"/>
                <w:rFonts w:eastAsia="仿宋_GB2312"/>
                <w:bCs/>
                <w:color w:val="auto"/>
              </w:rPr>
              <w:t>·</w:t>
            </w:r>
            <w:r>
              <w:rPr>
                <w:rStyle w:val="72"/>
                <w:rFonts w:hint="default" w:ascii="Times New Roman" w:hAnsi="Times New Roman" w:eastAsia="仿宋_GB2312" w:cs="Times New Roman"/>
                <w:bCs/>
                <w:color w:val="auto"/>
              </w:rPr>
              <w:t>柳江百朋莲花小镇旅游项目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莲花小镇莲花村占地面积约</w:t>
            </w:r>
            <w:r>
              <w:rPr>
                <w:rStyle w:val="78"/>
                <w:rFonts w:eastAsia="仿宋_GB2312"/>
                <w:bCs/>
                <w:color w:val="auto"/>
              </w:rPr>
              <w:t>309</w:t>
            </w:r>
            <w:r>
              <w:rPr>
                <w:rStyle w:val="72"/>
                <w:rFonts w:hint="default" w:ascii="Times New Roman" w:hAnsi="Times New Roman" w:eastAsia="仿宋_GB2312" w:cs="Times New Roman"/>
                <w:bCs/>
                <w:color w:val="auto"/>
              </w:rPr>
              <w:t>亩，莲花小镇下伦荷花主题公园占地面积约</w:t>
            </w:r>
            <w:r>
              <w:rPr>
                <w:rStyle w:val="78"/>
                <w:rFonts w:eastAsia="仿宋_GB2312"/>
                <w:bCs/>
                <w:color w:val="auto"/>
              </w:rPr>
              <w:t>677</w:t>
            </w:r>
            <w:r>
              <w:rPr>
                <w:rStyle w:val="72"/>
                <w:rFonts w:hint="default" w:ascii="Times New Roman" w:hAnsi="Times New Roman" w:eastAsia="仿宋_GB2312" w:cs="Times New Roman"/>
                <w:bCs/>
                <w:color w:val="auto"/>
              </w:rPr>
              <w:t>亩，莲花小镇酒壶山休闲农耕文化旅居产业带占地面积约</w:t>
            </w:r>
            <w:r>
              <w:rPr>
                <w:rStyle w:val="78"/>
                <w:rFonts w:eastAsia="仿宋_GB2312"/>
                <w:bCs/>
                <w:color w:val="auto"/>
              </w:rPr>
              <w:t>2000</w:t>
            </w:r>
            <w:r>
              <w:rPr>
                <w:rStyle w:val="72"/>
                <w:rFonts w:hint="default" w:ascii="Times New Roman" w:hAnsi="Times New Roman" w:eastAsia="仿宋_GB2312" w:cs="Times New Roman"/>
                <w:bCs/>
                <w:color w:val="auto"/>
              </w:rPr>
              <w:t>亩。</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广西城康金荷田旅游发展有限公司、柳江区政府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发展第三产业，有利于调整三产比重，有利于发展生态旅游。</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莲花村主体工程及附属工程、下伦荷花主题公园规划及相关建设。预计规划时间内完成。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循环利用</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再生资源循环利用加工项目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主要进行再生金属资源回收拆解、再生塑料废纸分选粗加工、废旧家电、电子产品回收拆解和报废汽车拆解再制造发动机、后桥等业务。</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150000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市生态环境局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项目实施后使废旧物品回收利用，既减少污染，还产生经济效益。</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里高石材循环产业园区</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片区新开发面积200亩，建设石材循环产业园区。</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2500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2019-2022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hint="eastAsia" w:eastAsia="仿宋_GB2312" w:cs="Times New Roman"/>
                <w:bCs/>
                <w:kern w:val="0"/>
                <w:sz w:val="24"/>
                <w:szCs w:val="24"/>
              </w:rPr>
              <w:t>柳江</w:t>
            </w:r>
            <w:r>
              <w:rPr>
                <w:rFonts w:eastAsia="仿宋_GB2312" w:cs="Times New Roman"/>
                <w:bCs/>
                <w:kern w:val="0"/>
                <w:sz w:val="24"/>
                <w:szCs w:val="24"/>
              </w:rPr>
              <w:t>区工业和信息化局、市土地交易储备中心</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产业循环发展，减少排污。</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开工建设。预计规划时间内完成。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一般工业固体废物综合利用项目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企业一般工业固体废弃物综合利用建设（广西柳州钢铁</w:t>
            </w:r>
            <w:r>
              <w:rPr>
                <w:rStyle w:val="78"/>
                <w:rFonts w:eastAsia="仿宋_GB2312"/>
                <w:bCs/>
                <w:color w:val="auto"/>
              </w:rPr>
              <w:t>(</w:t>
            </w:r>
            <w:r>
              <w:rPr>
                <w:rStyle w:val="72"/>
                <w:rFonts w:hint="default" w:ascii="Times New Roman" w:hAnsi="Times New Roman" w:eastAsia="仿宋_GB2312" w:cs="Times New Roman"/>
                <w:bCs/>
                <w:color w:val="auto"/>
              </w:rPr>
              <w:t>集团</w:t>
            </w:r>
            <w:r>
              <w:rPr>
                <w:rStyle w:val="78"/>
                <w:rFonts w:eastAsia="仿宋_GB2312"/>
                <w:bCs/>
                <w:color w:val="auto"/>
              </w:rPr>
              <w:t>)</w:t>
            </w:r>
            <w:r>
              <w:rPr>
                <w:rStyle w:val="72"/>
                <w:rFonts w:hint="default" w:ascii="Times New Roman" w:hAnsi="Times New Roman" w:eastAsia="仿宋_GB2312" w:cs="Times New Roman"/>
                <w:bCs/>
                <w:color w:val="auto"/>
              </w:rPr>
              <w:t>公司新增两条</w:t>
            </w:r>
            <w:r>
              <w:rPr>
                <w:rStyle w:val="78"/>
                <w:rFonts w:eastAsia="仿宋_GB2312"/>
                <w:bCs/>
                <w:color w:val="auto"/>
              </w:rPr>
              <w:t>95</w:t>
            </w:r>
            <w:r>
              <w:rPr>
                <w:rStyle w:val="72"/>
                <w:rFonts w:hint="default" w:ascii="Times New Roman" w:hAnsi="Times New Roman" w:eastAsia="仿宋_GB2312" w:cs="Times New Roman"/>
                <w:bCs/>
                <w:color w:val="auto"/>
              </w:rPr>
              <w:t>万吨</w:t>
            </w:r>
            <w:r>
              <w:rPr>
                <w:rStyle w:val="78"/>
                <w:rFonts w:eastAsia="仿宋_GB2312"/>
                <w:bCs/>
                <w:color w:val="auto"/>
              </w:rPr>
              <w:t>/</w:t>
            </w:r>
            <w:r>
              <w:rPr>
                <w:rStyle w:val="72"/>
                <w:rFonts w:hint="default" w:ascii="Times New Roman" w:hAnsi="Times New Roman" w:eastAsia="仿宋_GB2312" w:cs="Times New Roman"/>
                <w:bCs/>
                <w:color w:val="auto"/>
              </w:rPr>
              <w:t>年矿渣粉生产线</w:t>
            </w:r>
            <w:r>
              <w:rPr>
                <w:rStyle w:val="72"/>
                <w:rFonts w:hint="default" w:eastAsia="仿宋_GB2312" w:cs="Times New Roman"/>
                <w:bCs/>
                <w:color w:val="auto"/>
              </w:rPr>
              <w:t>，</w:t>
            </w:r>
            <w:r>
              <w:rPr>
                <w:rStyle w:val="72"/>
                <w:rFonts w:hint="default" w:ascii="Times New Roman" w:hAnsi="Times New Roman" w:eastAsia="仿宋_GB2312" w:cs="Times New Roman"/>
                <w:bCs/>
                <w:color w:val="auto"/>
              </w:rPr>
              <w:t>用于综合利用柳钢在钢铁生产中产生的工业废渣、高炉矿渣和钢渣）</w:t>
            </w:r>
            <w:r>
              <w:rPr>
                <w:rStyle w:val="72"/>
                <w:rFonts w:hint="default"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28000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广西柳州钢铁</w:t>
            </w:r>
            <w:r>
              <w:rPr>
                <w:rStyle w:val="78"/>
                <w:rFonts w:eastAsia="仿宋_GB2312"/>
                <w:bCs/>
                <w:color w:val="auto"/>
              </w:rPr>
              <w:t>(</w:t>
            </w:r>
            <w:r>
              <w:rPr>
                <w:rStyle w:val="72"/>
                <w:rFonts w:hint="default" w:ascii="Times New Roman" w:hAnsi="Times New Roman" w:eastAsia="仿宋_GB2312" w:cs="Times New Roman"/>
                <w:bCs/>
                <w:color w:val="auto"/>
              </w:rPr>
              <w:t>集团</w:t>
            </w:r>
            <w:r>
              <w:rPr>
                <w:rStyle w:val="78"/>
                <w:rFonts w:eastAsia="仿宋_GB2312"/>
                <w:bCs/>
                <w:color w:val="auto"/>
              </w:rPr>
              <w:t>)</w:t>
            </w:r>
            <w:r>
              <w:rPr>
                <w:rStyle w:val="72"/>
                <w:rFonts w:hint="default" w:ascii="Times New Roman" w:hAnsi="Times New Roman" w:eastAsia="仿宋_GB2312" w:cs="Times New Roman"/>
                <w:bCs/>
                <w:color w:val="auto"/>
              </w:rPr>
              <w:t>公司</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项目实施后使工业固体废物综合利用，既减少污染，还产生经济效益。</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开工建设。预计规划时间内完成。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283" w:type="dxa"/>
            <w:gridSpan w:val="5"/>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三、生态安全体系建设工程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1751385.57</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项目数（个）</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hint="eastAsia" w:eastAsia="仿宋_GB2312" w:cs="Times New Roman"/>
                <w:bCs/>
                <w:kern w:val="0"/>
                <w:sz w:val="24"/>
                <w:szCs w:val="24"/>
              </w:rPr>
              <w:t>38</w:t>
            </w:r>
          </w:p>
        </w:tc>
        <w:tc>
          <w:tcPr>
            <w:tcW w:w="1455"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c>
          <w:tcPr>
            <w:tcW w:w="1139"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（四）环境质量改善</w:t>
            </w: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大气污染防治</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工业烟粉尘污染治理工程项目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柳钢、柳化、柳电、鱼峰水泥等重点企业烟粉尘治理设施升级改造</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柳钢、柳化、柳电、鱼峰水泥</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项目实施减少对空气环境污染。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柳钢焦炉烟气脱硫脱硝治理工程项目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分别在一焦、五焦烟囱旁建设烟气脱硫脱硝工艺净化（脱硫脱硝）装置。</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柳钢集团、市工业和信息化局、柳北区政府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项目实施减少对空气环境污染。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建设厂房及相关设备购置。预计能在规划期内完成。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挥发性有机物污染治理项目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落实重点行业挥发性有机物削减行动计划项目。广西柳州汽车城开展挥发性有机物污染防治试点，探索挥发性有机物监测、治理技术和监督管理机制</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广西柳州汽车城</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项目实施减少对空气环境污染。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鹿寨县上大压小热电联产项目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w:t>
            </w:r>
            <w:r>
              <w:rPr>
                <w:rStyle w:val="78"/>
                <w:rFonts w:eastAsia="仿宋_GB2312"/>
                <w:bCs/>
                <w:color w:val="auto"/>
              </w:rPr>
              <w:t>2</w:t>
            </w:r>
            <w:r>
              <w:rPr>
                <w:rStyle w:val="72"/>
                <w:rFonts w:hint="default" w:ascii="Times New Roman" w:hAnsi="Times New Roman" w:eastAsia="仿宋_GB2312" w:cs="Times New Roman"/>
                <w:bCs/>
                <w:color w:val="auto"/>
              </w:rPr>
              <w:t>台</w:t>
            </w:r>
            <w:r>
              <w:rPr>
                <w:rStyle w:val="78"/>
                <w:rFonts w:eastAsia="仿宋_GB2312"/>
                <w:bCs/>
                <w:color w:val="auto"/>
              </w:rPr>
              <w:t>30</w:t>
            </w:r>
            <w:r>
              <w:rPr>
                <w:rStyle w:val="72"/>
                <w:rFonts w:hint="default" w:ascii="Times New Roman" w:hAnsi="Times New Roman" w:eastAsia="仿宋_GB2312" w:cs="Times New Roman"/>
                <w:bCs/>
                <w:color w:val="auto"/>
              </w:rPr>
              <w:t>万千瓦超临界热电联产燃煤热电机组及供热管网，实现鹿寨县经济开发区集中供热，淘汰燃煤锅炉</w:t>
            </w:r>
            <w:r>
              <w:rPr>
                <w:rStyle w:val="72"/>
                <w:rFonts w:hint="default"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鹿寨县经济开发区</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项目实施有利于优化能源结构</w:t>
            </w:r>
            <w:r>
              <w:rPr>
                <w:rFonts w:eastAsia="仿宋_GB2312" w:cs="Times New Roman"/>
                <w:bCs/>
                <w:kern w:val="0"/>
                <w:sz w:val="24"/>
                <w:szCs w:val="24"/>
              </w:rPr>
              <w:t>，提高清洁能源比重，并减少对环境污染。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水污染防治</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广西柳州市水环境治理项目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新增污水处理能力</w:t>
            </w:r>
            <w:r>
              <w:rPr>
                <w:rStyle w:val="78"/>
                <w:rFonts w:eastAsia="仿宋_GB2312"/>
                <w:bCs/>
                <w:color w:val="auto"/>
              </w:rPr>
              <w:t>6.5</w:t>
            </w:r>
            <w:r>
              <w:rPr>
                <w:rStyle w:val="72"/>
                <w:rFonts w:hint="default" w:ascii="Times New Roman" w:hAnsi="Times New Roman" w:eastAsia="仿宋_GB2312" w:cs="Times New Roman"/>
                <w:bCs/>
                <w:color w:val="auto"/>
              </w:rPr>
              <w:t>万立方米</w:t>
            </w:r>
            <w:r>
              <w:rPr>
                <w:rStyle w:val="78"/>
                <w:rFonts w:eastAsia="仿宋_GB2312"/>
                <w:bCs/>
                <w:color w:val="auto"/>
              </w:rPr>
              <w:t>/</w:t>
            </w:r>
            <w:r>
              <w:rPr>
                <w:rStyle w:val="72"/>
                <w:rFonts w:hint="default" w:ascii="Times New Roman" w:hAnsi="Times New Roman" w:eastAsia="仿宋_GB2312" w:cs="Times New Roman"/>
                <w:bCs/>
                <w:color w:val="auto"/>
              </w:rPr>
              <w:t>日，提标改造规模</w:t>
            </w:r>
            <w:r>
              <w:rPr>
                <w:rStyle w:val="78"/>
                <w:rFonts w:eastAsia="仿宋_GB2312"/>
                <w:bCs/>
                <w:color w:val="auto"/>
              </w:rPr>
              <w:t>70.5</w:t>
            </w:r>
            <w:r>
              <w:rPr>
                <w:rStyle w:val="72"/>
                <w:rFonts w:hint="default" w:ascii="Times New Roman" w:hAnsi="Times New Roman" w:eastAsia="仿宋_GB2312" w:cs="Times New Roman"/>
                <w:bCs/>
                <w:color w:val="auto"/>
              </w:rPr>
              <w:t>万立方米</w:t>
            </w:r>
            <w:r>
              <w:rPr>
                <w:rStyle w:val="78"/>
                <w:rFonts w:eastAsia="仿宋_GB2312"/>
                <w:bCs/>
                <w:color w:val="auto"/>
              </w:rPr>
              <w:t>/</w:t>
            </w:r>
            <w:r>
              <w:rPr>
                <w:rStyle w:val="72"/>
                <w:rFonts w:hint="default" w:ascii="Times New Roman" w:hAnsi="Times New Roman" w:eastAsia="仿宋_GB2312" w:cs="Times New Roman"/>
                <w:bCs/>
                <w:color w:val="auto"/>
              </w:rPr>
              <w:t>日；新增污泥处置能力</w:t>
            </w:r>
            <w:r>
              <w:rPr>
                <w:rStyle w:val="78"/>
                <w:rFonts w:eastAsia="仿宋_GB2312"/>
                <w:bCs/>
                <w:color w:val="auto"/>
              </w:rPr>
              <w:t>300</w:t>
            </w:r>
            <w:r>
              <w:rPr>
                <w:rStyle w:val="72"/>
                <w:rFonts w:hint="default" w:ascii="Times New Roman" w:hAnsi="Times New Roman" w:eastAsia="仿宋_GB2312" w:cs="Times New Roman"/>
                <w:bCs/>
                <w:color w:val="auto"/>
              </w:rPr>
              <w:t>立方米</w:t>
            </w:r>
            <w:r>
              <w:rPr>
                <w:rStyle w:val="78"/>
                <w:rFonts w:eastAsia="仿宋_GB2312"/>
                <w:bCs/>
                <w:color w:val="auto"/>
              </w:rPr>
              <w:t>/</w:t>
            </w:r>
            <w:r>
              <w:rPr>
                <w:rStyle w:val="72"/>
                <w:rFonts w:hint="default" w:ascii="Times New Roman" w:hAnsi="Times New Roman" w:eastAsia="仿宋_GB2312" w:cs="Times New Roman"/>
                <w:bCs/>
                <w:color w:val="auto"/>
              </w:rPr>
              <w:t>日；新建污水管网</w:t>
            </w:r>
            <w:r>
              <w:rPr>
                <w:rStyle w:val="78"/>
                <w:rFonts w:eastAsia="仿宋_GB2312"/>
                <w:bCs/>
                <w:color w:val="auto"/>
              </w:rPr>
              <w:t>3</w:t>
            </w:r>
            <w:r>
              <w:rPr>
                <w:rStyle w:val="72"/>
                <w:rFonts w:hint="default" w:ascii="Times New Roman" w:hAnsi="Times New Roman" w:eastAsia="仿宋_GB2312" w:cs="Times New Roman"/>
                <w:bCs/>
                <w:color w:val="auto"/>
              </w:rPr>
              <w:t>公里，污水提升泵站</w:t>
            </w:r>
            <w:r>
              <w:rPr>
                <w:rStyle w:val="78"/>
                <w:rFonts w:eastAsia="仿宋_GB2312"/>
                <w:bCs/>
                <w:color w:val="auto"/>
              </w:rPr>
              <w:t>1</w:t>
            </w:r>
            <w:r>
              <w:rPr>
                <w:rStyle w:val="72"/>
                <w:rFonts w:hint="default" w:ascii="Times New Roman" w:hAnsi="Times New Roman" w:eastAsia="仿宋_GB2312" w:cs="Times New Roman"/>
                <w:bCs/>
                <w:color w:val="auto"/>
              </w:rPr>
              <w:t>座。</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89268</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市水务集团、市住房城乡建设局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项目实施减少水污染物排放量，减少对水环境污染。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工业园区污水处理建设项目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完成新兴二期（一期）、柳城县工业园区沙铺片区、柳城县工业区六塘片区、融水县工业区康田片区、广西荣凯华源鹿寨表面处理项目污水处理厂一期工程（鹿寨县江口工业园）</w:t>
            </w:r>
            <w:r>
              <w:rPr>
                <w:rStyle w:val="78"/>
                <w:rFonts w:eastAsia="仿宋_GB2312"/>
                <w:bCs/>
                <w:color w:val="auto"/>
              </w:rPr>
              <w:t>5</w:t>
            </w:r>
            <w:r>
              <w:rPr>
                <w:rStyle w:val="72"/>
                <w:rFonts w:hint="default" w:ascii="Times New Roman" w:hAnsi="Times New Roman" w:eastAsia="仿宋_GB2312" w:cs="Times New Roman"/>
                <w:bCs/>
                <w:color w:val="auto"/>
              </w:rPr>
              <w:t>个工业园区污水处理厂建设</w:t>
            </w:r>
            <w:r>
              <w:rPr>
                <w:rStyle w:val="72"/>
                <w:rFonts w:hint="default"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34000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新兴工业园区、柳城县工业园区、融水县工业区、鹿寨县江口工业园</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项目实施减少水污染物排放量，减少对水环境污染。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县级污水处理厂扩建、市级污水处理厂改扩建项目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白沙污水处理厂二期、龙泉山污水处理厂三期及各县县城污水处理厂建设，白沙污水处理厂、龙泉山污水处理厂、阳和污水处理厂、拉堡污水处理厂、沙塘污水处理厂一级</w:t>
            </w:r>
            <w:r>
              <w:rPr>
                <w:rStyle w:val="78"/>
                <w:rFonts w:eastAsia="仿宋_GB2312"/>
                <w:bCs/>
                <w:color w:val="auto"/>
              </w:rPr>
              <w:t>A</w:t>
            </w:r>
            <w:r>
              <w:rPr>
                <w:rStyle w:val="72"/>
                <w:rFonts w:hint="default" w:ascii="Times New Roman" w:hAnsi="Times New Roman" w:eastAsia="仿宋_GB2312" w:cs="Times New Roman"/>
                <w:bCs/>
                <w:color w:val="auto"/>
              </w:rPr>
              <w:t>提标改造</w:t>
            </w:r>
            <w:r>
              <w:rPr>
                <w:rStyle w:val="72"/>
                <w:rFonts w:hint="default"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市住房城乡建设局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项目实施减少水污染物排放量，减少对水环境污染。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柳州市柳东新区官塘片区污水处理工程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敷设污水管网约</w:t>
            </w:r>
            <w:r>
              <w:rPr>
                <w:rStyle w:val="78"/>
                <w:rFonts w:eastAsia="仿宋_GB2312"/>
                <w:bCs/>
                <w:color w:val="auto"/>
              </w:rPr>
              <w:t>5</w:t>
            </w:r>
            <w:r>
              <w:rPr>
                <w:rStyle w:val="72"/>
                <w:rFonts w:hint="default" w:ascii="Times New Roman" w:hAnsi="Times New Roman" w:eastAsia="仿宋_GB2312" w:cs="Times New Roman"/>
                <w:bCs/>
                <w:color w:val="auto"/>
              </w:rPr>
              <w:t>公里，包括洛埠镇污水处理工程、雒容镇污水处理工程、中欧产业园污水处理工程。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24530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2017-2020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市水务集团、市住房城乡建设局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项目实施减少水污染物排放量，减少对水环境污染。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乡镇污水处理厂建设项目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w:t>
            </w:r>
            <w:r>
              <w:rPr>
                <w:rStyle w:val="78"/>
                <w:rFonts w:eastAsia="仿宋_GB2312"/>
                <w:bCs/>
                <w:color w:val="auto"/>
              </w:rPr>
              <w:t>35</w:t>
            </w:r>
            <w:r>
              <w:rPr>
                <w:rStyle w:val="72"/>
                <w:rFonts w:hint="default" w:ascii="Times New Roman" w:hAnsi="Times New Roman" w:eastAsia="仿宋_GB2312" w:cs="Times New Roman"/>
                <w:bCs/>
                <w:color w:val="auto"/>
              </w:rPr>
              <w:t>个建制镇污水处理设施</w:t>
            </w:r>
            <w:r>
              <w:rPr>
                <w:rStyle w:val="72"/>
                <w:rFonts w:hint="default"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45500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市住房城乡建设局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项目实施减少水污染物排放量，减少对水环境污染。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6</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蔗渣浆无元素氯漂白及碱回收系统扩能技改工程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二氧化氯制备系统、制氧站、氧脱木素段，二氧化氯漂白系统及相应的土建工程；蒸发系统七体五效蒸发站，新增</w:t>
            </w:r>
            <w:r>
              <w:rPr>
                <w:rStyle w:val="78"/>
                <w:rFonts w:eastAsia="仿宋_GB2312"/>
                <w:bCs/>
                <w:color w:val="auto"/>
              </w:rPr>
              <w:t>180t</w:t>
            </w:r>
            <w:r>
              <w:rPr>
                <w:rStyle w:val="72"/>
                <w:rFonts w:hint="default" w:ascii="Times New Roman" w:hAnsi="Times New Roman" w:eastAsia="仿宋_GB2312" w:cs="Times New Roman"/>
                <w:bCs/>
                <w:color w:val="auto"/>
              </w:rPr>
              <w:t>碱回收炉，苛化新增压力过滤器、预挂式过滤机等及相应土建工程。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11361</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广西凤糖鹿寨纸业有限公司、鹿寨县政府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项目实施减少水污染物排放量，减少对水环境污染。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建设厂房及相关设备购置。</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7</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洛清江环境综合整治项目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开展洛清江流域排污清查整顿、工业企业减排减污、农业面源污染治理、城乡环境全面洁化</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75000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鹿寨县人民政府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项目实施减少水污染物排放量，减少对水环境污染。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8</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北部生态新区古木河河道整治及生态环境治理工程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整治古木河河道约</w:t>
            </w:r>
            <w:r>
              <w:rPr>
                <w:rStyle w:val="78"/>
                <w:rFonts w:eastAsia="仿宋_GB2312"/>
                <w:bCs/>
                <w:color w:val="auto"/>
              </w:rPr>
              <w:t>14</w:t>
            </w:r>
            <w:r>
              <w:rPr>
                <w:rStyle w:val="72"/>
                <w:rFonts w:hint="default" w:ascii="Times New Roman" w:hAnsi="Times New Roman" w:eastAsia="仿宋_GB2312" w:cs="Times New Roman"/>
                <w:bCs/>
                <w:color w:val="auto"/>
              </w:rPr>
              <w:t>公里，项目治理河段上游起始于龙卜主坝，止于下游钟家坝。</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22000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市北城集团、北部生态新区管委会、柳北区政府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项目实施减少水污染物排放量，减少对水环境污染。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9</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柳江区三千河百朋镇百朋村河段整治工程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三千河城区外百朋镇百朋河段河道清淤、疏浚、清障、堤防建设等，治理河长6.7公里。</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2180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柳江区水利局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河道清淤、疏浚，减少底泥释出水污染物，减少对水环境的污染。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10</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柳江区三千河进德镇乐山至白山村河段整治工程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三千河进德镇乐山至白山村河段河道清淤、疏浚、清障、堤防建设等，治理河长6.0公里。</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2756</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柳江区水利局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河道清淤、疏浚，减少底泥释出水污染物，减少对水环境的污染。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柳江区三千河百朋镇分龙及教坡村河段整治工程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三千河城区外百朋镇分龙及教坡村河段河道清淤、疏浚、清障、堤防建设等，治理河长3.8公里。</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1014</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柳江区水利局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河道清淤、疏浚，减少底泥释出水污染物，减少对水环境的污染。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柳江区大渡河思荣河段整治工程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河道清淤、疏浚、清障、堤防建设等，治理河长5.7公里。</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1200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柳江区水利局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河道清淤、疏浚，减少底泥释出水污染物，减少对水环境的污染。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柳江区大渡河雄良河段整治工程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河道清淤、疏浚、清障、堤防建设等，治理河长4.5公里。</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1524</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柳江区水利局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河道清淤、疏浚，减少底泥释出水污染物，减少对水环境的污染。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北部生态新区沙塘河河道整治及生态环境治理工程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整治沙塘河河道约</w:t>
            </w:r>
            <w:r>
              <w:rPr>
                <w:rStyle w:val="80"/>
                <w:rFonts w:eastAsia="仿宋_GB2312"/>
                <w:bCs/>
                <w:color w:val="auto"/>
              </w:rPr>
              <w:t>24</w:t>
            </w:r>
            <w:r>
              <w:rPr>
                <w:rStyle w:val="69"/>
                <w:rFonts w:hint="default" w:ascii="Times New Roman" w:hAnsi="Times New Roman" w:eastAsia="仿宋_GB2312" w:cs="Times New Roman"/>
                <w:bCs/>
                <w:color w:val="auto"/>
              </w:rPr>
              <w:t>公里，其中沙塘河干流始于沙塘镇满黑屯，下游止于沙塘河与柳江汇合口，长约</w:t>
            </w:r>
            <w:r>
              <w:rPr>
                <w:rStyle w:val="80"/>
                <w:rFonts w:eastAsia="仿宋_GB2312"/>
                <w:bCs/>
                <w:color w:val="auto"/>
              </w:rPr>
              <w:t>15</w:t>
            </w:r>
            <w:r>
              <w:rPr>
                <w:rStyle w:val="69"/>
                <w:rFonts w:hint="default" w:ascii="Times New Roman" w:hAnsi="Times New Roman" w:eastAsia="仿宋_GB2312" w:cs="Times New Roman"/>
                <w:bCs/>
                <w:color w:val="auto"/>
              </w:rPr>
              <w:t>公里；沙塘河支流长约</w:t>
            </w:r>
            <w:r>
              <w:rPr>
                <w:rStyle w:val="80"/>
                <w:rFonts w:eastAsia="仿宋_GB2312"/>
                <w:bCs/>
                <w:color w:val="auto"/>
              </w:rPr>
              <w:t>9</w:t>
            </w:r>
            <w:r>
              <w:rPr>
                <w:rStyle w:val="69"/>
                <w:rFonts w:hint="default" w:ascii="Times New Roman" w:hAnsi="Times New Roman" w:eastAsia="仿宋_GB2312" w:cs="Times New Roman"/>
                <w:bCs/>
                <w:color w:val="auto"/>
              </w:rPr>
              <w:t>公里。</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13000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市北城集团、北部生态新区管委会、柳北区政府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项目实施减少水污染物排放量，减少对水环境污染。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土壤污染防治</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土壤环境状况调查评估项目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开展土壤环境基础调查，对拟收回土地使用权的有色金属冶炼、石油加工、化工、焦化、电镀、制革等行业企业用地，以及用途拟变更为居住和商业、学校、医疗、养老机构等公共设施的上述企业用地开展土壤环境状况调查评估</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市生态环境局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项目实施后，了解土壤环境状况，有利开展土地分类利用和对土壤环境环境污染综合治理。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污染土壤修复治理工程项目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对搬迁、关停的化工等重污染企业开展土壤污染调查、风险评估、治理与修复。其中柳州化工股份有限公司搬迁土壤及地下水环境调查及修复试点项目：拟对原有场地开展土壤及地下水环境调查及风险评估，对受污染的土壤开展环境治理及修复的试点工作</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市生态环境局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项目实施后，有利开展土地分类利用和对土壤环境环境污染综合治理，恢复土地的原有利用功能。</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生活垃圾无害化处置</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柳州市欧阳岭生活垃圾转运站工程项目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建设规模：近期转运生活垃圾</w:t>
            </w:r>
            <w:r>
              <w:rPr>
                <w:rStyle w:val="80"/>
                <w:rFonts w:eastAsia="仿宋_GB2312"/>
                <w:bCs/>
                <w:color w:val="auto"/>
              </w:rPr>
              <w:t>600</w:t>
            </w:r>
            <w:r>
              <w:rPr>
                <w:rStyle w:val="72"/>
                <w:rFonts w:hint="default" w:ascii="Times New Roman" w:hAnsi="Times New Roman" w:eastAsia="仿宋_GB2312" w:cs="Times New Roman"/>
                <w:bCs/>
                <w:color w:val="auto"/>
              </w:rPr>
              <w:t>吨</w:t>
            </w:r>
            <w:r>
              <w:rPr>
                <w:rStyle w:val="80"/>
                <w:rFonts w:eastAsia="仿宋_GB2312"/>
                <w:bCs/>
                <w:color w:val="auto"/>
              </w:rPr>
              <w:t>/</w:t>
            </w:r>
            <w:r>
              <w:rPr>
                <w:rStyle w:val="72"/>
                <w:rFonts w:hint="default" w:ascii="Times New Roman" w:hAnsi="Times New Roman" w:eastAsia="仿宋_GB2312" w:cs="Times New Roman"/>
                <w:bCs/>
                <w:color w:val="auto"/>
              </w:rPr>
              <w:t>日，远期</w:t>
            </w:r>
            <w:r>
              <w:rPr>
                <w:rStyle w:val="80"/>
                <w:rFonts w:eastAsia="仿宋_GB2312"/>
                <w:bCs/>
                <w:color w:val="auto"/>
              </w:rPr>
              <w:t>900</w:t>
            </w:r>
            <w:r>
              <w:rPr>
                <w:rStyle w:val="72"/>
                <w:rFonts w:hint="default" w:ascii="Times New Roman" w:hAnsi="Times New Roman" w:eastAsia="仿宋_GB2312" w:cs="Times New Roman"/>
                <w:bCs/>
                <w:color w:val="auto"/>
              </w:rPr>
              <w:t>吨</w:t>
            </w:r>
            <w:r>
              <w:rPr>
                <w:rStyle w:val="80"/>
                <w:rFonts w:eastAsia="仿宋_GB2312"/>
                <w:bCs/>
                <w:color w:val="auto"/>
              </w:rPr>
              <w:t>/</w:t>
            </w:r>
            <w:r>
              <w:rPr>
                <w:rStyle w:val="72"/>
                <w:rFonts w:hint="default" w:ascii="Times New Roman" w:hAnsi="Times New Roman" w:eastAsia="仿宋_GB2312" w:cs="Times New Roman"/>
                <w:bCs/>
                <w:color w:val="auto"/>
              </w:rPr>
              <w:t>日。主要建设内容包括转运站主体工程设施、配套工程设施、生产管理和生活服务设施以及车辆、设备等。</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7402</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市环卫处、市城管执法局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项目实施，使垃圾无害化处理，减少对环境污染。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完成转运站工程主体结构建设及主要设备采购、生产。</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柳州市南环路生活垃圾转运站工程项目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建设规模：近期转运生活垃圾</w:t>
            </w:r>
            <w:r>
              <w:rPr>
                <w:rStyle w:val="80"/>
                <w:rFonts w:eastAsia="仿宋_GB2312"/>
                <w:bCs/>
                <w:color w:val="auto"/>
              </w:rPr>
              <w:t>1200</w:t>
            </w:r>
            <w:r>
              <w:rPr>
                <w:rStyle w:val="72"/>
                <w:rFonts w:hint="default" w:ascii="Times New Roman" w:hAnsi="Times New Roman" w:eastAsia="仿宋_GB2312" w:cs="Times New Roman"/>
                <w:bCs/>
                <w:color w:val="auto"/>
              </w:rPr>
              <w:t>吨</w:t>
            </w:r>
            <w:r>
              <w:rPr>
                <w:rStyle w:val="80"/>
                <w:rFonts w:eastAsia="仿宋_GB2312"/>
                <w:bCs/>
                <w:color w:val="auto"/>
              </w:rPr>
              <w:t>/</w:t>
            </w:r>
            <w:r>
              <w:rPr>
                <w:rStyle w:val="72"/>
                <w:rFonts w:hint="default" w:ascii="Times New Roman" w:hAnsi="Times New Roman" w:eastAsia="仿宋_GB2312" w:cs="Times New Roman"/>
                <w:bCs/>
                <w:color w:val="auto"/>
              </w:rPr>
              <w:t>日，远期</w:t>
            </w:r>
            <w:r>
              <w:rPr>
                <w:rStyle w:val="80"/>
                <w:rFonts w:eastAsia="仿宋_GB2312"/>
                <w:bCs/>
                <w:color w:val="auto"/>
              </w:rPr>
              <w:t>1500</w:t>
            </w:r>
            <w:r>
              <w:rPr>
                <w:rStyle w:val="72"/>
                <w:rFonts w:hint="default" w:ascii="Times New Roman" w:hAnsi="Times New Roman" w:eastAsia="仿宋_GB2312" w:cs="Times New Roman"/>
                <w:bCs/>
                <w:color w:val="auto"/>
              </w:rPr>
              <w:t>吨</w:t>
            </w:r>
            <w:r>
              <w:rPr>
                <w:rStyle w:val="80"/>
                <w:rFonts w:eastAsia="仿宋_GB2312"/>
                <w:bCs/>
                <w:color w:val="auto"/>
              </w:rPr>
              <w:t>/</w:t>
            </w:r>
            <w:r>
              <w:rPr>
                <w:rStyle w:val="72"/>
                <w:rFonts w:hint="default" w:ascii="Times New Roman" w:hAnsi="Times New Roman" w:eastAsia="仿宋_GB2312" w:cs="Times New Roman"/>
                <w:bCs/>
                <w:color w:val="auto"/>
              </w:rPr>
              <w:t>日。主要建设内容包括转运站主体工程设施、配套工程设施、生产管理和生活服务设施以及车辆、设备等。</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8408</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市环卫处、市城管执法局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项目实施，使垃圾无害化处理，减少对环境污染。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开展转运站工程主体结构建设及完成主要设备采购、生产。</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柳州市立冲沟生活垃圾无害化处理二期工程项目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建设生活垃圾应急填埋场、飞灰填埋场及渗滤液处理厂各一座，建设危险废物处置中心及配套危废填埋场一座。应急填埋场日填埋生活垃圾</w:t>
            </w:r>
            <w:r>
              <w:rPr>
                <w:rStyle w:val="78"/>
                <w:rFonts w:eastAsia="仿宋_GB2312"/>
                <w:bCs/>
                <w:color w:val="auto"/>
              </w:rPr>
              <w:t>2250</w:t>
            </w:r>
            <w:r>
              <w:rPr>
                <w:rStyle w:val="72"/>
                <w:rFonts w:hint="default" w:ascii="Times New Roman" w:hAnsi="Times New Roman" w:eastAsia="仿宋_GB2312" w:cs="Times New Roman"/>
                <w:bCs/>
                <w:color w:val="auto"/>
              </w:rPr>
              <w:t>吨，可填埋</w:t>
            </w:r>
            <w:r>
              <w:rPr>
                <w:rStyle w:val="78"/>
                <w:rFonts w:eastAsia="仿宋_GB2312"/>
                <w:bCs/>
                <w:color w:val="auto"/>
              </w:rPr>
              <w:t>70</w:t>
            </w:r>
            <w:r>
              <w:rPr>
                <w:rStyle w:val="72"/>
                <w:rFonts w:hint="default" w:ascii="Times New Roman" w:hAnsi="Times New Roman" w:eastAsia="仿宋_GB2312" w:cs="Times New Roman"/>
                <w:bCs/>
                <w:color w:val="auto"/>
              </w:rPr>
              <w:t>日生活垃圾作为缓冲；日填埋稳定化飞灰</w:t>
            </w:r>
            <w:r>
              <w:rPr>
                <w:rStyle w:val="78"/>
                <w:rFonts w:eastAsia="仿宋_GB2312"/>
                <w:bCs/>
                <w:color w:val="auto"/>
              </w:rPr>
              <w:t>167</w:t>
            </w:r>
            <w:r>
              <w:rPr>
                <w:rStyle w:val="72"/>
                <w:rFonts w:hint="default" w:ascii="Times New Roman" w:hAnsi="Times New Roman" w:eastAsia="仿宋_GB2312" w:cs="Times New Roman"/>
                <w:bCs/>
                <w:color w:val="auto"/>
              </w:rPr>
              <w:t>吨；日处理渗滤液</w:t>
            </w:r>
            <w:r>
              <w:rPr>
                <w:rStyle w:val="78"/>
                <w:rFonts w:eastAsia="仿宋_GB2312"/>
                <w:bCs/>
                <w:color w:val="auto"/>
              </w:rPr>
              <w:t>1300</w:t>
            </w:r>
            <w:r>
              <w:rPr>
                <w:rStyle w:val="72"/>
                <w:rFonts w:hint="default" w:ascii="Times New Roman" w:hAnsi="Times New Roman" w:eastAsia="仿宋_GB2312" w:cs="Times New Roman"/>
                <w:bCs/>
                <w:color w:val="auto"/>
              </w:rPr>
              <w:t>吨；日处理危险废物</w:t>
            </w:r>
            <w:r>
              <w:rPr>
                <w:rStyle w:val="78"/>
                <w:rFonts w:eastAsia="仿宋_GB2312"/>
                <w:bCs/>
                <w:color w:val="auto"/>
              </w:rPr>
              <w:t>200</w:t>
            </w:r>
            <w:r>
              <w:rPr>
                <w:rStyle w:val="72"/>
                <w:rFonts w:hint="default" w:ascii="Times New Roman" w:hAnsi="Times New Roman" w:eastAsia="仿宋_GB2312" w:cs="Times New Roman"/>
                <w:bCs/>
                <w:color w:val="auto"/>
              </w:rPr>
              <w:t>吨（含病死动物无害化处理）。</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56400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市水务集团、市城管执法局、市农业农村局、市生态环境局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项目实施，使垃圾无害化处理，减少对环境污染。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荣途环保（融水）城乡生活垃圾资源化处理</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项目总占地面积</w:t>
            </w:r>
            <w:r>
              <w:rPr>
                <w:rStyle w:val="78"/>
                <w:rFonts w:eastAsia="仿宋_GB2312"/>
                <w:bCs/>
                <w:color w:val="auto"/>
              </w:rPr>
              <w:t>80.3</w:t>
            </w:r>
            <w:r>
              <w:rPr>
                <w:rStyle w:val="72"/>
                <w:rFonts w:hint="default" w:ascii="Times New Roman" w:hAnsi="Times New Roman" w:eastAsia="仿宋_GB2312" w:cs="Times New Roman"/>
                <w:bCs/>
                <w:color w:val="auto"/>
              </w:rPr>
              <w:t>亩。新建一座联合厂房、制肥车间、污水处理区、仓库、科研中心、员工宿舍、综合办公楼、农肥实验展示区等。</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10520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融水荣途环保科技有限公司、融水县政府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项目实施后使生活垃圾资源化回收利用，既减少污染，还产生经济效益。</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柳州市餐厨垃圾资源化利用和无害化处理工程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拟建设餐厨垃圾处理厂及配套收运系统，餐厨垃圾处理厂日处理餐厨垃圾规模为</w:t>
            </w:r>
            <w:r>
              <w:rPr>
                <w:rStyle w:val="78"/>
                <w:rFonts w:eastAsia="仿宋_GB2312"/>
                <w:bCs/>
                <w:color w:val="auto"/>
              </w:rPr>
              <w:t>200t/d</w:t>
            </w:r>
            <w:r>
              <w:rPr>
                <w:rStyle w:val="72"/>
                <w:rFonts w:hint="default" w:ascii="Times New Roman" w:hAnsi="Times New Roman" w:eastAsia="仿宋_GB2312" w:cs="Times New Roman"/>
                <w:bCs/>
                <w:color w:val="auto"/>
              </w:rPr>
              <w:t>，餐厨废弃油脂</w:t>
            </w:r>
            <w:r>
              <w:rPr>
                <w:rStyle w:val="78"/>
                <w:rFonts w:eastAsia="仿宋_GB2312"/>
                <w:bCs/>
                <w:color w:val="auto"/>
              </w:rPr>
              <w:t>20t/d</w:t>
            </w:r>
            <w:r>
              <w:rPr>
                <w:rStyle w:val="72"/>
                <w:rFonts w:hint="default" w:ascii="Times New Roman" w:hAnsi="Times New Roman" w:eastAsia="仿宋_GB2312" w:cs="Times New Roman"/>
                <w:bCs/>
                <w:color w:val="auto"/>
              </w:rPr>
              <w:t>。餐厨垃圾处理主要工艺为：预处理</w:t>
            </w:r>
            <w:r>
              <w:rPr>
                <w:rStyle w:val="78"/>
                <w:rFonts w:eastAsia="仿宋_GB2312"/>
                <w:bCs/>
                <w:color w:val="auto"/>
              </w:rPr>
              <w:t>+</w:t>
            </w:r>
            <w:r>
              <w:rPr>
                <w:rStyle w:val="72"/>
                <w:rFonts w:hint="default" w:ascii="Times New Roman" w:hAnsi="Times New Roman" w:eastAsia="仿宋_GB2312" w:cs="Times New Roman"/>
                <w:bCs/>
                <w:color w:val="auto"/>
              </w:rPr>
              <w:t>厌氧发酵</w:t>
            </w:r>
            <w:r>
              <w:rPr>
                <w:rStyle w:val="78"/>
                <w:rFonts w:eastAsia="仿宋_GB2312"/>
                <w:bCs/>
                <w:color w:val="auto"/>
              </w:rPr>
              <w:t>+</w:t>
            </w:r>
            <w:r>
              <w:rPr>
                <w:rStyle w:val="72"/>
                <w:rFonts w:hint="default" w:ascii="Times New Roman" w:hAnsi="Times New Roman" w:eastAsia="仿宋_GB2312" w:cs="Times New Roman"/>
                <w:bCs/>
                <w:color w:val="auto"/>
              </w:rPr>
              <w:t>沼气发电。</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13847</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市水务集团、市城管执法局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项目实施，使垃圾无害化处理，减少对环境污染。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6</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柳州市生活垃圾焚烧处理工程项目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日处理生活垃圾3000吨，建设4×750吨/日焚烧线，其中一期工程安装3条线，日处理规模2250吨，预留二期1条750吨/日焚烧线安装用地。</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110164</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市水务集团、市城管执法局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项目实施，使垃圾无害化处理，减少对环境污染。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项目正在建设，预计能在规划期内完成。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7</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柳江区村级垃圾转运站</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土博镇五合村、土博镇西朗村、土博镇北隆村、土博镇中村、穿山镇龙凤村、穿山镇六庙村、穿山镇木团村、百朋镇龙泉村、百朋镇白诺村、三都镇三加村、三都镇旁赖屯、三都镇板江、里高镇木吉、里高镇保仁、成团镇龙山、进德镇乐山、进德镇泗浪村村级垃圾转动站。</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1600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柳江区住房和城乡建设局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项目实施，使垃圾无害化处理，减少对环境污染。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项目正在建设，预计能在规划期内完成。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（五）生态系统保护</w:t>
            </w:r>
          </w:p>
        </w:tc>
        <w:tc>
          <w:tcPr>
            <w:tcW w:w="50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sz w:val="24"/>
                <w:szCs w:val="24"/>
              </w:rPr>
              <w:t>森林公园</w:t>
            </w:r>
            <w:r>
              <w:rPr>
                <w:rFonts w:eastAsia="仿宋_GB2312" w:cs="Times New Roman"/>
                <w:bCs/>
                <w:kern w:val="0"/>
                <w:sz w:val="24"/>
                <w:szCs w:val="24"/>
              </w:rPr>
              <w:t>建设</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广西红茶沟国家森林公园生态运动休闲养生旅游开发项目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依托广西红茶沟国家森林公园，规划建设休闲养生度假区</w:t>
            </w:r>
            <w:r>
              <w:rPr>
                <w:rStyle w:val="78"/>
                <w:rFonts w:eastAsia="仿宋_GB2312"/>
                <w:bCs/>
                <w:color w:val="auto"/>
              </w:rPr>
              <w:t>200</w:t>
            </w:r>
            <w:r>
              <w:rPr>
                <w:rStyle w:val="72"/>
                <w:rFonts w:hint="default" w:ascii="Times New Roman" w:hAnsi="Times New Roman" w:eastAsia="仿宋_GB2312" w:cs="Times New Roman"/>
                <w:bCs/>
                <w:color w:val="auto"/>
              </w:rPr>
              <w:t>亩，分八个区，重点发展森林观光和溪谷观光产品，形成集山水、森林观光、生态休闲养生、宗教体验、旅游地产等为一体的综合性旅游景区。</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广西红茶沟旅游文化投资有限公司、融安县政府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项目实施后，加强森林公园的管理。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湿地公园建设</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北部生态新区湿地公园（生态农业示范园）</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总用地面积</w:t>
            </w:r>
            <w:r>
              <w:rPr>
                <w:rStyle w:val="78"/>
                <w:rFonts w:eastAsia="仿宋_GB2312"/>
                <w:bCs/>
                <w:color w:val="auto"/>
              </w:rPr>
              <w:t>5685392.29</w:t>
            </w:r>
            <w:r>
              <w:rPr>
                <w:rStyle w:val="72"/>
                <w:rFonts w:hint="default" w:ascii="Times New Roman" w:hAnsi="Times New Roman" w:eastAsia="仿宋_GB2312" w:cs="Times New Roman"/>
                <w:bCs/>
                <w:color w:val="auto"/>
              </w:rPr>
              <w:t>平方米。建设内容包括进行土地改良，建设育苗基础、农业温室大棚、露天种植区、特种养殖科研示范区、藕塘，以及喷灌工程、绿化景观工程、公共服务设施等工程。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330541</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w:t>
            </w:r>
            <w:r>
              <w:rPr>
                <w:rStyle w:val="72"/>
                <w:rFonts w:hint="default" w:ascii="Times New Roman" w:hAnsi="Times New Roman" w:eastAsia="仿宋_GB2312" w:cs="Times New Roman"/>
                <w:bCs/>
                <w:color w:val="auto"/>
              </w:rPr>
              <w:t>－</w:t>
            </w:r>
            <w:r>
              <w:rPr>
                <w:rStyle w:val="78"/>
                <w:rFonts w:eastAsia="仿宋_GB2312"/>
                <w:bCs/>
                <w:color w:val="auto"/>
              </w:rPr>
              <w:t>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市北城集团、北部生态新区管委会、柳北区政府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项目实施后，加强湿地公园的管理。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柳东新区官塘片滨江生态湿地公园</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位于柳东新区官塘片最西侧的柳江东岸，东接滨江大道，北至官塘物流港，南抵三门江大桥和古亭山森林公园。</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156417.57</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2017-2020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市东城集团、柳东新区管委会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项目实施后，加强湿地公园的管理。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柳江区岜公塘湿地公园</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占地约</w:t>
            </w:r>
            <w:r>
              <w:rPr>
                <w:rStyle w:val="78"/>
                <w:rFonts w:eastAsia="仿宋_GB2312"/>
                <w:bCs/>
                <w:color w:val="auto"/>
              </w:rPr>
              <w:t>1610</w:t>
            </w:r>
            <w:r>
              <w:rPr>
                <w:rStyle w:val="72"/>
                <w:rFonts w:hint="default" w:ascii="Times New Roman" w:hAnsi="Times New Roman" w:eastAsia="仿宋_GB2312" w:cs="Times New Roman"/>
                <w:bCs/>
                <w:color w:val="auto"/>
              </w:rPr>
              <w:t>亩，主要建设湿地净化及体验区、植物科普及服务中心、湿地栈道、鸟岛、滨水景观塔、公园广场、景观桥梁、山体修复、花谷、园林绿化等配套设施。</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64800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柳江区城投公司、柳江区政府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项目实施后，加强湿地公园的管理。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森林资源培育</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生态公益林管护项目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hint="eastAsia" w:eastAsia="仿宋_GB2312" w:cs="Times New Roman"/>
                <w:bCs/>
                <w:kern w:val="0"/>
                <w:sz w:val="24"/>
                <w:szCs w:val="24"/>
              </w:rPr>
              <w:t>实施</w:t>
            </w:r>
            <w:r>
              <w:rPr>
                <w:rFonts w:eastAsia="仿宋_GB2312" w:cs="Times New Roman"/>
                <w:bCs/>
                <w:kern w:val="0"/>
                <w:sz w:val="24"/>
                <w:szCs w:val="24"/>
              </w:rPr>
              <w:t>自治区级以上重点公益林</w:t>
            </w:r>
            <w:r>
              <w:rPr>
                <w:rStyle w:val="78"/>
                <w:rFonts w:eastAsia="仿宋_GB2312"/>
                <w:bCs/>
                <w:color w:val="auto"/>
              </w:rPr>
              <w:t>33.1</w:t>
            </w:r>
            <w:r>
              <w:rPr>
                <w:rStyle w:val="72"/>
                <w:rFonts w:hint="default" w:ascii="Times New Roman" w:hAnsi="Times New Roman" w:eastAsia="仿宋_GB2312" w:cs="Times New Roman"/>
                <w:bCs/>
                <w:color w:val="auto"/>
              </w:rPr>
              <w:t>万公顷的管护</w:t>
            </w:r>
            <w:r>
              <w:rPr>
                <w:rStyle w:val="72"/>
                <w:rFonts w:hint="default"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35753</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市林业和园林局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项目实施有利于保持森林覆盖率。</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加强培育森林资源</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实施“绿满八桂’造林绿化工程、石漠化综合治理工程、高产优质油茶基地建设及退耕还林工程第二周期等工程，积极发展植树造林，培育森林资源</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2017-2020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柳江区自然资源局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项目实施有利于保持森林覆盖率。</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北部生态新区桉树林区生态修复工程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生态修复工程桉树改造林地总规模面积为</w:t>
            </w:r>
            <w:r>
              <w:rPr>
                <w:rStyle w:val="78"/>
                <w:rFonts w:eastAsia="仿宋_GB2312"/>
                <w:bCs/>
                <w:color w:val="auto"/>
              </w:rPr>
              <w:t>2996</w:t>
            </w:r>
            <w:r>
              <w:rPr>
                <w:rStyle w:val="72"/>
                <w:rFonts w:hint="default" w:ascii="Times New Roman" w:hAnsi="Times New Roman" w:eastAsia="仿宋_GB2312" w:cs="Times New Roman"/>
                <w:bCs/>
                <w:color w:val="auto"/>
              </w:rPr>
              <w:t>公顷</w:t>
            </w:r>
            <w:r>
              <w:rPr>
                <w:rStyle w:val="72"/>
                <w:rFonts w:hint="default" w:eastAsia="仿宋_GB2312" w:cs="Times New Roman"/>
                <w:bCs/>
                <w:color w:val="auto"/>
              </w:rPr>
              <w:t>，</w:t>
            </w:r>
            <w:r>
              <w:rPr>
                <w:rStyle w:val="72"/>
                <w:rFonts w:hint="default" w:ascii="Times New Roman" w:hAnsi="Times New Roman" w:eastAsia="仿宋_GB2312" w:cs="Times New Roman"/>
                <w:bCs/>
                <w:color w:val="auto"/>
              </w:rPr>
              <w:t>主要建设内容：公益林地质量提升改造与修复工程、桉树商品林地树种更新改造与修复工程、城市森林重点景观菅造工程、种苗供应工程、配套基础设施工程以及附属辅助建筑工程等。</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270000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2018-2023</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市北城集团、北部生态新区管委会、柳北区政府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项目实施有利于保持森林覆盖率。</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矿山恢复</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矿山生态恢复项目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实施融安县板桥至鹿寨县响水铁矿地质环境治理土地复垦（整理）、柳州至鹿寨段建材及其它非金属矿山地质环境治理土地复垦、融安县泗顶铅锌矿矿山地质环境治理及土地复垦、柳州市六座锰矿矿山地质环境治理及土地复垦、柳州市采石场整治及山体修复绿化</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各业主</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项目实施后减少矿山占地，修复矿山生态环境，将有利于恢复生态环境功能。</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7" w:type="dxa"/>
            <w:gridSpan w:val="2"/>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（六）环境风险防范</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危险废物收集、处置体系建设项目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推动危险废物经营企业技改扩建项目和新建废旧铅酸蓄电池收集、工业危险废物等危险废物收集处置项目建设</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各业主</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项目实施，使危险废物回收安全处置，减少对环境污染。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7" w:type="dxa"/>
            <w:gridSpan w:val="2"/>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hint="eastAsia"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废弃电子产品的回收及处置体系建设项目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废弃电器电子产品的回收及处置项目建设</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市生态环境局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项目实施使废弃电子产品得到回收处置，减少环境污染。</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7" w:type="dxa"/>
            <w:gridSpan w:val="2"/>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hint="eastAsia"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柳州市医疗废物焚烧处理设备改造二期工程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拆除柳州市医疗废物焚烧处理厂第二条回转窑焚烧生产线进行，采用立式连续热解汽化焚烧炉</w:t>
            </w:r>
            <w:r>
              <w:rPr>
                <w:rStyle w:val="78"/>
                <w:rFonts w:eastAsia="仿宋_GB2312"/>
                <w:bCs/>
                <w:color w:val="auto"/>
              </w:rPr>
              <w:t>+</w:t>
            </w:r>
            <w:r>
              <w:rPr>
                <w:rStyle w:val="72"/>
                <w:rFonts w:hint="default" w:ascii="Times New Roman" w:hAnsi="Times New Roman" w:eastAsia="仿宋_GB2312" w:cs="Times New Roman"/>
                <w:bCs/>
                <w:color w:val="auto"/>
              </w:rPr>
              <w:t>余热锅炉</w:t>
            </w:r>
            <w:r>
              <w:rPr>
                <w:rStyle w:val="78"/>
                <w:rFonts w:eastAsia="仿宋_GB2312"/>
                <w:bCs/>
                <w:color w:val="auto"/>
              </w:rPr>
              <w:t>+</w:t>
            </w:r>
            <w:r>
              <w:rPr>
                <w:rStyle w:val="72"/>
                <w:rFonts w:hint="default" w:ascii="Times New Roman" w:hAnsi="Times New Roman" w:eastAsia="仿宋_GB2312" w:cs="Times New Roman"/>
                <w:bCs/>
                <w:color w:val="auto"/>
              </w:rPr>
              <w:t>半干法急冷脱酸一体化复合脱酸塔</w:t>
            </w:r>
            <w:r>
              <w:rPr>
                <w:rStyle w:val="78"/>
                <w:rFonts w:eastAsia="仿宋_GB2312"/>
                <w:bCs/>
                <w:color w:val="auto"/>
              </w:rPr>
              <w:t>+</w:t>
            </w:r>
            <w:r>
              <w:rPr>
                <w:rStyle w:val="72"/>
                <w:rFonts w:hint="default" w:ascii="Times New Roman" w:hAnsi="Times New Roman" w:eastAsia="仿宋_GB2312" w:cs="Times New Roman"/>
                <w:bCs/>
                <w:color w:val="auto"/>
              </w:rPr>
              <w:t>活性炭喷射吸附</w:t>
            </w:r>
            <w:r>
              <w:rPr>
                <w:rStyle w:val="78"/>
                <w:rFonts w:eastAsia="仿宋_GB2312"/>
                <w:bCs/>
                <w:color w:val="auto"/>
              </w:rPr>
              <w:t>+</w:t>
            </w:r>
            <w:r>
              <w:rPr>
                <w:rStyle w:val="72"/>
                <w:rFonts w:hint="default" w:ascii="Times New Roman" w:hAnsi="Times New Roman" w:eastAsia="仿宋_GB2312" w:cs="Times New Roman"/>
                <w:bCs/>
                <w:color w:val="auto"/>
              </w:rPr>
              <w:t>布袋除尘器的处理工艺新建一条医疗废物处理生产线，处理能力</w:t>
            </w:r>
            <w:r>
              <w:rPr>
                <w:rStyle w:val="78"/>
                <w:rFonts w:eastAsia="仿宋_GB2312"/>
                <w:bCs/>
                <w:color w:val="auto"/>
              </w:rPr>
              <w:t>9</w:t>
            </w:r>
            <w:r>
              <w:rPr>
                <w:rStyle w:val="72"/>
                <w:rFonts w:hint="default" w:ascii="Times New Roman" w:hAnsi="Times New Roman" w:eastAsia="仿宋_GB2312" w:cs="Times New Roman"/>
                <w:bCs/>
                <w:color w:val="auto"/>
              </w:rPr>
              <w:t>吨</w:t>
            </w:r>
            <w:r>
              <w:rPr>
                <w:rStyle w:val="78"/>
                <w:rFonts w:eastAsia="仿宋_GB2312"/>
                <w:bCs/>
                <w:color w:val="auto"/>
              </w:rPr>
              <w:t>/</w:t>
            </w:r>
            <w:r>
              <w:rPr>
                <w:rStyle w:val="72"/>
                <w:rFonts w:hint="default" w:ascii="Times New Roman" w:hAnsi="Times New Roman" w:eastAsia="仿宋_GB2312" w:cs="Times New Roman"/>
                <w:bCs/>
                <w:color w:val="auto"/>
              </w:rPr>
              <w:t>日</w:t>
            </w:r>
            <w:r>
              <w:rPr>
                <w:rStyle w:val="72"/>
                <w:rFonts w:hint="default"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1200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市水务集团</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项目实施后，使医疗废物得到很好处理，减少对环境污染，防止疾病传播。</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283" w:type="dxa"/>
            <w:gridSpan w:val="5"/>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四、生态生活体系建设工程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2575817.02</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项目数（个）</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37</w:t>
            </w:r>
          </w:p>
        </w:tc>
        <w:tc>
          <w:tcPr>
            <w:tcW w:w="1455"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c>
          <w:tcPr>
            <w:tcW w:w="1139"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（七）人居环境改善</w:t>
            </w: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饮用水保护</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市集中式饮用水源地保护项目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建设备用水源，开展饮用水源保护区规范化建设，划分备用水源保护区</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市生态环境局、市住房城乡建设局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项目实施有利于保护饮用水源。</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县集中式饮用水源地保护项目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开展县城集中式饮用水源保护区规范化建设（保护区内布置界标、宣传牌、警示牌、建设防护隔离设施等）</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各县</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项目实施有利于保护饮用水源。</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乡镇集中式饮用水源地保护项目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开展水源保护区规范化建设（保护区内布置界标、宣传牌、警示牌、建设防护隔离设施等）</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各县</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项目实施有利于保护饮用水源。</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开展项目前期工作，预计能在规划期内完成。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柳政发〔2016〕54号《柳州市环境保护“十三五”规划》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鹿寨城南水厂一期项目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新建一座</w:t>
            </w:r>
            <w:r>
              <w:rPr>
                <w:rStyle w:val="78"/>
                <w:rFonts w:eastAsia="仿宋_GB2312"/>
                <w:bCs/>
                <w:color w:val="auto"/>
              </w:rPr>
              <w:t>12</w:t>
            </w:r>
            <w:r>
              <w:rPr>
                <w:rStyle w:val="72"/>
                <w:rFonts w:hint="default" w:ascii="Times New Roman" w:hAnsi="Times New Roman" w:eastAsia="仿宋_GB2312" w:cs="Times New Roman"/>
                <w:bCs/>
                <w:color w:val="auto"/>
              </w:rPr>
              <w:t>万立方米</w:t>
            </w:r>
            <w:r>
              <w:rPr>
                <w:rStyle w:val="78"/>
                <w:rFonts w:eastAsia="仿宋_GB2312"/>
                <w:bCs/>
                <w:color w:val="auto"/>
              </w:rPr>
              <w:t>/</w:t>
            </w:r>
            <w:r>
              <w:rPr>
                <w:rStyle w:val="72"/>
                <w:rFonts w:hint="default" w:ascii="Times New Roman" w:hAnsi="Times New Roman" w:eastAsia="仿宋_GB2312" w:cs="Times New Roman"/>
                <w:bCs/>
                <w:color w:val="auto"/>
              </w:rPr>
              <w:t>天的净水厂，其中一期规模</w:t>
            </w:r>
            <w:r>
              <w:rPr>
                <w:rStyle w:val="78"/>
                <w:rFonts w:eastAsia="仿宋_GB2312"/>
                <w:bCs/>
                <w:color w:val="auto"/>
              </w:rPr>
              <w:t>6</w:t>
            </w:r>
            <w:r>
              <w:rPr>
                <w:rStyle w:val="72"/>
                <w:rFonts w:hint="default" w:ascii="Times New Roman" w:hAnsi="Times New Roman" w:eastAsia="仿宋_GB2312" w:cs="Times New Roman"/>
                <w:bCs/>
                <w:color w:val="auto"/>
              </w:rPr>
              <w:t>万立方米</w:t>
            </w:r>
            <w:r>
              <w:rPr>
                <w:rStyle w:val="78"/>
                <w:rFonts w:eastAsia="仿宋_GB2312"/>
                <w:bCs/>
                <w:color w:val="auto"/>
              </w:rPr>
              <w:t>/</w:t>
            </w:r>
            <w:r>
              <w:rPr>
                <w:rStyle w:val="72"/>
                <w:rFonts w:hint="default" w:ascii="Times New Roman" w:hAnsi="Times New Roman" w:eastAsia="仿宋_GB2312" w:cs="Times New Roman"/>
                <w:bCs/>
                <w:color w:val="auto"/>
              </w:rPr>
              <w:t>天，包括净水厂工程及配水管网工程。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10700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鹿寨县甘泉水务公司、鹿寨县政府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项目实施，保障居民饮</w:t>
            </w:r>
            <w:r>
              <w:rPr>
                <w:rFonts w:hint="eastAsia" w:eastAsia="仿宋_GB2312" w:cs="Times New Roman"/>
                <w:bCs/>
                <w:kern w:val="0"/>
                <w:sz w:val="24"/>
                <w:szCs w:val="24"/>
              </w:rPr>
              <w:t>水</w:t>
            </w:r>
            <w:r>
              <w:rPr>
                <w:rFonts w:eastAsia="仿宋_GB2312" w:cs="Times New Roman"/>
                <w:bCs/>
                <w:kern w:val="0"/>
                <w:sz w:val="24"/>
                <w:szCs w:val="24"/>
              </w:rPr>
              <w:t>安全。</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完成厂区土建</w:t>
            </w:r>
            <w:r>
              <w:rPr>
                <w:rStyle w:val="78"/>
                <w:rFonts w:eastAsia="仿宋_GB2312"/>
                <w:bCs/>
                <w:color w:val="auto"/>
              </w:rPr>
              <w:t>20%</w:t>
            </w:r>
            <w:r>
              <w:rPr>
                <w:rStyle w:val="72"/>
                <w:rFonts w:hint="default" w:ascii="Times New Roman" w:hAnsi="Times New Roman" w:eastAsia="仿宋_GB2312" w:cs="Times New Roman"/>
                <w:bCs/>
                <w:color w:val="auto"/>
              </w:rPr>
              <w:t>，完成管网</w:t>
            </w:r>
            <w:r>
              <w:rPr>
                <w:rStyle w:val="78"/>
                <w:rFonts w:eastAsia="仿宋_GB2312"/>
                <w:bCs/>
                <w:color w:val="auto"/>
              </w:rPr>
              <w:t>15%</w:t>
            </w:r>
            <w:r>
              <w:rPr>
                <w:rStyle w:val="72"/>
                <w:rFonts w:hint="default" w:ascii="Times New Roman" w:hAnsi="Times New Roman" w:eastAsia="仿宋_GB2312" w:cs="Times New Roman"/>
                <w:bCs/>
                <w:color w:val="auto"/>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融水县贝江自来水厂工程（第二水源）</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w:t>
            </w:r>
            <w:r>
              <w:rPr>
                <w:rStyle w:val="78"/>
                <w:rFonts w:eastAsia="仿宋_GB2312"/>
                <w:bCs/>
                <w:color w:val="auto"/>
              </w:rPr>
              <w:t>6.0x10</w:t>
            </w:r>
            <w:r>
              <w:rPr>
                <w:rStyle w:val="81"/>
                <w:rFonts w:eastAsia="仿宋_GB2312"/>
                <w:bCs/>
                <w:color w:val="auto"/>
              </w:rPr>
              <w:t>4</w:t>
            </w:r>
            <w:r>
              <w:rPr>
                <w:rStyle w:val="78"/>
                <w:rFonts w:eastAsia="仿宋_GB2312"/>
                <w:bCs/>
                <w:color w:val="auto"/>
              </w:rPr>
              <w:t>m³/d</w:t>
            </w:r>
            <w:r>
              <w:rPr>
                <w:rStyle w:val="72"/>
                <w:rFonts w:hint="default" w:ascii="Times New Roman" w:hAnsi="Times New Roman" w:eastAsia="仿宋_GB2312" w:cs="Times New Roman"/>
                <w:bCs/>
                <w:color w:val="auto"/>
              </w:rPr>
              <w:t>取水泵站及净水厂各一座，建设</w:t>
            </w:r>
            <w:r>
              <w:rPr>
                <w:rStyle w:val="78"/>
                <w:rFonts w:eastAsia="仿宋_GB2312"/>
                <w:bCs/>
                <w:color w:val="auto"/>
              </w:rPr>
              <w:t>DN300-DN800</w:t>
            </w:r>
            <w:r>
              <w:rPr>
                <w:rStyle w:val="72"/>
                <w:rFonts w:hint="default" w:ascii="Times New Roman" w:hAnsi="Times New Roman" w:eastAsia="仿宋_GB2312" w:cs="Times New Roman"/>
                <w:bCs/>
                <w:color w:val="auto"/>
              </w:rPr>
              <w:t>输配水管道，总长</w:t>
            </w:r>
            <w:r>
              <w:rPr>
                <w:rStyle w:val="78"/>
                <w:rFonts w:eastAsia="仿宋_GB2312"/>
                <w:bCs/>
                <w:color w:val="auto"/>
              </w:rPr>
              <w:t>29340</w:t>
            </w:r>
            <w:r>
              <w:rPr>
                <w:rStyle w:val="72"/>
                <w:rFonts w:hint="default" w:ascii="Times New Roman" w:hAnsi="Times New Roman" w:eastAsia="仿宋_GB2312" w:cs="Times New Roman"/>
                <w:bCs/>
                <w:color w:val="auto"/>
              </w:rPr>
              <w:t>米。</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13098</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融水县自来水厂、鹿寨县政府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项目实施，保障居民饮</w:t>
            </w:r>
            <w:r>
              <w:rPr>
                <w:rFonts w:hint="eastAsia" w:eastAsia="仿宋_GB2312" w:cs="Times New Roman"/>
                <w:bCs/>
                <w:kern w:val="0"/>
                <w:sz w:val="24"/>
                <w:szCs w:val="24"/>
              </w:rPr>
              <w:t>水</w:t>
            </w:r>
            <w:r>
              <w:rPr>
                <w:rFonts w:eastAsia="仿宋_GB2312" w:cs="Times New Roman"/>
                <w:bCs/>
                <w:kern w:val="0"/>
                <w:sz w:val="24"/>
                <w:szCs w:val="24"/>
              </w:rPr>
              <w:t>安全。</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6</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新柳北水厂工程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水厂建设总规模为供水能力</w:t>
            </w:r>
            <w:r>
              <w:rPr>
                <w:rStyle w:val="78"/>
                <w:rFonts w:eastAsia="仿宋_GB2312"/>
                <w:bCs/>
                <w:color w:val="auto"/>
              </w:rPr>
              <w:t>60</w:t>
            </w:r>
            <w:r>
              <w:rPr>
                <w:rStyle w:val="72"/>
                <w:rFonts w:hint="default" w:ascii="Times New Roman" w:hAnsi="Times New Roman" w:eastAsia="仿宋_GB2312" w:cs="Times New Roman"/>
                <w:bCs/>
                <w:color w:val="auto"/>
              </w:rPr>
              <w:t>万吨</w:t>
            </w:r>
            <w:r>
              <w:rPr>
                <w:rStyle w:val="78"/>
                <w:rFonts w:eastAsia="仿宋_GB2312"/>
                <w:bCs/>
                <w:color w:val="auto"/>
              </w:rPr>
              <w:t>/</w:t>
            </w:r>
            <w:r>
              <w:rPr>
                <w:rStyle w:val="72"/>
                <w:rFonts w:hint="default" w:ascii="Times New Roman" w:hAnsi="Times New Roman" w:eastAsia="仿宋_GB2312" w:cs="Times New Roman"/>
                <w:bCs/>
                <w:color w:val="auto"/>
              </w:rPr>
              <w:t>天，分两期实施。一期工程规模为供水能力</w:t>
            </w:r>
            <w:r>
              <w:rPr>
                <w:rStyle w:val="78"/>
                <w:rFonts w:eastAsia="仿宋_GB2312"/>
                <w:bCs/>
                <w:color w:val="auto"/>
              </w:rPr>
              <w:t>20</w:t>
            </w:r>
            <w:r>
              <w:rPr>
                <w:rStyle w:val="72"/>
                <w:rFonts w:hint="default" w:ascii="Times New Roman" w:hAnsi="Times New Roman" w:eastAsia="仿宋_GB2312" w:cs="Times New Roman"/>
                <w:bCs/>
                <w:color w:val="auto"/>
              </w:rPr>
              <w:t>万吨</w:t>
            </w:r>
            <w:r>
              <w:rPr>
                <w:rStyle w:val="78"/>
                <w:rFonts w:eastAsia="仿宋_GB2312"/>
                <w:bCs/>
                <w:color w:val="auto"/>
              </w:rPr>
              <w:t>/</w:t>
            </w:r>
            <w:r>
              <w:rPr>
                <w:rStyle w:val="72"/>
                <w:rFonts w:hint="default" w:ascii="Times New Roman" w:hAnsi="Times New Roman" w:eastAsia="仿宋_GB2312" w:cs="Times New Roman"/>
                <w:bCs/>
                <w:color w:val="auto"/>
              </w:rPr>
              <w:t>天，二期工程规模为供水能力</w:t>
            </w:r>
            <w:r>
              <w:rPr>
                <w:rStyle w:val="78"/>
                <w:rFonts w:eastAsia="仿宋_GB2312"/>
                <w:bCs/>
                <w:color w:val="auto"/>
              </w:rPr>
              <w:t>40</w:t>
            </w:r>
            <w:r>
              <w:rPr>
                <w:rStyle w:val="72"/>
                <w:rFonts w:hint="default" w:ascii="Times New Roman" w:hAnsi="Times New Roman" w:eastAsia="仿宋_GB2312" w:cs="Times New Roman"/>
                <w:bCs/>
                <w:color w:val="auto"/>
              </w:rPr>
              <w:t>万吨</w:t>
            </w:r>
            <w:r>
              <w:rPr>
                <w:rStyle w:val="78"/>
                <w:rFonts w:eastAsia="仿宋_GB2312"/>
                <w:bCs/>
                <w:color w:val="auto"/>
              </w:rPr>
              <w:t>/</w:t>
            </w:r>
            <w:r>
              <w:rPr>
                <w:rStyle w:val="72"/>
                <w:rFonts w:hint="default" w:ascii="Times New Roman" w:hAnsi="Times New Roman" w:eastAsia="仿宋_GB2312" w:cs="Times New Roman"/>
                <w:bCs/>
                <w:color w:val="auto"/>
              </w:rPr>
              <w:t>天，近期实施一期工程。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60048</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2017-2020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市水务集团、市住</w:t>
            </w:r>
            <w:r>
              <w:rPr>
                <w:rFonts w:hint="eastAsia" w:eastAsia="仿宋_GB2312" w:cs="Times New Roman"/>
                <w:bCs/>
                <w:kern w:val="0"/>
                <w:sz w:val="24"/>
                <w:szCs w:val="24"/>
              </w:rPr>
              <w:t>房城乡</w:t>
            </w:r>
            <w:r>
              <w:rPr>
                <w:rFonts w:eastAsia="仿宋_GB2312" w:cs="Times New Roman"/>
                <w:bCs/>
                <w:kern w:val="0"/>
                <w:sz w:val="24"/>
                <w:szCs w:val="24"/>
              </w:rPr>
              <w:t>建</w:t>
            </w:r>
            <w:r>
              <w:rPr>
                <w:rFonts w:hint="eastAsia" w:eastAsia="仿宋_GB2312" w:cs="Times New Roman"/>
                <w:bCs/>
                <w:kern w:val="0"/>
                <w:sz w:val="24"/>
                <w:szCs w:val="24"/>
              </w:rPr>
              <w:t>设局</w:t>
            </w:r>
            <w:r>
              <w:rPr>
                <w:rFonts w:eastAsia="仿宋_GB2312" w:cs="Times New Roman"/>
                <w:bCs/>
                <w:kern w:val="0"/>
                <w:sz w:val="24"/>
                <w:szCs w:val="24"/>
              </w:rPr>
              <w:t>、柳北区政府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项目实施，保障居民饮</w:t>
            </w:r>
            <w:r>
              <w:rPr>
                <w:rFonts w:hint="eastAsia" w:eastAsia="仿宋_GB2312" w:cs="Times New Roman"/>
                <w:bCs/>
                <w:kern w:val="0"/>
                <w:sz w:val="24"/>
                <w:szCs w:val="24"/>
              </w:rPr>
              <w:t>水</w:t>
            </w:r>
            <w:r>
              <w:rPr>
                <w:rFonts w:eastAsia="仿宋_GB2312" w:cs="Times New Roman"/>
                <w:bCs/>
                <w:kern w:val="0"/>
                <w:sz w:val="24"/>
                <w:szCs w:val="24"/>
              </w:rPr>
              <w:t>安全。</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主体建设。预计能在规划期内完成。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公共基础设施建设</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鹿寨县石榴河水系联通及景观提升工程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1.对石榴河灌区干渠、二支渠、三支渠、四支渠、六青水库补水渠、长塘水库补水渠进行加固、防渗、清淤；</w:t>
            </w:r>
            <w:r>
              <w:rPr>
                <w:rFonts w:eastAsia="仿宋_GB2312" w:cs="Times New Roman"/>
                <w:bCs/>
                <w:kern w:val="0"/>
                <w:sz w:val="24"/>
                <w:szCs w:val="24"/>
              </w:rPr>
              <w:br w:type="textWrapping"/>
            </w:r>
            <w:r>
              <w:rPr>
                <w:rFonts w:eastAsia="仿宋_GB2312" w:cs="Times New Roman"/>
                <w:bCs/>
                <w:kern w:val="0"/>
                <w:sz w:val="24"/>
                <w:szCs w:val="24"/>
              </w:rPr>
              <w:t>2.恢复月牙湖连通渠、印心湖-玉节湖连通渠、烟霞湖连通渠；</w:t>
            </w:r>
            <w:r>
              <w:rPr>
                <w:rFonts w:eastAsia="仿宋_GB2312" w:cs="Times New Roman"/>
                <w:bCs/>
                <w:kern w:val="0"/>
                <w:sz w:val="24"/>
                <w:szCs w:val="24"/>
              </w:rPr>
              <w:br w:type="textWrapping"/>
            </w:r>
            <w:r>
              <w:rPr>
                <w:rFonts w:eastAsia="仿宋_GB2312" w:cs="Times New Roman"/>
                <w:bCs/>
                <w:kern w:val="0"/>
                <w:sz w:val="24"/>
                <w:szCs w:val="24"/>
              </w:rPr>
              <w:t>3.恢复改造和连通连心湖、鹿州湖等16个湖泊；</w:t>
            </w:r>
            <w:r>
              <w:rPr>
                <w:rFonts w:eastAsia="仿宋_GB2312" w:cs="Times New Roman"/>
                <w:bCs/>
                <w:kern w:val="0"/>
                <w:sz w:val="24"/>
                <w:szCs w:val="24"/>
              </w:rPr>
              <w:br w:type="textWrapping"/>
            </w:r>
            <w:r>
              <w:rPr>
                <w:rFonts w:eastAsia="仿宋_GB2312" w:cs="Times New Roman"/>
                <w:bCs/>
                <w:kern w:val="0"/>
                <w:sz w:val="24"/>
                <w:szCs w:val="24"/>
              </w:rPr>
              <w:t>4.石榴河水系联通区域内的景观提升打造工程建设。</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52000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鹿寨县水利局、鹿寨县政府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公共基础设施建设后，给居民带来美好的生活环境。</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主体建设。</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交壅沟应急治涝工程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项目按</w:t>
            </w:r>
            <w:r>
              <w:rPr>
                <w:rStyle w:val="78"/>
                <w:rFonts w:eastAsia="仿宋_GB2312"/>
                <w:bCs/>
                <w:color w:val="auto"/>
              </w:rPr>
              <w:t>50</w:t>
            </w:r>
            <w:r>
              <w:rPr>
                <w:rStyle w:val="72"/>
                <w:rFonts w:hint="default" w:ascii="Times New Roman" w:hAnsi="Times New Roman" w:eastAsia="仿宋_GB2312" w:cs="Times New Roman"/>
                <w:bCs/>
                <w:color w:val="auto"/>
              </w:rPr>
              <w:t>年一遇标准在交壅沟柳江干流河口内设置应急防洪堤</w:t>
            </w:r>
            <w:r>
              <w:rPr>
                <w:rStyle w:val="78"/>
                <w:rFonts w:eastAsia="仿宋_GB2312"/>
                <w:bCs/>
                <w:color w:val="auto"/>
              </w:rPr>
              <w:t>610</w:t>
            </w:r>
            <w:r>
              <w:rPr>
                <w:rStyle w:val="72"/>
                <w:rFonts w:hint="default" w:ascii="Times New Roman" w:hAnsi="Times New Roman" w:eastAsia="仿宋_GB2312" w:cs="Times New Roman"/>
                <w:bCs/>
                <w:color w:val="auto"/>
              </w:rPr>
              <w:t>米，按</w:t>
            </w:r>
            <w:r>
              <w:rPr>
                <w:rStyle w:val="78"/>
                <w:rFonts w:eastAsia="仿宋_GB2312"/>
                <w:bCs/>
                <w:color w:val="auto"/>
              </w:rPr>
              <w:t>50</w:t>
            </w:r>
            <w:r>
              <w:rPr>
                <w:rStyle w:val="72"/>
                <w:rFonts w:hint="default" w:ascii="Times New Roman" w:hAnsi="Times New Roman" w:eastAsia="仿宋_GB2312" w:cs="Times New Roman"/>
                <w:bCs/>
                <w:color w:val="auto"/>
              </w:rPr>
              <w:t>年一遇最大</w:t>
            </w:r>
            <w:r>
              <w:rPr>
                <w:rStyle w:val="78"/>
                <w:rFonts w:eastAsia="仿宋_GB2312"/>
                <w:bCs/>
                <w:color w:val="auto"/>
              </w:rPr>
              <w:t>24</w:t>
            </w:r>
            <w:r>
              <w:rPr>
                <w:rStyle w:val="72"/>
                <w:rFonts w:hint="default" w:ascii="Times New Roman" w:hAnsi="Times New Roman" w:eastAsia="仿宋_GB2312" w:cs="Times New Roman"/>
                <w:bCs/>
                <w:color w:val="auto"/>
              </w:rPr>
              <w:t>小时暴雨洪水标准设置防洪排涝闸</w:t>
            </w:r>
            <w:r>
              <w:rPr>
                <w:rStyle w:val="78"/>
                <w:rFonts w:eastAsia="仿宋_GB2312"/>
                <w:bCs/>
                <w:color w:val="auto"/>
              </w:rPr>
              <w:t>1</w:t>
            </w:r>
            <w:r>
              <w:rPr>
                <w:rStyle w:val="72"/>
                <w:rFonts w:hint="default" w:ascii="Times New Roman" w:hAnsi="Times New Roman" w:eastAsia="仿宋_GB2312" w:cs="Times New Roman"/>
                <w:bCs/>
                <w:color w:val="auto"/>
              </w:rPr>
              <w:t>座，按雨洪同期</w:t>
            </w:r>
            <w:r>
              <w:rPr>
                <w:rStyle w:val="78"/>
                <w:rFonts w:eastAsia="仿宋_GB2312"/>
                <w:bCs/>
                <w:color w:val="auto"/>
              </w:rPr>
              <w:t>20</w:t>
            </w:r>
            <w:r>
              <w:rPr>
                <w:rStyle w:val="72"/>
                <w:rFonts w:hint="default" w:ascii="Times New Roman" w:hAnsi="Times New Roman" w:eastAsia="仿宋_GB2312" w:cs="Times New Roman"/>
                <w:bCs/>
                <w:color w:val="auto"/>
              </w:rPr>
              <w:t>年一遇标准在河道口设置排涝泵站</w:t>
            </w:r>
            <w:r>
              <w:rPr>
                <w:rStyle w:val="78"/>
                <w:rFonts w:eastAsia="仿宋_GB2312"/>
                <w:bCs/>
                <w:color w:val="auto"/>
              </w:rPr>
              <w:t>1</w:t>
            </w:r>
            <w:r>
              <w:rPr>
                <w:rStyle w:val="72"/>
                <w:rFonts w:hint="default" w:ascii="Times New Roman" w:hAnsi="Times New Roman" w:eastAsia="仿宋_GB2312" w:cs="Times New Roman"/>
                <w:bCs/>
                <w:color w:val="auto"/>
              </w:rPr>
              <w:t>座。</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10049.17</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市东城集团、柳东新区管委会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公共基础设施建设后，给居民带来美好的生活环境。</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w:t>
            </w:r>
            <w:r>
              <w:rPr>
                <w:rStyle w:val="78"/>
                <w:rFonts w:eastAsia="仿宋_GB2312"/>
                <w:bCs/>
                <w:color w:val="auto"/>
              </w:rPr>
              <w:t>20%</w:t>
            </w:r>
            <w:r>
              <w:rPr>
                <w:rStyle w:val="72"/>
                <w:rFonts w:hint="default" w:ascii="Times New Roman" w:hAnsi="Times New Roman" w:eastAsia="仿宋_GB2312" w:cs="Times New Roman"/>
                <w:bCs/>
                <w:color w:val="auto"/>
              </w:rPr>
              <w:t>堤防工程、排涝泵站完成</w:t>
            </w:r>
            <w:r>
              <w:rPr>
                <w:rStyle w:val="78"/>
                <w:rFonts w:eastAsia="仿宋_GB2312"/>
                <w:bCs/>
                <w:color w:val="auto"/>
              </w:rPr>
              <w:t>50%</w:t>
            </w:r>
            <w:r>
              <w:rPr>
                <w:rStyle w:val="72"/>
                <w:rFonts w:hint="default" w:ascii="Times New Roman" w:hAnsi="Times New Roman" w:eastAsia="仿宋_GB2312" w:cs="Times New Roman"/>
                <w:bCs/>
                <w:color w:val="auto"/>
              </w:rPr>
              <w:t>工程量。</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官塘冲河道综合整治工程（含河道整治景观工程）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整治河道总长</w:t>
            </w:r>
            <w:r>
              <w:rPr>
                <w:rStyle w:val="78"/>
                <w:rFonts w:eastAsia="仿宋_GB2312"/>
                <w:bCs/>
                <w:color w:val="auto"/>
              </w:rPr>
              <w:t>8.3</w:t>
            </w:r>
            <w:r>
              <w:rPr>
                <w:rStyle w:val="72"/>
                <w:rFonts w:hint="default" w:ascii="Times New Roman" w:hAnsi="Times New Roman" w:eastAsia="仿宋_GB2312" w:cs="Times New Roman"/>
                <w:bCs/>
                <w:color w:val="auto"/>
              </w:rPr>
              <w:t>千米，其中官塘冲主支主冲沟长</w:t>
            </w:r>
            <w:r>
              <w:rPr>
                <w:rStyle w:val="78"/>
                <w:rFonts w:eastAsia="仿宋_GB2312"/>
                <w:bCs/>
                <w:color w:val="auto"/>
              </w:rPr>
              <w:t>6.1</w:t>
            </w:r>
            <w:r>
              <w:rPr>
                <w:rStyle w:val="72"/>
                <w:rFonts w:hint="default" w:ascii="Times New Roman" w:hAnsi="Times New Roman" w:eastAsia="仿宋_GB2312" w:cs="Times New Roman"/>
                <w:bCs/>
                <w:color w:val="auto"/>
              </w:rPr>
              <w:t>千米，官塘冲左支渠长</w:t>
            </w:r>
            <w:r>
              <w:rPr>
                <w:rStyle w:val="78"/>
                <w:rFonts w:eastAsia="仿宋_GB2312"/>
                <w:bCs/>
                <w:color w:val="auto"/>
              </w:rPr>
              <w:t>2.2</w:t>
            </w:r>
            <w:r>
              <w:rPr>
                <w:rStyle w:val="72"/>
                <w:rFonts w:hint="default" w:ascii="Times New Roman" w:hAnsi="Times New Roman" w:eastAsia="仿宋_GB2312" w:cs="Times New Roman"/>
                <w:bCs/>
                <w:color w:val="auto"/>
              </w:rPr>
              <w:t>千米</w:t>
            </w:r>
            <w:r>
              <w:rPr>
                <w:rStyle w:val="72"/>
                <w:rFonts w:hint="default" w:eastAsia="仿宋_GB2312" w:cs="Times New Roman"/>
                <w:bCs/>
                <w:color w:val="auto"/>
              </w:rPr>
              <w:t>；</w:t>
            </w:r>
            <w:r>
              <w:rPr>
                <w:rStyle w:val="72"/>
                <w:rFonts w:hint="default" w:ascii="Times New Roman" w:hAnsi="Times New Roman" w:eastAsia="仿宋_GB2312" w:cs="Times New Roman"/>
                <w:bCs/>
                <w:color w:val="auto"/>
              </w:rPr>
              <w:t>整治岸线总长约</w:t>
            </w:r>
            <w:r>
              <w:rPr>
                <w:rStyle w:val="78"/>
                <w:rFonts w:eastAsia="仿宋_GB2312"/>
                <w:bCs/>
                <w:color w:val="auto"/>
              </w:rPr>
              <w:t>18.9</w:t>
            </w:r>
            <w:r>
              <w:rPr>
                <w:rStyle w:val="72"/>
                <w:rFonts w:hint="default" w:ascii="Times New Roman" w:hAnsi="Times New Roman" w:eastAsia="仿宋_GB2312" w:cs="Times New Roman"/>
                <w:bCs/>
                <w:color w:val="auto"/>
              </w:rPr>
              <w:t>千米。</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96853.95</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2017-2020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市东城集团、柳东新区管委会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公共基础设施建设后，给居民带来美好的生活环境。</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完成一期建设，二期开工。</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柳州市交壅沟河道整治工程（含一、二期工程）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整治河道总长</w:t>
            </w:r>
            <w:r>
              <w:rPr>
                <w:rStyle w:val="78"/>
                <w:rFonts w:eastAsia="仿宋_GB2312"/>
                <w:bCs/>
                <w:color w:val="auto"/>
              </w:rPr>
              <w:t>13.5</w:t>
            </w:r>
            <w:r>
              <w:rPr>
                <w:rStyle w:val="72"/>
                <w:rFonts w:hint="default" w:ascii="Times New Roman" w:hAnsi="Times New Roman" w:eastAsia="仿宋_GB2312" w:cs="Times New Roman"/>
                <w:bCs/>
                <w:color w:val="auto"/>
              </w:rPr>
              <w:t>千米，设置</w:t>
            </w:r>
            <w:r>
              <w:rPr>
                <w:rStyle w:val="78"/>
                <w:rFonts w:eastAsia="仿宋_GB2312"/>
                <w:bCs/>
                <w:color w:val="auto"/>
              </w:rPr>
              <w:t>3</w:t>
            </w:r>
            <w:r>
              <w:rPr>
                <w:rStyle w:val="72"/>
                <w:rFonts w:hint="default" w:ascii="Times New Roman" w:hAnsi="Times New Roman" w:eastAsia="仿宋_GB2312" w:cs="Times New Roman"/>
                <w:bCs/>
                <w:color w:val="auto"/>
              </w:rPr>
              <w:t>个人工湖，整治岸线总长</w:t>
            </w:r>
            <w:r>
              <w:rPr>
                <w:rStyle w:val="78"/>
                <w:rFonts w:eastAsia="仿宋_GB2312"/>
                <w:bCs/>
                <w:color w:val="auto"/>
              </w:rPr>
              <w:t>30.1</w:t>
            </w:r>
            <w:r>
              <w:rPr>
                <w:rStyle w:val="72"/>
                <w:rFonts w:hint="default" w:ascii="Times New Roman" w:hAnsi="Times New Roman" w:eastAsia="仿宋_GB2312" w:cs="Times New Roman"/>
                <w:bCs/>
                <w:color w:val="auto"/>
              </w:rPr>
              <w:t>千米。</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75610.06</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2015-2021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市东城集团、柳东新区管委会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公共基础设施建设后，给居民带来美好的生活环境。</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河道部分：一期完工，二期完成</w:t>
            </w:r>
            <w:r>
              <w:rPr>
                <w:rStyle w:val="78"/>
                <w:rFonts w:eastAsia="仿宋_GB2312"/>
                <w:bCs/>
                <w:color w:val="auto"/>
              </w:rPr>
              <w:t>50%</w:t>
            </w:r>
            <w:r>
              <w:rPr>
                <w:rStyle w:val="72"/>
                <w:rFonts w:hint="default" w:ascii="Times New Roman" w:hAnsi="Times New Roman" w:eastAsia="仿宋_GB2312" w:cs="Times New Roman"/>
                <w:bCs/>
                <w:color w:val="auto"/>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广西主要支流柳江防洪治理融水县城区河道治理工程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按</w:t>
            </w:r>
            <w:r>
              <w:rPr>
                <w:rStyle w:val="78"/>
                <w:rFonts w:eastAsia="仿宋_GB2312"/>
                <w:bCs/>
                <w:color w:val="auto"/>
              </w:rPr>
              <w:t>20</w:t>
            </w:r>
            <w:r>
              <w:rPr>
                <w:rStyle w:val="72"/>
                <w:rFonts w:hint="default" w:ascii="Times New Roman" w:hAnsi="Times New Roman" w:eastAsia="仿宋_GB2312" w:cs="Times New Roman"/>
                <w:bCs/>
                <w:color w:val="auto"/>
              </w:rPr>
              <w:t>年一遇防洪标准新建防洪堤总长</w:t>
            </w:r>
            <w:r>
              <w:rPr>
                <w:rStyle w:val="78"/>
                <w:rFonts w:eastAsia="仿宋_GB2312"/>
                <w:bCs/>
                <w:color w:val="auto"/>
              </w:rPr>
              <w:t>1.814</w:t>
            </w:r>
            <w:r>
              <w:rPr>
                <w:rStyle w:val="72"/>
                <w:rFonts w:hint="default" w:ascii="Times New Roman" w:hAnsi="Times New Roman" w:eastAsia="仿宋_GB2312" w:cs="Times New Roman"/>
                <w:bCs/>
                <w:color w:val="auto"/>
              </w:rPr>
              <w:t>公里、护岸总长</w:t>
            </w:r>
            <w:r>
              <w:rPr>
                <w:rStyle w:val="78"/>
                <w:rFonts w:eastAsia="仿宋_GB2312"/>
                <w:bCs/>
                <w:color w:val="auto"/>
              </w:rPr>
              <w:t>10.607</w:t>
            </w:r>
            <w:r>
              <w:rPr>
                <w:rStyle w:val="72"/>
                <w:rFonts w:hint="default" w:ascii="Times New Roman" w:hAnsi="Times New Roman" w:eastAsia="仿宋_GB2312" w:cs="Times New Roman"/>
                <w:bCs/>
                <w:color w:val="auto"/>
              </w:rPr>
              <w:t>公里，新建泵站、排涝闸各</w:t>
            </w:r>
            <w:r>
              <w:rPr>
                <w:rStyle w:val="78"/>
                <w:rFonts w:eastAsia="仿宋_GB2312"/>
                <w:bCs/>
                <w:color w:val="auto"/>
              </w:rPr>
              <w:t>1</w:t>
            </w:r>
            <w:r>
              <w:rPr>
                <w:rStyle w:val="72"/>
                <w:rFonts w:hint="default" w:ascii="Times New Roman" w:hAnsi="Times New Roman" w:eastAsia="仿宋_GB2312" w:cs="Times New Roman"/>
                <w:bCs/>
                <w:color w:val="auto"/>
              </w:rPr>
              <w:t>座。</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13512.78</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2015-2020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融水县水利局、融水县政府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公共基础设施建设后，给居民带来美好的生活环境。</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终点新建</w:t>
            </w:r>
            <w:r>
              <w:rPr>
                <w:rStyle w:val="78"/>
                <w:rFonts w:eastAsia="仿宋_GB2312"/>
                <w:bCs/>
                <w:color w:val="auto"/>
              </w:rPr>
              <w:t>C</w:t>
            </w:r>
            <w:r>
              <w:rPr>
                <w:rStyle w:val="72"/>
                <w:rFonts w:hint="default" w:ascii="Times New Roman" w:hAnsi="Times New Roman" w:eastAsia="仿宋_GB2312" w:cs="Times New Roman"/>
                <w:bCs/>
                <w:color w:val="auto"/>
              </w:rPr>
              <w:t>段外江防洪堤</w:t>
            </w:r>
            <w:r>
              <w:rPr>
                <w:rStyle w:val="78"/>
                <w:rFonts w:eastAsia="仿宋_GB2312"/>
                <w:bCs/>
                <w:color w:val="auto"/>
              </w:rPr>
              <w:t>490</w:t>
            </w:r>
            <w:r>
              <w:rPr>
                <w:rStyle w:val="72"/>
                <w:rFonts w:hint="default" w:ascii="Times New Roman" w:hAnsi="Times New Roman" w:eastAsia="仿宋_GB2312" w:cs="Times New Roman"/>
                <w:bCs/>
                <w:color w:val="auto"/>
              </w:rPr>
              <w:t>米，新建丹江泵站、排涝闸各</w:t>
            </w:r>
            <w:r>
              <w:rPr>
                <w:rStyle w:val="78"/>
                <w:rFonts w:eastAsia="仿宋_GB2312"/>
                <w:bCs/>
                <w:color w:val="auto"/>
              </w:rPr>
              <w:t>1</w:t>
            </w:r>
            <w:r>
              <w:rPr>
                <w:rStyle w:val="72"/>
                <w:rFonts w:hint="default" w:ascii="Times New Roman" w:hAnsi="Times New Roman" w:eastAsia="仿宋_GB2312" w:cs="Times New Roman"/>
                <w:bCs/>
                <w:color w:val="auto"/>
              </w:rPr>
              <w:t>座。</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6</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柳城县凤山镇河堤护岸及抢险道路工程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新建护岸（包括亲水平台）总长</w:t>
            </w:r>
            <w:r>
              <w:rPr>
                <w:rStyle w:val="78"/>
                <w:rFonts w:eastAsia="仿宋_GB2312"/>
                <w:bCs/>
                <w:color w:val="auto"/>
              </w:rPr>
              <w:t>5.186</w:t>
            </w:r>
            <w:r>
              <w:rPr>
                <w:rStyle w:val="72"/>
                <w:rFonts w:hint="default" w:ascii="Times New Roman" w:hAnsi="Times New Roman" w:eastAsia="仿宋_GB2312" w:cs="Times New Roman"/>
                <w:bCs/>
                <w:color w:val="auto"/>
              </w:rPr>
              <w:t>公里，抢险道路</w:t>
            </w:r>
            <w:r>
              <w:rPr>
                <w:rStyle w:val="78"/>
                <w:rFonts w:eastAsia="仿宋_GB2312"/>
                <w:bCs/>
                <w:color w:val="auto"/>
              </w:rPr>
              <w:t>4.212</w:t>
            </w:r>
            <w:r>
              <w:rPr>
                <w:rStyle w:val="72"/>
                <w:rFonts w:hint="default" w:ascii="Times New Roman" w:hAnsi="Times New Roman" w:eastAsia="仿宋_GB2312" w:cs="Times New Roman"/>
                <w:bCs/>
                <w:color w:val="auto"/>
              </w:rPr>
              <w:t>公里。</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24552.85</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2017-2020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柳城县长兴农业投资公司、柳城县政府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公共基础设施建设后，给居民带来美好的生活环境。</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完成主体工程建设。</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7</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融江河柳城县河段护岸及抢险道路工程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新建护岸（包括亲水平台）总长</w:t>
            </w:r>
            <w:r>
              <w:rPr>
                <w:rStyle w:val="78"/>
                <w:rFonts w:eastAsia="仿宋_GB2312"/>
                <w:bCs/>
                <w:color w:val="auto"/>
              </w:rPr>
              <w:t>3.823</w:t>
            </w:r>
            <w:r>
              <w:rPr>
                <w:rStyle w:val="72"/>
                <w:rFonts w:hint="default" w:ascii="Times New Roman" w:hAnsi="Times New Roman" w:eastAsia="仿宋_GB2312" w:cs="Times New Roman"/>
                <w:bCs/>
                <w:color w:val="auto"/>
              </w:rPr>
              <w:t>公里，栈桥</w:t>
            </w:r>
            <w:r>
              <w:rPr>
                <w:rStyle w:val="78"/>
                <w:rFonts w:eastAsia="仿宋_GB2312"/>
                <w:bCs/>
                <w:color w:val="auto"/>
              </w:rPr>
              <w:t>1</w:t>
            </w:r>
            <w:r>
              <w:rPr>
                <w:rStyle w:val="72"/>
                <w:rFonts w:hint="default" w:ascii="Times New Roman" w:hAnsi="Times New Roman" w:eastAsia="仿宋_GB2312" w:cs="Times New Roman"/>
                <w:bCs/>
                <w:color w:val="auto"/>
              </w:rPr>
              <w:t>座（</w:t>
            </w:r>
            <w:r>
              <w:rPr>
                <w:rStyle w:val="78"/>
                <w:rFonts w:eastAsia="仿宋_GB2312"/>
                <w:bCs/>
                <w:color w:val="auto"/>
              </w:rPr>
              <w:t>13.5</w:t>
            </w:r>
            <w:r>
              <w:rPr>
                <w:rStyle w:val="72"/>
                <w:rFonts w:hint="default" w:ascii="Times New Roman" w:hAnsi="Times New Roman" w:eastAsia="仿宋_GB2312" w:cs="Times New Roman"/>
                <w:bCs/>
                <w:color w:val="auto"/>
              </w:rPr>
              <w:t>米），抢险道路</w:t>
            </w:r>
            <w:r>
              <w:rPr>
                <w:rStyle w:val="78"/>
                <w:rFonts w:eastAsia="仿宋_GB2312"/>
                <w:bCs/>
                <w:color w:val="auto"/>
              </w:rPr>
              <w:t>4.162</w:t>
            </w:r>
            <w:r>
              <w:rPr>
                <w:rStyle w:val="72"/>
                <w:rFonts w:hint="default" w:ascii="Times New Roman" w:hAnsi="Times New Roman" w:eastAsia="仿宋_GB2312" w:cs="Times New Roman"/>
                <w:bCs/>
                <w:color w:val="auto"/>
              </w:rPr>
              <w:t>公里。</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22897.21</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2017-2020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柳城县长兴农业投资公司</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公共基础设施建设后，给居民带来美好的生活环境。</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完成主体工程建设。</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8</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柳城县里明河湾防汛护岸工程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新建护岸长度</w:t>
            </w:r>
            <w:r>
              <w:rPr>
                <w:rStyle w:val="78"/>
                <w:rFonts w:eastAsia="仿宋_GB2312"/>
                <w:bCs/>
                <w:color w:val="auto"/>
              </w:rPr>
              <w:t>1555</w:t>
            </w:r>
            <w:r>
              <w:rPr>
                <w:rStyle w:val="72"/>
                <w:rFonts w:hint="default" w:ascii="Times New Roman" w:hAnsi="Times New Roman" w:eastAsia="仿宋_GB2312" w:cs="Times New Roman"/>
                <w:bCs/>
                <w:color w:val="auto"/>
              </w:rPr>
              <w:t>米，防洪抢险道路</w:t>
            </w:r>
            <w:r>
              <w:rPr>
                <w:rStyle w:val="78"/>
                <w:rFonts w:eastAsia="仿宋_GB2312"/>
                <w:bCs/>
                <w:color w:val="auto"/>
              </w:rPr>
              <w:t>1867</w:t>
            </w:r>
            <w:r>
              <w:rPr>
                <w:rStyle w:val="72"/>
                <w:rFonts w:hint="default" w:ascii="Times New Roman" w:hAnsi="Times New Roman" w:eastAsia="仿宋_GB2312" w:cs="Times New Roman"/>
                <w:bCs/>
                <w:color w:val="auto"/>
              </w:rPr>
              <w:t>米及相关配套设施，形成</w:t>
            </w:r>
            <w:r>
              <w:rPr>
                <w:rStyle w:val="78"/>
                <w:rFonts w:eastAsia="仿宋_GB2312"/>
                <w:bCs/>
                <w:color w:val="auto"/>
              </w:rPr>
              <w:t>12.77</w:t>
            </w:r>
            <w:r>
              <w:rPr>
                <w:rStyle w:val="72"/>
                <w:rFonts w:hint="default" w:ascii="Times New Roman" w:hAnsi="Times New Roman" w:eastAsia="仿宋_GB2312" w:cs="Times New Roman"/>
                <w:bCs/>
                <w:color w:val="auto"/>
              </w:rPr>
              <w:t>万平方米洪水期避洪停泊区域。</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14138</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柳城县长兴水利投资公司、柳城县政府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公共基础设施建设后，给居民带来美好的生活环境。</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主体建设。</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公园绿地建设</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洋紫荆公园</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公园占地面积</w:t>
            </w:r>
            <w:r>
              <w:rPr>
                <w:rStyle w:val="78"/>
                <w:rFonts w:eastAsia="仿宋_GB2312"/>
                <w:bCs/>
                <w:color w:val="auto"/>
              </w:rPr>
              <w:t>750</w:t>
            </w:r>
            <w:r>
              <w:rPr>
                <w:rStyle w:val="72"/>
                <w:rFonts w:hint="default" w:ascii="Times New Roman" w:hAnsi="Times New Roman" w:eastAsia="仿宋_GB2312" w:cs="Times New Roman"/>
                <w:bCs/>
                <w:color w:val="auto"/>
              </w:rPr>
              <w:t>亩，建设公园、绿地及配套设施。</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93000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市城建集团、市林业和园林局、城中区政府。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项目实施后，加强公园绿地面积。</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完成工程量的</w:t>
            </w:r>
            <w:r>
              <w:rPr>
                <w:rStyle w:val="78"/>
                <w:rFonts w:eastAsia="仿宋_GB2312"/>
                <w:bCs/>
                <w:color w:val="auto"/>
              </w:rPr>
              <w:t>30%</w:t>
            </w:r>
            <w:r>
              <w:rPr>
                <w:rStyle w:val="72"/>
                <w:rFonts w:hint="default" w:ascii="Times New Roman" w:hAnsi="Times New Roman" w:eastAsia="仿宋_GB2312" w:cs="Times New Roman"/>
                <w:bCs/>
                <w:color w:val="auto"/>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康和公园</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建设占地面积</w:t>
            </w:r>
            <w:r>
              <w:rPr>
                <w:rStyle w:val="78"/>
                <w:rFonts w:eastAsia="仿宋_GB2312"/>
                <w:bCs/>
                <w:color w:val="auto"/>
              </w:rPr>
              <w:t>66</w:t>
            </w:r>
            <w:r>
              <w:rPr>
                <w:rStyle w:val="72"/>
                <w:rFonts w:hint="default" w:ascii="Times New Roman" w:hAnsi="Times New Roman" w:eastAsia="仿宋_GB2312" w:cs="Times New Roman"/>
                <w:bCs/>
                <w:color w:val="auto"/>
              </w:rPr>
              <w:t>亩，建设公园、绿地及配套设施。</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18229</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市轨道集团、市林业和园林局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项目实施后，加强公园绿地面积。</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三门江公园保护提升工程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建设内容包括三门江森林公园地下停车场、莲花山景区道路工程（一期）等。公园总用地</w:t>
            </w:r>
            <w:r>
              <w:rPr>
                <w:rStyle w:val="78"/>
                <w:rFonts w:eastAsia="仿宋_GB2312"/>
                <w:bCs/>
                <w:color w:val="auto"/>
              </w:rPr>
              <w:t>1200</w:t>
            </w:r>
            <w:r>
              <w:rPr>
                <w:rStyle w:val="72"/>
                <w:rFonts w:hint="default" w:ascii="Times New Roman" w:hAnsi="Times New Roman" w:eastAsia="仿宋_GB2312" w:cs="Times New Roman"/>
                <w:bCs/>
                <w:color w:val="auto"/>
              </w:rPr>
              <w:t>公顷，总建筑面积</w:t>
            </w:r>
            <w:r>
              <w:rPr>
                <w:rStyle w:val="78"/>
                <w:rFonts w:eastAsia="仿宋_GB2312"/>
                <w:bCs/>
                <w:color w:val="auto"/>
              </w:rPr>
              <w:t>6.5</w:t>
            </w:r>
            <w:r>
              <w:rPr>
                <w:rStyle w:val="72"/>
                <w:rFonts w:hint="default" w:ascii="Times New Roman" w:hAnsi="Times New Roman" w:eastAsia="仿宋_GB2312" w:cs="Times New Roman"/>
                <w:bCs/>
                <w:color w:val="auto"/>
              </w:rPr>
              <w:t>万平方米，其中约</w:t>
            </w:r>
            <w:r>
              <w:rPr>
                <w:rStyle w:val="78"/>
                <w:rFonts w:eastAsia="仿宋_GB2312"/>
                <w:bCs/>
                <w:color w:val="auto"/>
              </w:rPr>
              <w:t>3</w:t>
            </w:r>
            <w:r>
              <w:rPr>
                <w:rStyle w:val="72"/>
                <w:rFonts w:hint="default" w:ascii="Times New Roman" w:hAnsi="Times New Roman" w:eastAsia="仿宋_GB2312" w:cs="Times New Roman"/>
                <w:bCs/>
                <w:color w:val="auto"/>
              </w:rPr>
              <w:t>万平方米原有建筑。</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400000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市城建集团、市路桥处、市林业和园林局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项目实施后，加强公园绿地面积。</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完成一期工程零星工程及</w:t>
            </w:r>
            <w:r>
              <w:rPr>
                <w:rStyle w:val="80"/>
                <w:rFonts w:eastAsia="仿宋_GB2312"/>
                <w:bCs/>
                <w:color w:val="auto"/>
              </w:rPr>
              <w:t>100</w:t>
            </w:r>
            <w:r>
              <w:rPr>
                <w:rStyle w:val="69"/>
                <w:rFonts w:hint="default" w:ascii="Times New Roman" w:hAnsi="Times New Roman" w:eastAsia="仿宋_GB2312" w:cs="Times New Roman"/>
                <w:bCs/>
                <w:color w:val="auto"/>
              </w:rPr>
              <w:t>亩土地征收。</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宜居大道（一期）景观提升工程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总用地面积</w:t>
            </w:r>
            <w:r>
              <w:rPr>
                <w:rStyle w:val="78"/>
                <w:rFonts w:eastAsia="仿宋_GB2312"/>
                <w:bCs/>
                <w:color w:val="auto"/>
              </w:rPr>
              <w:t>124743.36</w:t>
            </w:r>
            <w:r>
              <w:rPr>
                <w:rStyle w:val="72"/>
                <w:rFonts w:hint="default" w:ascii="Times New Roman" w:hAnsi="Times New Roman" w:eastAsia="仿宋_GB2312" w:cs="Times New Roman"/>
                <w:bCs/>
                <w:color w:val="auto"/>
              </w:rPr>
              <w:t>㎡，其中绿化面积</w:t>
            </w:r>
            <w:r>
              <w:rPr>
                <w:rStyle w:val="78"/>
                <w:rFonts w:eastAsia="仿宋_GB2312"/>
                <w:bCs/>
                <w:color w:val="auto"/>
              </w:rPr>
              <w:t>115287.36</w:t>
            </w:r>
            <w:r>
              <w:rPr>
                <w:rStyle w:val="72"/>
                <w:rFonts w:hint="default" w:ascii="Times New Roman" w:hAnsi="Times New Roman" w:eastAsia="仿宋_GB2312" w:cs="Times New Roman"/>
                <w:bCs/>
                <w:color w:val="auto"/>
              </w:rPr>
              <w:t>㎡、道路及铺装面积</w:t>
            </w:r>
            <w:r>
              <w:rPr>
                <w:rStyle w:val="78"/>
                <w:rFonts w:eastAsia="仿宋_GB2312"/>
                <w:bCs/>
                <w:color w:val="auto"/>
              </w:rPr>
              <w:t>8720.00</w:t>
            </w:r>
            <w:r>
              <w:rPr>
                <w:rStyle w:val="72"/>
                <w:rFonts w:hint="default" w:ascii="Times New Roman" w:hAnsi="Times New Roman" w:eastAsia="仿宋_GB2312" w:cs="Times New Roman"/>
                <w:bCs/>
                <w:color w:val="auto"/>
              </w:rPr>
              <w:t>㎡、建筑及构筑物面积</w:t>
            </w:r>
            <w:r>
              <w:rPr>
                <w:rStyle w:val="78"/>
                <w:rFonts w:eastAsia="仿宋_GB2312"/>
                <w:bCs/>
                <w:color w:val="auto"/>
              </w:rPr>
              <w:t>736.00</w:t>
            </w:r>
            <w:r>
              <w:rPr>
                <w:rStyle w:val="72"/>
                <w:rFonts w:hint="default" w:ascii="Times New Roman" w:hAnsi="Times New Roman" w:eastAsia="仿宋_GB2312" w:cs="Times New Roman"/>
                <w:bCs/>
                <w:color w:val="auto"/>
              </w:rPr>
              <w:t>㎡。主要建设内容：建筑工程、绿化景观工程、小品及休闲设施、市政配套工程、拆除工程及其他配套附属设施等。</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23615</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市北城集团、市林业和园林局、北部生态新区管委会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w:t>
            </w:r>
            <w:r>
              <w:rPr>
                <w:rFonts w:hint="eastAsia" w:eastAsia="仿宋_GB2312" w:cs="Times New Roman"/>
                <w:bCs/>
                <w:kern w:val="0"/>
                <w:sz w:val="24"/>
                <w:szCs w:val="24"/>
              </w:rPr>
              <w:t>增加城市绿化面积</w:t>
            </w:r>
            <w:r>
              <w:rPr>
                <w:rFonts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北进路中段（古灵大道至三合大道）景观提升工程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建设内容包括土方平整、景观绿化工程、景观步道及铺装、其它附属设施等。</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13167</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市北城集团、市林业和园林局、北部生态新区管委会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w:t>
            </w:r>
            <w:r>
              <w:rPr>
                <w:rFonts w:hint="eastAsia" w:eastAsia="仿宋_GB2312" w:cs="Times New Roman"/>
                <w:bCs/>
                <w:kern w:val="0"/>
                <w:sz w:val="24"/>
                <w:szCs w:val="24"/>
              </w:rPr>
              <w:t>增加城市绿化面积</w:t>
            </w:r>
            <w:r>
              <w:rPr>
                <w:rFonts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基础施工。</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6</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柳东新区公共绿地一期景观工程（原城建计划里柳东新区绿化景观走廊二期（道路红线外））</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东环城大道等</w:t>
            </w:r>
            <w:r>
              <w:rPr>
                <w:rStyle w:val="78"/>
                <w:rFonts w:eastAsia="仿宋_GB2312"/>
                <w:bCs/>
                <w:color w:val="auto"/>
              </w:rPr>
              <w:t>21</w:t>
            </w:r>
            <w:r>
              <w:rPr>
                <w:rStyle w:val="72"/>
                <w:rFonts w:hint="default" w:ascii="Times New Roman" w:hAnsi="Times New Roman" w:eastAsia="仿宋_GB2312" w:cs="Times New Roman"/>
                <w:bCs/>
                <w:color w:val="auto"/>
              </w:rPr>
              <w:t>条道路道外公共绿地绿化工程。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129403</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市东城集团、市林业和园林局、柳东新区管委会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w:t>
            </w:r>
            <w:r>
              <w:rPr>
                <w:rFonts w:hint="eastAsia" w:eastAsia="仿宋_GB2312" w:cs="Times New Roman"/>
                <w:bCs/>
                <w:kern w:val="0"/>
                <w:sz w:val="24"/>
                <w:szCs w:val="24"/>
              </w:rPr>
              <w:t>增加城市绿化面积</w:t>
            </w:r>
            <w:r>
              <w:rPr>
                <w:rFonts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完成东环城大道、会展南路、曙光大道公共绿地。</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7</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文庙广场及驾鹤小桃源扩建工程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改造前小桃园面积约</w:t>
            </w:r>
            <w:r>
              <w:rPr>
                <w:rStyle w:val="78"/>
                <w:rFonts w:eastAsia="仿宋_GB2312"/>
                <w:bCs/>
                <w:color w:val="auto"/>
              </w:rPr>
              <w:t>5.8</w:t>
            </w:r>
            <w:r>
              <w:rPr>
                <w:rStyle w:val="72"/>
                <w:rFonts w:hint="default" w:ascii="Times New Roman" w:hAnsi="Times New Roman" w:eastAsia="仿宋_GB2312" w:cs="Times New Roman"/>
                <w:bCs/>
                <w:color w:val="auto"/>
              </w:rPr>
              <w:t>万平方米，改造后小桃园面积约</w:t>
            </w:r>
            <w:r>
              <w:rPr>
                <w:rStyle w:val="78"/>
                <w:rFonts w:eastAsia="仿宋_GB2312"/>
                <w:bCs/>
                <w:color w:val="auto"/>
              </w:rPr>
              <w:t>8.4</w:t>
            </w:r>
            <w:r>
              <w:rPr>
                <w:rStyle w:val="72"/>
                <w:rFonts w:hint="default" w:ascii="Times New Roman" w:hAnsi="Times New Roman" w:eastAsia="仿宋_GB2312" w:cs="Times New Roman"/>
                <w:bCs/>
                <w:color w:val="auto"/>
              </w:rPr>
              <w:t>万平方米，分两期实施。一期规划梳理出供电局及周边民房用地约</w:t>
            </w:r>
            <w:r>
              <w:rPr>
                <w:rStyle w:val="78"/>
                <w:rFonts w:eastAsia="仿宋_GB2312"/>
                <w:bCs/>
                <w:color w:val="auto"/>
              </w:rPr>
              <w:t>1.84</w:t>
            </w:r>
            <w:r>
              <w:rPr>
                <w:rStyle w:val="72"/>
                <w:rFonts w:hint="default" w:ascii="Times New Roman" w:hAnsi="Times New Roman" w:eastAsia="仿宋_GB2312" w:cs="Times New Roman"/>
                <w:bCs/>
                <w:color w:val="auto"/>
              </w:rPr>
              <w:t>万平方米，其中</w:t>
            </w:r>
            <w:r>
              <w:rPr>
                <w:rStyle w:val="78"/>
                <w:rFonts w:eastAsia="仿宋_GB2312"/>
                <w:bCs/>
                <w:color w:val="auto"/>
              </w:rPr>
              <w:t>0.36</w:t>
            </w:r>
            <w:r>
              <w:rPr>
                <w:rStyle w:val="72"/>
                <w:rFonts w:hint="default" w:ascii="Times New Roman" w:hAnsi="Times New Roman" w:eastAsia="仿宋_GB2312" w:cs="Times New Roman"/>
                <w:bCs/>
                <w:color w:val="auto"/>
              </w:rPr>
              <w:t>万平方米用于扩建文庙广场，</w:t>
            </w:r>
            <w:r>
              <w:rPr>
                <w:rStyle w:val="78"/>
                <w:rFonts w:eastAsia="仿宋_GB2312"/>
                <w:bCs/>
                <w:color w:val="auto"/>
              </w:rPr>
              <w:t>1.48</w:t>
            </w:r>
            <w:r>
              <w:rPr>
                <w:rStyle w:val="72"/>
                <w:rFonts w:hint="default" w:ascii="Times New Roman" w:hAnsi="Times New Roman" w:eastAsia="仿宋_GB2312" w:cs="Times New Roman"/>
                <w:bCs/>
                <w:color w:val="auto"/>
              </w:rPr>
              <w:t>万平方米用于扩建小桃园公园。</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18229</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20181-2020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市城建集团、市林业和园林局、市</w:t>
            </w:r>
            <w:r>
              <w:rPr>
                <w:rFonts w:hint="eastAsia" w:eastAsia="仿宋_GB2312" w:cs="Times New Roman"/>
                <w:bCs/>
                <w:kern w:val="0"/>
                <w:sz w:val="24"/>
                <w:szCs w:val="24"/>
              </w:rPr>
              <w:t>住房城乡建设局</w:t>
            </w:r>
            <w:r>
              <w:rPr>
                <w:rFonts w:eastAsia="仿宋_GB2312" w:cs="Times New Roman"/>
                <w:bCs/>
                <w:kern w:val="0"/>
                <w:sz w:val="24"/>
                <w:szCs w:val="24"/>
              </w:rPr>
              <w:t>、鱼峰区政府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项目实施后，</w:t>
            </w:r>
            <w:r>
              <w:rPr>
                <w:rFonts w:hint="eastAsia" w:eastAsia="仿宋_GB2312" w:cs="Times New Roman"/>
                <w:bCs/>
                <w:kern w:val="0"/>
                <w:sz w:val="24"/>
                <w:szCs w:val="24"/>
              </w:rPr>
              <w:t>增加城市绿化面积</w:t>
            </w:r>
            <w:r>
              <w:rPr>
                <w:rFonts w:eastAsia="仿宋_GB2312" w:cs="Times New Roman"/>
                <w:bCs/>
                <w:kern w:val="0"/>
                <w:sz w:val="24"/>
                <w:szCs w:val="24"/>
              </w:rPr>
              <w:t>。</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完成建安工程量</w:t>
            </w:r>
            <w:r>
              <w:rPr>
                <w:rStyle w:val="80"/>
                <w:rFonts w:eastAsia="仿宋_GB2312"/>
                <w:bCs/>
                <w:color w:val="auto"/>
              </w:rPr>
              <w:t>60%</w:t>
            </w:r>
            <w:r>
              <w:rPr>
                <w:rStyle w:val="69"/>
                <w:rFonts w:hint="default" w:ascii="Times New Roman" w:hAnsi="Times New Roman" w:eastAsia="仿宋_GB2312" w:cs="Times New Roman"/>
                <w:bCs/>
                <w:color w:val="auto"/>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人居环境建设</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农村环境综合整治工程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根据2019年印发《柳城县农村人居环境整治村庄清洁行动方案》，实施农村环境综合整治工程，加强对已建成农村环境基础设施运行管理。</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500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2019-2022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柳城县人民政府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农村生活垃圾、村内塘沟、畜禽养殖粪污等农业生产废弃物得到有效处理，农村人居环境得到有效改善。</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正在进行规划设计工作。资金来源：地方自筹及争取上级补助资金。</w:t>
            </w:r>
          </w:p>
        </w:tc>
        <w:tc>
          <w:tcPr>
            <w:tcW w:w="1589" w:type="dxa"/>
            <w:tcMar>
              <w:top w:w="28" w:type="dxa"/>
              <w:left w:w="57" w:type="dxa"/>
              <w:bottom w:w="28" w:type="dxa"/>
              <w:right w:w="57" w:type="dxa"/>
            </w:tcMar>
            <w:vAlign w:val="center"/>
          </w:tcPr>
          <w:p>
            <w:pPr>
              <w:ind w:firstLine="480"/>
              <w:rPr>
                <w:rFonts w:eastAsia="仿宋_GB2312" w:cs="Times New Roman"/>
                <w:bCs/>
                <w:kern w:val="0"/>
                <w:sz w:val="24"/>
                <w:szCs w:val="24"/>
              </w:rPr>
            </w:pPr>
          </w:p>
        </w:tc>
        <w:tc>
          <w:tcPr>
            <w:tcW w:w="1040" w:type="dxa"/>
            <w:tcMar>
              <w:top w:w="28" w:type="dxa"/>
              <w:left w:w="57" w:type="dxa"/>
              <w:bottom w:w="28" w:type="dxa"/>
              <w:right w:w="57" w:type="dxa"/>
            </w:tcMar>
            <w:vAlign w:val="center"/>
          </w:tcPr>
          <w:p>
            <w:pPr>
              <w:ind w:firstLine="480"/>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柳江区</w:t>
            </w:r>
            <w:r>
              <w:rPr>
                <w:rStyle w:val="78"/>
                <w:rFonts w:eastAsia="仿宋_GB2312"/>
                <w:bCs/>
                <w:color w:val="auto"/>
              </w:rPr>
              <w:t>“</w:t>
            </w:r>
            <w:r>
              <w:rPr>
                <w:rStyle w:val="72"/>
                <w:rFonts w:hint="default" w:ascii="Times New Roman" w:hAnsi="Times New Roman" w:eastAsia="仿宋_GB2312" w:cs="Times New Roman"/>
                <w:bCs/>
                <w:color w:val="auto"/>
              </w:rPr>
              <w:t>乡约</w:t>
            </w:r>
            <w:r>
              <w:rPr>
                <w:rStyle w:val="78"/>
                <w:rFonts w:eastAsia="仿宋_GB2312"/>
                <w:bCs/>
                <w:color w:val="auto"/>
              </w:rPr>
              <w:t>·</w:t>
            </w:r>
            <w:r>
              <w:rPr>
                <w:rStyle w:val="72"/>
                <w:rFonts w:hint="default" w:ascii="Times New Roman" w:hAnsi="Times New Roman" w:eastAsia="仿宋_GB2312" w:cs="Times New Roman"/>
                <w:bCs/>
                <w:color w:val="auto"/>
              </w:rPr>
              <w:t>藕遇</w:t>
            </w:r>
            <w:r>
              <w:rPr>
                <w:rStyle w:val="78"/>
                <w:rFonts w:eastAsia="仿宋_GB2312"/>
                <w:bCs/>
                <w:color w:val="auto"/>
              </w:rPr>
              <w:t>”</w:t>
            </w:r>
            <w:r>
              <w:rPr>
                <w:rStyle w:val="72"/>
                <w:rFonts w:hint="default" w:ascii="Times New Roman" w:hAnsi="Times New Roman" w:eastAsia="仿宋_GB2312" w:cs="Times New Roman"/>
                <w:bCs/>
                <w:color w:val="auto"/>
              </w:rPr>
              <w:t>美丽乡村建设项目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涉及建房屯、可丘屯、石达屯、勉达屯、怀洪屯、良水屯、戈茶屯、矮山屯、北弄屯、下伦屯、良泗屯、坡照屯、上龙屯、沙角屯</w:t>
            </w:r>
            <w:r>
              <w:rPr>
                <w:rStyle w:val="78"/>
                <w:rFonts w:eastAsia="仿宋_GB2312"/>
                <w:bCs/>
                <w:color w:val="auto"/>
              </w:rPr>
              <w:t>14</w:t>
            </w:r>
            <w:r>
              <w:rPr>
                <w:rStyle w:val="72"/>
                <w:rFonts w:hint="default" w:ascii="Times New Roman" w:hAnsi="Times New Roman" w:eastAsia="仿宋_GB2312" w:cs="Times New Roman"/>
                <w:bCs/>
                <w:color w:val="auto"/>
              </w:rPr>
              <w:t>个屯，项目分三期实施。</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20410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2015-2020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柳江区乡村办、柳江区政府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项目实施，美化绿化居民生活环境，有利提高居民生活环境质量。</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建设乡土特色村屯、修建休闲骑行绿道（二期）。</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白沙城中村安置房项目</w:t>
            </w:r>
            <w:r>
              <w:rPr>
                <w:rStyle w:val="78"/>
                <w:rFonts w:eastAsia="仿宋_GB2312"/>
                <w:bCs/>
                <w:color w:val="auto"/>
              </w:rPr>
              <w:t>-</w:t>
            </w:r>
            <w:r>
              <w:rPr>
                <w:rStyle w:val="72"/>
                <w:rFonts w:hint="default" w:ascii="Times New Roman" w:hAnsi="Times New Roman" w:eastAsia="仿宋_GB2312" w:cs="Times New Roman"/>
                <w:bCs/>
                <w:color w:val="auto"/>
              </w:rPr>
              <w:t>君汇濠庭</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总建筑面积约</w:t>
            </w:r>
            <w:r>
              <w:rPr>
                <w:rStyle w:val="78"/>
                <w:rFonts w:eastAsia="仿宋_GB2312"/>
                <w:bCs/>
                <w:color w:val="auto"/>
              </w:rPr>
              <w:t>7</w:t>
            </w:r>
            <w:r>
              <w:rPr>
                <w:rStyle w:val="72"/>
                <w:rFonts w:hint="default" w:ascii="Times New Roman" w:hAnsi="Times New Roman" w:eastAsia="仿宋_GB2312" w:cs="Times New Roman"/>
                <w:bCs/>
                <w:color w:val="auto"/>
              </w:rPr>
              <w:t>万平方米，建设商贸、休闲和住宅于一体的亲水城市综合体</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柳州市濠庭投资置业有限公司、柳北区政府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美化绿化居民生活环境，有利提高居民生活环境质量。</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全国特色小镇（中渡镇）建设项目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利用</w:t>
            </w:r>
            <w:r>
              <w:rPr>
                <w:rStyle w:val="78"/>
                <w:rFonts w:eastAsia="仿宋_GB2312"/>
                <w:bCs/>
                <w:color w:val="auto"/>
              </w:rPr>
              <w:t>PPP</w:t>
            </w:r>
            <w:r>
              <w:rPr>
                <w:rStyle w:val="72"/>
                <w:rFonts w:hint="default" w:ascii="Times New Roman" w:hAnsi="Times New Roman" w:eastAsia="仿宋_GB2312" w:cs="Times New Roman"/>
                <w:bCs/>
                <w:color w:val="auto"/>
              </w:rPr>
              <w:t>模式引进社会资本投资，按照特色小镇建设要求，主要以基础设施、配套功能和提升特色风貌改造为重点建设内容。</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250000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2017-2020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鹿寨县住房和城乡建设局、鹿寨县政府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项目实施，美化绿化居民生活环境，有利提高居民生活环境质量。</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开展香桥风景旅游区建设工作；完善配套建设基础设施。</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w:t>
            </w:r>
            <w:r>
              <w:rPr>
                <w:rStyle w:val="62"/>
                <w:rFonts w:hint="default" w:ascii="Times New Roman" w:hAnsi="Times New Roman" w:eastAsia="仿宋_GB2312" w:cs="Times New Roman"/>
                <w:bCs/>
                <w:color w:val="auto"/>
              </w:rPr>
              <w:t>八</w:t>
            </w:r>
            <w:r>
              <w:rPr>
                <w:rStyle w:val="73"/>
                <w:rFonts w:hint="default" w:ascii="Times New Roman" w:hAnsi="Times New Roman" w:eastAsia="仿宋_GB2312" w:cs="Times New Roman"/>
                <w:bCs/>
                <w:color w:val="auto"/>
              </w:rPr>
              <w:t>)</w:t>
            </w:r>
            <w:r>
              <w:rPr>
                <w:rStyle w:val="62"/>
                <w:rFonts w:hint="default" w:ascii="Times New Roman" w:hAnsi="Times New Roman" w:eastAsia="仿宋_GB2312" w:cs="Times New Roman"/>
                <w:bCs/>
                <w:color w:val="auto"/>
              </w:rPr>
              <w:t>生活方式绿色化</w:t>
            </w: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绿色生活</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绿色建筑建设与推广项目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扶持绿色建筑项目建设。</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12000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市机关事务管理局、市住房城乡建设局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hint="eastAsia" w:eastAsia="仿宋_GB2312" w:cs="Times New Roman"/>
                <w:bCs/>
                <w:kern w:val="0"/>
                <w:sz w:val="24"/>
                <w:szCs w:val="24"/>
              </w:rPr>
              <w:t>促进</w:t>
            </w:r>
            <w:r>
              <w:rPr>
                <w:rFonts w:eastAsia="仿宋_GB2312" w:cs="Times New Roman"/>
                <w:bCs/>
                <w:kern w:val="0"/>
                <w:sz w:val="24"/>
                <w:szCs w:val="24"/>
              </w:rPr>
              <w:t>节能降耗，有利提高居民生活环境质量。</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2016年已开展相关工作，续建</w:t>
            </w:r>
            <w:r>
              <w:rPr>
                <w:rFonts w:hint="eastAsia" w:eastAsia="仿宋_GB2312" w:cs="Times New Roman"/>
                <w:bCs/>
                <w:kern w:val="0"/>
                <w:sz w:val="24"/>
                <w:szCs w:val="24"/>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96" w:hRule="atLeast"/>
        </w:trPr>
        <w:tc>
          <w:tcPr>
            <w:tcW w:w="708"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既有建筑节能改造项目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在中心城区及各区县县城开展大型公共建筑和公共机构办公建筑空调、通风、照明、热水等用能系统的节能改造</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1700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市机关事务管理局、市住房城乡建设局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项目实施，节能降耗，有利提高居民生活环境质量。</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2016年已开展相关工作，续建</w:t>
            </w:r>
            <w:r>
              <w:rPr>
                <w:rFonts w:hint="eastAsia" w:eastAsia="仿宋_GB2312" w:cs="Times New Roman"/>
                <w:bCs/>
                <w:kern w:val="0"/>
                <w:sz w:val="24"/>
                <w:szCs w:val="24"/>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绿色建筑建设</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柳江区新建居住建筑实施低能耗居住建筑节能标准。</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2015-2022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柳江区住房和城乡建设局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hint="eastAsia" w:eastAsia="仿宋_GB2312" w:cs="Times New Roman"/>
                <w:bCs/>
                <w:kern w:val="0"/>
                <w:sz w:val="24"/>
                <w:szCs w:val="24"/>
              </w:rPr>
              <w:t>促进</w:t>
            </w:r>
            <w:r>
              <w:rPr>
                <w:rFonts w:eastAsia="仿宋_GB2312" w:cs="Times New Roman"/>
                <w:bCs/>
                <w:kern w:val="0"/>
                <w:sz w:val="24"/>
                <w:szCs w:val="24"/>
              </w:rPr>
              <w:t>节能降耗，有利提高居民生活环境质量。</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2015年已开展相关工作，续建</w:t>
            </w:r>
            <w:r>
              <w:rPr>
                <w:rFonts w:hint="eastAsia" w:eastAsia="仿宋_GB2312" w:cs="Times New Roman"/>
                <w:bCs/>
                <w:kern w:val="0"/>
                <w:sz w:val="24"/>
                <w:szCs w:val="24"/>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智慧交通项目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建设利用信息技术、物联网技术、数据通讯传输技术以及控制等集成用于陆地、水面、航空等大交通管理系统</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13300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交警支队、市交通运输局等</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项目实施，完善公交设施，方便居民绿色出行。</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城市公共交通优化项目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柳江区在城区居住小区、学校、商场、办公场所等合理布置公共自行车服务网点。</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1500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2017-2022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柳江区交通运输局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项目实施，完善公交设施，方便居民绿色出行。</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2017年已开展相关工作，续建</w:t>
            </w:r>
            <w:r>
              <w:rPr>
                <w:rFonts w:hint="eastAsia" w:eastAsia="仿宋_GB2312" w:cs="Times New Roman"/>
                <w:bCs/>
                <w:kern w:val="0"/>
                <w:sz w:val="24"/>
                <w:szCs w:val="24"/>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6</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节能、节水器具推广</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柳江区加强节能、节水器具的宣传和推广，开展节能、节水器具普及率统计。</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500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2017-2022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柳江区商务局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hint="eastAsia" w:eastAsia="仿宋_GB2312" w:cs="Times New Roman"/>
                <w:bCs/>
                <w:kern w:val="0"/>
                <w:sz w:val="24"/>
                <w:szCs w:val="24"/>
              </w:rPr>
              <w:t>促进</w:t>
            </w:r>
            <w:r>
              <w:rPr>
                <w:rFonts w:eastAsia="仿宋_GB2312" w:cs="Times New Roman"/>
                <w:bCs/>
                <w:kern w:val="0"/>
                <w:sz w:val="24"/>
                <w:szCs w:val="24"/>
              </w:rPr>
              <w:t>节能降耗，有利提高居民生活环境质量。</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2017年已开展相关工作，续建</w:t>
            </w:r>
            <w:r>
              <w:rPr>
                <w:rFonts w:hint="eastAsia" w:eastAsia="仿宋_GB2312" w:cs="Times New Roman"/>
                <w:bCs/>
                <w:kern w:val="0"/>
                <w:sz w:val="24"/>
                <w:szCs w:val="24"/>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智慧城市建设</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智能电网产业园（一期）</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以建设智慧城市为契机，开展从发、变、输、配、用、检测等电网各个环节智能设备制造及信息通信平台建设。</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700000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南方电网、市工业和信息化局、北部生态新区管委会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完善公交设施及信息通信平台建设，提高城市品位。</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京东大数据中心</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建设不小于 2000 机柜规模的云计算大数据中心，在云计算、大数据、电商等领域与柳州市开展多方位合作，形成“一总部、三中心”</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市京东集团</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项目实施，建立完善信息平台，有利提高居民生活质量。</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智慧柳东项目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大基础：云数据中心、视频会议系统；大支撑：时空信息云平台、视频共享平台；大数据：采集、融合、挖掘大数据平台、大数据专题应用；大门户：运营智慧中心、便民APP；多维应用：智慧应急、智慧安监、智慧城管、智慧交通、雪亮工程、网格化管理、互联网+政务服务</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48100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2020-2022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市东城集团</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项目实施，建立完善信息平台，有利提高居民生活质量。</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柳东新区科技大厦（大数据中心）</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总建筑面积40000平方米，地面建筑面积30000平方米，地下建筑面积10000平方米</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26700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2020-2022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市东城集团</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建立完善信息平台，有利提高居民生活质量。</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柳东新区柳州联通通信核心枢纽局项目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总建筑面积约14600平方米 其中，第一期建筑面积约5000平方米，建设1栋4层核心枢纽楼；第二期建筑面积约9600平方米，建设1栋6层IDC集成中心机房和网络优化研发中心</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47500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2020-2022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中国联通柳州分公司</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项目实施，建立完善信息平台，有利提高居民生活质量。</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预计能在规划期内完成。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sz w:val="24"/>
                <w:szCs w:val="24"/>
              </w:rPr>
              <w:t>6</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柳州市大数据产业园一期工程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总用地面积</w:t>
            </w:r>
            <w:r>
              <w:rPr>
                <w:rStyle w:val="78"/>
                <w:rFonts w:hint="eastAsia" w:eastAsia="仿宋_GB2312"/>
                <w:bCs/>
                <w:color w:val="auto"/>
              </w:rPr>
              <w:t>约</w:t>
            </w:r>
            <w:r>
              <w:rPr>
                <w:rStyle w:val="78"/>
                <w:rFonts w:eastAsia="仿宋_GB2312"/>
                <w:bCs/>
                <w:color w:val="auto"/>
              </w:rPr>
              <w:t>180619</w:t>
            </w:r>
            <w:r>
              <w:rPr>
                <w:rStyle w:val="72"/>
                <w:rFonts w:hint="default" w:ascii="Times New Roman" w:hAnsi="Times New Roman" w:eastAsia="仿宋_GB2312" w:cs="Times New Roman"/>
                <w:bCs/>
                <w:color w:val="auto"/>
              </w:rPr>
              <w:t>平方米，其中一期为东侧两地块约</w:t>
            </w:r>
            <w:r>
              <w:rPr>
                <w:rStyle w:val="78"/>
                <w:rFonts w:eastAsia="仿宋_GB2312"/>
                <w:bCs/>
                <w:color w:val="auto"/>
              </w:rPr>
              <w:t>124</w:t>
            </w:r>
            <w:r>
              <w:rPr>
                <w:rStyle w:val="72"/>
                <w:rFonts w:hint="default" w:ascii="Times New Roman" w:hAnsi="Times New Roman" w:eastAsia="仿宋_GB2312" w:cs="Times New Roman"/>
                <w:bCs/>
                <w:color w:val="auto"/>
              </w:rPr>
              <w:t>亩，总建筑面积约</w:t>
            </w:r>
            <w:r>
              <w:rPr>
                <w:rStyle w:val="78"/>
                <w:rFonts w:eastAsia="仿宋_GB2312"/>
                <w:bCs/>
                <w:color w:val="auto"/>
              </w:rPr>
              <w:t>13</w:t>
            </w:r>
            <w:r>
              <w:rPr>
                <w:rStyle w:val="72"/>
                <w:rFonts w:hint="default" w:ascii="Times New Roman" w:hAnsi="Times New Roman" w:eastAsia="仿宋_GB2312" w:cs="Times New Roman"/>
                <w:bCs/>
                <w:color w:val="auto"/>
              </w:rPr>
              <w:t>万平方米，包括数据中心基地；体验展示中心；大数据应用研发中心；创新型产业孵化办公用楼。</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98504</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市北城集团、北部生态新区管委会、柳北区政府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项目实施，完善公交设施及信息通信平台建设，提高城市品位。</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基础建设，主体建设。</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283" w:type="dxa"/>
            <w:gridSpan w:val="5"/>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五、生态制度体系建设工程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135.8</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项目数（个）</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455"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c>
          <w:tcPr>
            <w:tcW w:w="1139"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7" w:type="dxa"/>
            <w:gridSpan w:val="2"/>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（九）制度与保障机制完善</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柳州市</w:t>
            </w:r>
            <w:r>
              <w:rPr>
                <w:rFonts w:eastAsia="仿宋_GB2312" w:cs="Times New Roman"/>
                <w:bCs/>
                <w:kern w:val="0"/>
                <w:sz w:val="24"/>
                <w:szCs w:val="24"/>
              </w:rPr>
              <w:t>国家生态文明建设</w:t>
            </w:r>
            <w:r>
              <w:rPr>
                <w:rFonts w:hint="eastAsia" w:eastAsia="仿宋_GB2312" w:cs="Times New Roman"/>
                <w:bCs/>
                <w:kern w:val="0"/>
                <w:sz w:val="24"/>
                <w:szCs w:val="24"/>
              </w:rPr>
              <w:t>示范市</w:t>
            </w:r>
            <w:r>
              <w:rPr>
                <w:rFonts w:eastAsia="仿宋_GB2312" w:cs="Times New Roman"/>
                <w:bCs/>
                <w:kern w:val="0"/>
                <w:sz w:val="24"/>
                <w:szCs w:val="24"/>
              </w:rPr>
              <w:t>规划</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编制柳州市国家生态文明建设示范市规划</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2018-2019</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w:t>
            </w:r>
            <w:r>
              <w:rPr>
                <w:rStyle w:val="69"/>
                <w:rFonts w:hint="default" w:ascii="Times New Roman" w:hAnsi="Times New Roman" w:eastAsia="仿宋_GB2312" w:cs="Times New Roman"/>
                <w:bCs/>
                <w:color w:val="auto"/>
              </w:rPr>
              <w:t>生态环境</w:t>
            </w:r>
            <w:r>
              <w:rPr>
                <w:rStyle w:val="72"/>
                <w:rFonts w:hint="default" w:ascii="Times New Roman" w:hAnsi="Times New Roman" w:eastAsia="仿宋_GB2312" w:cs="Times New Roman"/>
                <w:bCs/>
                <w:color w:val="auto"/>
              </w:rPr>
              <w:t>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加快柳州市国家生态文明示范</w:t>
            </w:r>
            <w:r>
              <w:rPr>
                <w:rFonts w:hint="eastAsia" w:eastAsia="仿宋_GB2312" w:cs="Times New Roman"/>
                <w:bCs/>
                <w:kern w:val="0"/>
                <w:sz w:val="24"/>
                <w:szCs w:val="24"/>
              </w:rPr>
              <w:t>市</w:t>
            </w:r>
            <w:r>
              <w:rPr>
                <w:rFonts w:eastAsia="仿宋_GB2312" w:cs="Times New Roman"/>
                <w:bCs/>
                <w:kern w:val="0"/>
                <w:sz w:val="24"/>
                <w:szCs w:val="24"/>
              </w:rPr>
              <w:t>建设进程，</w:t>
            </w:r>
            <w:r>
              <w:rPr>
                <w:rFonts w:hint="eastAsia" w:eastAsia="仿宋_GB2312" w:cs="Times New Roman"/>
                <w:bCs/>
                <w:kern w:val="0"/>
                <w:sz w:val="24"/>
                <w:szCs w:val="24"/>
              </w:rPr>
              <w:t>促进</w:t>
            </w:r>
            <w:r>
              <w:rPr>
                <w:rFonts w:eastAsia="仿宋_GB2312" w:cs="Times New Roman"/>
                <w:bCs/>
                <w:kern w:val="0"/>
                <w:sz w:val="24"/>
                <w:szCs w:val="24"/>
              </w:rPr>
              <w:t>考核指标</w:t>
            </w:r>
            <w:r>
              <w:rPr>
                <w:rStyle w:val="71"/>
                <w:rFonts w:hint="default" w:ascii="Times New Roman" w:hAnsi="Times New Roman" w:eastAsia="仿宋_GB2312" w:cs="Times New Roman"/>
                <w:bCs/>
                <w:color w:val="auto"/>
              </w:rPr>
              <w:t>达标。</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该项目正在开展，预计规划时间内能完成。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7" w:type="dxa"/>
            <w:gridSpan w:val="2"/>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柳城县国家生态文明建设示范县规划</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编制柳城县国家生态文明建设示范县规划</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30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2018-2019</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柳城生态环境局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加快柳城县</w:t>
            </w:r>
            <w:r>
              <w:rPr>
                <w:rFonts w:hint="eastAsia" w:eastAsia="仿宋_GB2312" w:cs="Times New Roman"/>
                <w:bCs/>
                <w:kern w:val="0"/>
                <w:sz w:val="24"/>
                <w:szCs w:val="24"/>
              </w:rPr>
              <w:t>国家</w:t>
            </w:r>
            <w:r>
              <w:rPr>
                <w:rFonts w:eastAsia="仿宋_GB2312" w:cs="Times New Roman"/>
                <w:bCs/>
                <w:kern w:val="0"/>
                <w:sz w:val="24"/>
                <w:szCs w:val="24"/>
              </w:rPr>
              <w:t>生态文明示范县建设进程，</w:t>
            </w:r>
            <w:r>
              <w:rPr>
                <w:rFonts w:hint="eastAsia" w:eastAsia="仿宋_GB2312" w:cs="Times New Roman"/>
                <w:bCs/>
                <w:kern w:val="0"/>
                <w:sz w:val="24"/>
                <w:szCs w:val="24"/>
              </w:rPr>
              <w:t>促进</w:t>
            </w:r>
            <w:r>
              <w:rPr>
                <w:rFonts w:eastAsia="仿宋_GB2312" w:cs="Times New Roman"/>
                <w:bCs/>
                <w:kern w:val="0"/>
                <w:sz w:val="24"/>
                <w:szCs w:val="24"/>
              </w:rPr>
              <w:t>考核指标</w:t>
            </w:r>
            <w:r>
              <w:rPr>
                <w:rStyle w:val="71"/>
                <w:rFonts w:hint="default" w:ascii="Times New Roman" w:hAnsi="Times New Roman" w:eastAsia="仿宋_GB2312" w:cs="Times New Roman"/>
                <w:bCs/>
                <w:color w:val="auto"/>
              </w:rPr>
              <w:t>达标。</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该项目正在开展，预计规划时间内能完成。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7" w:type="dxa"/>
            <w:gridSpan w:val="2"/>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鹿寨县国家生态文明建设示范县规划</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编制鹿寨县国家生态文明建设示范县规划</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29.8</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2018-2019</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鹿寨生态环境局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加快鹿寨县</w:t>
            </w:r>
            <w:r>
              <w:rPr>
                <w:rFonts w:hint="eastAsia" w:eastAsia="仿宋_GB2312" w:cs="Times New Roman"/>
                <w:bCs/>
                <w:kern w:val="0"/>
                <w:sz w:val="24"/>
                <w:szCs w:val="24"/>
              </w:rPr>
              <w:t>国家</w:t>
            </w:r>
            <w:r>
              <w:rPr>
                <w:rFonts w:eastAsia="仿宋_GB2312" w:cs="Times New Roman"/>
                <w:bCs/>
                <w:kern w:val="0"/>
                <w:sz w:val="24"/>
                <w:szCs w:val="24"/>
              </w:rPr>
              <w:t>生态文明示范县建设进程，</w:t>
            </w:r>
            <w:r>
              <w:rPr>
                <w:rFonts w:hint="eastAsia" w:eastAsia="仿宋_GB2312" w:cs="Times New Roman"/>
                <w:bCs/>
                <w:kern w:val="0"/>
                <w:sz w:val="24"/>
                <w:szCs w:val="24"/>
              </w:rPr>
              <w:t>促进</w:t>
            </w:r>
            <w:r>
              <w:rPr>
                <w:rFonts w:eastAsia="仿宋_GB2312" w:cs="Times New Roman"/>
                <w:bCs/>
                <w:kern w:val="0"/>
                <w:sz w:val="24"/>
                <w:szCs w:val="24"/>
              </w:rPr>
              <w:t>考核指标</w:t>
            </w:r>
            <w:r>
              <w:rPr>
                <w:rStyle w:val="71"/>
                <w:rFonts w:hint="default" w:ascii="Times New Roman" w:hAnsi="Times New Roman" w:eastAsia="仿宋_GB2312" w:cs="Times New Roman"/>
                <w:bCs/>
                <w:color w:val="auto"/>
              </w:rPr>
              <w:t>达标。</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该项目正在开展，预计规划时间内能完成。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7" w:type="dxa"/>
            <w:gridSpan w:val="2"/>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融安县国家生态文明建设示范县规划</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编制融安县国家生态文明建设示范县规划</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26</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2018-2019</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融安生态环境局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加快融安县</w:t>
            </w:r>
            <w:r>
              <w:rPr>
                <w:rFonts w:hint="eastAsia" w:eastAsia="仿宋_GB2312" w:cs="Times New Roman"/>
                <w:bCs/>
                <w:kern w:val="0"/>
                <w:sz w:val="24"/>
                <w:szCs w:val="24"/>
              </w:rPr>
              <w:t>国家</w:t>
            </w:r>
            <w:r>
              <w:rPr>
                <w:rFonts w:eastAsia="仿宋_GB2312" w:cs="Times New Roman"/>
                <w:bCs/>
                <w:kern w:val="0"/>
                <w:sz w:val="24"/>
                <w:szCs w:val="24"/>
              </w:rPr>
              <w:t>生态文明示范县建设进程，</w:t>
            </w:r>
            <w:r>
              <w:rPr>
                <w:rFonts w:hint="eastAsia" w:eastAsia="仿宋_GB2312" w:cs="Times New Roman"/>
                <w:bCs/>
                <w:kern w:val="0"/>
                <w:sz w:val="24"/>
                <w:szCs w:val="24"/>
              </w:rPr>
              <w:t>促进</w:t>
            </w:r>
            <w:r>
              <w:rPr>
                <w:rFonts w:eastAsia="仿宋_GB2312" w:cs="Times New Roman"/>
                <w:bCs/>
                <w:kern w:val="0"/>
                <w:sz w:val="24"/>
                <w:szCs w:val="24"/>
              </w:rPr>
              <w:t>考核指标</w:t>
            </w:r>
            <w:r>
              <w:rPr>
                <w:rStyle w:val="71"/>
                <w:rFonts w:hint="default" w:ascii="Times New Roman" w:hAnsi="Times New Roman" w:eastAsia="仿宋_GB2312" w:cs="Times New Roman"/>
                <w:bCs/>
                <w:color w:val="auto"/>
              </w:rPr>
              <w:t>达标。</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该项目正在开展，预计规划时间内能完成。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283" w:type="dxa"/>
            <w:gridSpan w:val="5"/>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六、生态文化体系建设工程</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627626</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项目数（个）</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13</w:t>
            </w:r>
          </w:p>
        </w:tc>
        <w:tc>
          <w:tcPr>
            <w:tcW w:w="1455"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c>
          <w:tcPr>
            <w:tcW w:w="1139" w:type="dxa"/>
            <w:tcMar>
              <w:top w:w="28" w:type="dxa"/>
              <w:left w:w="57" w:type="dxa"/>
              <w:bottom w:w="28" w:type="dxa"/>
              <w:right w:w="57" w:type="dxa"/>
            </w:tcMar>
            <w:vAlign w:val="center"/>
          </w:tcPr>
          <w:p>
            <w:pPr>
              <w:adjustRightInd w:val="0"/>
              <w:snapToGrid w:val="0"/>
              <w:spacing w:line="240" w:lineRule="auto"/>
              <w:ind w:firstLine="0" w:firstLineChars="0"/>
              <w:rPr>
                <w:rFonts w:eastAsia="仿宋_GB2312" w:cs="Times New Roman"/>
                <w:bCs/>
                <w:sz w:val="24"/>
                <w:szCs w:val="24"/>
              </w:rPr>
            </w:pP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（十）观念意识普及</w:t>
            </w: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绿色教育与宣传</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环境宣传教育与绿色系列创建工程</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深入开展宣传教育，创建绿色学校。同时开展绿色出行、绿色医院、绿色社区、绿色家庭等创建活动</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2018-2025</w:t>
            </w:r>
          </w:p>
        </w:tc>
        <w:tc>
          <w:tcPr>
            <w:tcW w:w="1304" w:type="dxa"/>
            <w:tcMar>
              <w:top w:w="28" w:type="dxa"/>
              <w:left w:w="57" w:type="dxa"/>
              <w:bottom w:w="28" w:type="dxa"/>
              <w:right w:w="57" w:type="dxa"/>
            </w:tcMar>
            <w:vAlign w:val="center"/>
          </w:tcPr>
          <w:p>
            <w:pPr>
              <w:widowControl/>
              <w:adjustRightInd w:val="0"/>
              <w:snapToGrid w:val="0"/>
              <w:spacing w:line="240" w:lineRule="auto"/>
              <w:ind w:left="240" w:hanging="240" w:hangingChars="100"/>
              <w:textAlignment w:val="center"/>
              <w:rPr>
                <w:rFonts w:eastAsia="仿宋_GB2312" w:cs="Times New Roman"/>
                <w:bCs/>
                <w:sz w:val="24"/>
                <w:szCs w:val="24"/>
              </w:rPr>
            </w:pPr>
            <w:r>
              <w:rPr>
                <w:rFonts w:eastAsia="仿宋_GB2312" w:cs="Times New Roman"/>
                <w:bCs/>
                <w:kern w:val="0"/>
                <w:sz w:val="24"/>
                <w:szCs w:val="24"/>
              </w:rPr>
              <w:t>市生态环境局、</w:t>
            </w:r>
            <w:r>
              <w:rPr>
                <w:rFonts w:hint="eastAsia" w:eastAsia="仿宋_GB2312" w:cs="Times New Roman"/>
                <w:bCs/>
                <w:kern w:val="0"/>
                <w:sz w:val="24"/>
                <w:szCs w:val="24"/>
              </w:rPr>
              <w:t>三江生态环境</w:t>
            </w:r>
            <w:r>
              <w:rPr>
                <w:rStyle w:val="72"/>
                <w:rFonts w:hint="default" w:ascii="Times New Roman" w:hAnsi="Times New Roman" w:eastAsia="仿宋_GB2312" w:cs="Times New Roman"/>
                <w:bCs/>
                <w:color w:val="auto"/>
              </w:rPr>
              <w:t>局、</w:t>
            </w:r>
            <w:r>
              <w:rPr>
                <w:rFonts w:hint="eastAsia" w:eastAsia="仿宋_GB2312" w:cs="Times New Roman"/>
                <w:bCs/>
                <w:kern w:val="0"/>
                <w:sz w:val="24"/>
                <w:szCs w:val="24"/>
              </w:rPr>
              <w:t>三江</w:t>
            </w:r>
            <w:r>
              <w:rPr>
                <w:rStyle w:val="72"/>
                <w:rFonts w:hint="default" w:ascii="Times New Roman" w:hAnsi="Times New Roman" w:eastAsia="仿宋_GB2312" w:cs="Times New Roman"/>
                <w:bCs/>
                <w:color w:val="auto"/>
              </w:rPr>
              <w:t>县</w:t>
            </w:r>
            <w:r>
              <w:rPr>
                <w:rStyle w:val="72"/>
                <w:rFonts w:hint="default" w:eastAsia="仿宋_GB2312" w:cs="Times New Roman"/>
                <w:bCs/>
                <w:color w:val="auto"/>
              </w:rPr>
              <w:t>住房和城乡建设</w:t>
            </w:r>
            <w:r>
              <w:rPr>
                <w:rStyle w:val="72"/>
                <w:rFonts w:hint="default" w:ascii="Times New Roman" w:hAnsi="Times New Roman" w:eastAsia="仿宋_GB2312" w:cs="Times New Roman"/>
                <w:bCs/>
                <w:color w:val="auto"/>
              </w:rPr>
              <w:t>局、县教育局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项目实施有利于开展环境宣传教育，增加民众环保意识。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正在开展，</w:t>
            </w:r>
            <w:r>
              <w:rPr>
                <w:rFonts w:eastAsia="仿宋_GB2312" w:cs="Times New Roman"/>
                <w:bCs/>
                <w:kern w:val="0"/>
                <w:sz w:val="24"/>
                <w:szCs w:val="24"/>
              </w:rPr>
              <w:t>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三发〔2019〕7号《三江侗族自治县国家生态文明建设示范县规划（</w:t>
            </w:r>
            <w:r>
              <w:rPr>
                <w:rFonts w:eastAsia="仿宋_GB2312" w:cs="Times New Roman"/>
                <w:bCs/>
                <w:kern w:val="0"/>
                <w:sz w:val="24"/>
                <w:szCs w:val="24"/>
              </w:rPr>
              <w:t>2018-2023</w:t>
            </w:r>
            <w:r>
              <w:rPr>
                <w:rFonts w:hint="eastAsia" w:eastAsia="仿宋_GB2312" w:cs="Times New Roman"/>
                <w:bCs/>
                <w:kern w:val="0"/>
                <w:sz w:val="24"/>
                <w:szCs w:val="24"/>
              </w:rPr>
              <w:t>）》</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三江侗族自治县人民政府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708"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柳州市低碳学校、社区试点示范建设项目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按照国家</w:t>
            </w:r>
            <w:r>
              <w:rPr>
                <w:rFonts w:hint="eastAsia" w:eastAsia="仿宋_GB2312" w:cs="Times New Roman"/>
                <w:bCs/>
                <w:kern w:val="0"/>
                <w:sz w:val="24"/>
                <w:szCs w:val="24"/>
              </w:rPr>
              <w:t>及</w:t>
            </w:r>
            <w:r>
              <w:rPr>
                <w:rFonts w:eastAsia="仿宋_GB2312" w:cs="Times New Roman"/>
                <w:bCs/>
                <w:kern w:val="0"/>
                <w:sz w:val="24"/>
                <w:szCs w:val="24"/>
              </w:rPr>
              <w:t>自治区低碳学校、社区建设标准对建成区学校和社区进行改造以达到低碳指标要求</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3000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2016-2026</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市生态环境局、市教育局、相关城区政府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项目实施利于开展低碳环</w:t>
            </w:r>
            <w:r>
              <w:rPr>
                <w:rFonts w:hint="eastAsia" w:eastAsia="仿宋_GB2312" w:cs="Times New Roman"/>
                <w:bCs/>
                <w:kern w:val="0"/>
                <w:sz w:val="24"/>
                <w:szCs w:val="24"/>
              </w:rPr>
              <w:t>保</w:t>
            </w:r>
            <w:r>
              <w:rPr>
                <w:rFonts w:eastAsia="仿宋_GB2312" w:cs="Times New Roman"/>
                <w:bCs/>
                <w:kern w:val="0"/>
                <w:sz w:val="24"/>
                <w:szCs w:val="24"/>
              </w:rPr>
              <w:t>宣传教育，增加民众环保意识。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2016年已开展相关工作，续建</w:t>
            </w:r>
            <w:r>
              <w:rPr>
                <w:rFonts w:hint="eastAsia" w:eastAsia="仿宋_GB2312" w:cs="Times New Roman"/>
                <w:bCs/>
                <w:kern w:val="0"/>
                <w:sz w:val="24"/>
                <w:szCs w:val="24"/>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509" w:type="dxa"/>
            <w:vMerge w:val="continue"/>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低碳试点企业培育项目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以柳钢集团、鱼峰水泥集团、柳化集团为典型，重点在冶金、化工、建材、制糖、机械等行业开展低碳试点示范培育</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5000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市工业和信息化局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项目实施增加民众树立保护环境意识。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2016年已开展相关工作，续建</w:t>
            </w:r>
            <w:r>
              <w:rPr>
                <w:rFonts w:hint="eastAsia" w:eastAsia="仿宋_GB2312" w:cs="Times New Roman"/>
                <w:bCs/>
                <w:kern w:val="0"/>
                <w:sz w:val="24"/>
                <w:szCs w:val="24"/>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柳州市图书馆新馆</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总建筑面积约</w:t>
            </w:r>
            <w:r>
              <w:rPr>
                <w:rStyle w:val="78"/>
                <w:rFonts w:eastAsia="仿宋_GB2312"/>
                <w:bCs/>
                <w:color w:val="auto"/>
              </w:rPr>
              <w:t>80676</w:t>
            </w:r>
            <w:r>
              <w:rPr>
                <w:rStyle w:val="72"/>
                <w:rFonts w:hint="default" w:ascii="Times New Roman" w:hAnsi="Times New Roman" w:eastAsia="仿宋_GB2312" w:cs="Times New Roman"/>
                <w:bCs/>
                <w:color w:val="auto"/>
              </w:rPr>
              <w:t>平方米。</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113000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市东城集团、市文化广电旅游局、柳东新区管委会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项目实施有利于开展环境宣传教育，增加民众环保意识。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hint="eastAsia" w:eastAsia="仿宋_GB2312" w:cs="Times New Roman"/>
                <w:bCs/>
                <w:kern w:val="0"/>
                <w:sz w:val="24"/>
                <w:szCs w:val="24"/>
              </w:rPr>
              <w:t>正在开展</w:t>
            </w:r>
            <w:r>
              <w:rPr>
                <w:rFonts w:eastAsia="仿宋_GB2312" w:cs="Times New Roman"/>
                <w:bCs/>
                <w:kern w:val="0"/>
                <w:sz w:val="24"/>
                <w:szCs w:val="24"/>
              </w:rPr>
              <w:t>。能在规划期内完成。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东盟国际龙城府影视文旅创意产业基地</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占地面积约</w:t>
            </w:r>
            <w:r>
              <w:rPr>
                <w:rStyle w:val="78"/>
                <w:rFonts w:eastAsia="仿宋_GB2312"/>
                <w:bCs/>
                <w:color w:val="auto"/>
              </w:rPr>
              <w:t>500</w:t>
            </w:r>
            <w:r>
              <w:rPr>
                <w:rStyle w:val="72"/>
                <w:rFonts w:hint="default" w:ascii="Times New Roman" w:hAnsi="Times New Roman" w:eastAsia="仿宋_GB2312" w:cs="Times New Roman"/>
                <w:bCs/>
                <w:color w:val="auto"/>
              </w:rPr>
              <w:t>亩，总建筑面积</w:t>
            </w:r>
            <w:r>
              <w:rPr>
                <w:rStyle w:val="78"/>
                <w:rFonts w:eastAsia="仿宋_GB2312"/>
                <w:bCs/>
                <w:color w:val="auto"/>
              </w:rPr>
              <w:t>23.75</w:t>
            </w:r>
            <w:r>
              <w:rPr>
                <w:rStyle w:val="72"/>
                <w:rFonts w:hint="default" w:ascii="Times New Roman" w:hAnsi="Times New Roman" w:eastAsia="仿宋_GB2312" w:cs="Times New Roman"/>
                <w:bCs/>
                <w:color w:val="auto"/>
              </w:rPr>
              <w:t>万平方米。建设内容为文化创意产品设计、文化艺术工坊、影视制作基地、影视动漫文化创客孵化器、摄影棚、文化艺术活动场馆、旅游接待中心、影视文化综合配套设施等。</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138273</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2018-2021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广西龙城府国际文旅有限公司、市文化广电旅游局、北部生态新区管委会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项目实施有利于开展环境宣传教育，增加民众环保意识。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restart"/>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生态文化建设与宣传</w:t>
            </w: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东方梦工场</w:t>
            </w:r>
            <w:r>
              <w:rPr>
                <w:rStyle w:val="78"/>
                <w:rFonts w:eastAsia="仿宋_GB2312"/>
                <w:bCs/>
                <w:color w:val="auto"/>
              </w:rPr>
              <w:t>—</w:t>
            </w:r>
            <w:r>
              <w:rPr>
                <w:rStyle w:val="72"/>
                <w:rFonts w:hint="default" w:ascii="Times New Roman" w:hAnsi="Times New Roman" w:eastAsia="仿宋_GB2312" w:cs="Times New Roman"/>
                <w:bCs/>
                <w:color w:val="auto"/>
              </w:rPr>
              <w:t>柳空文化艺术创业园项目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拟建设文创综合大楼、工业历史展览馆、文创艺术体验馆、文创公寓、演艺剧场、主题影院、多功能排练厅、梦工坊影棚、柳空民宿、主题酒店、星光音乐吧及配套餐饮服务等，总建筑面积约</w:t>
            </w:r>
            <w:r>
              <w:rPr>
                <w:rStyle w:val="78"/>
                <w:rFonts w:eastAsia="仿宋_GB2312"/>
                <w:bCs/>
                <w:color w:val="auto"/>
              </w:rPr>
              <w:t>204792</w:t>
            </w:r>
            <w:r>
              <w:rPr>
                <w:rStyle w:val="72"/>
                <w:rFonts w:hint="default" w:ascii="Times New Roman" w:hAnsi="Times New Roman" w:eastAsia="仿宋_GB2312" w:cs="Times New Roman"/>
                <w:bCs/>
                <w:color w:val="auto"/>
              </w:rPr>
              <w:t>㎡</w:t>
            </w:r>
            <w:r>
              <w:rPr>
                <w:rStyle w:val="72"/>
                <w:rFonts w:hint="default"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65707</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市文旅集团、市文化广电旅游局、柳北区政府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项目实施有利于开展环境宣传教育，增加民众环保意识。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开工建设。能在规划期内完成。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融安县龙舟文化公园</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项目用地面积</w:t>
            </w:r>
            <w:r>
              <w:rPr>
                <w:rStyle w:val="78"/>
                <w:rFonts w:eastAsia="仿宋_GB2312"/>
                <w:bCs/>
                <w:color w:val="auto"/>
              </w:rPr>
              <w:t>32300</w:t>
            </w:r>
            <w:r>
              <w:rPr>
                <w:rStyle w:val="72"/>
                <w:rFonts w:hint="default" w:ascii="Times New Roman" w:hAnsi="Times New Roman" w:eastAsia="仿宋_GB2312" w:cs="Times New Roman"/>
                <w:bCs/>
                <w:color w:val="auto"/>
              </w:rPr>
              <w:t>平方米，建设绿地</w:t>
            </w:r>
            <w:r>
              <w:rPr>
                <w:rStyle w:val="78"/>
                <w:rFonts w:eastAsia="仿宋_GB2312"/>
                <w:bCs/>
                <w:color w:val="auto"/>
              </w:rPr>
              <w:t>8406.34</w:t>
            </w:r>
            <w:r>
              <w:rPr>
                <w:rStyle w:val="72"/>
                <w:rFonts w:hint="default" w:ascii="Times New Roman" w:hAnsi="Times New Roman" w:eastAsia="仿宋_GB2312" w:cs="Times New Roman"/>
                <w:bCs/>
                <w:color w:val="auto"/>
              </w:rPr>
              <w:t>㎡，道路及铺地</w:t>
            </w:r>
            <w:r>
              <w:rPr>
                <w:rStyle w:val="78"/>
                <w:rFonts w:eastAsia="仿宋_GB2312"/>
                <w:bCs/>
                <w:color w:val="auto"/>
              </w:rPr>
              <w:t>13117.41</w:t>
            </w:r>
            <w:r>
              <w:rPr>
                <w:rStyle w:val="72"/>
                <w:rFonts w:hint="default" w:ascii="Times New Roman" w:hAnsi="Times New Roman" w:eastAsia="仿宋_GB2312" w:cs="Times New Roman"/>
                <w:bCs/>
                <w:color w:val="auto"/>
              </w:rPr>
              <w:t>㎡，地下室</w:t>
            </w:r>
            <w:r>
              <w:rPr>
                <w:rStyle w:val="78"/>
                <w:rFonts w:eastAsia="仿宋_GB2312"/>
                <w:bCs/>
                <w:color w:val="auto"/>
              </w:rPr>
              <w:t>8011.31</w:t>
            </w:r>
            <w:r>
              <w:rPr>
                <w:rStyle w:val="72"/>
                <w:rFonts w:hint="default" w:ascii="Times New Roman" w:hAnsi="Times New Roman" w:eastAsia="仿宋_GB2312" w:cs="Times New Roman"/>
                <w:bCs/>
                <w:color w:val="auto"/>
              </w:rPr>
              <w:t>㎡，风雨连廊</w:t>
            </w:r>
            <w:r>
              <w:rPr>
                <w:rStyle w:val="78"/>
                <w:rFonts w:eastAsia="仿宋_GB2312"/>
                <w:bCs/>
                <w:color w:val="auto"/>
              </w:rPr>
              <w:t>200</w:t>
            </w:r>
            <w:r>
              <w:rPr>
                <w:rStyle w:val="72"/>
                <w:rFonts w:hint="default" w:ascii="Times New Roman" w:hAnsi="Times New Roman" w:eastAsia="仿宋_GB2312" w:cs="Times New Roman"/>
                <w:bCs/>
                <w:color w:val="auto"/>
              </w:rPr>
              <w:t>㎡，龙门</w:t>
            </w:r>
            <w:r>
              <w:rPr>
                <w:rStyle w:val="78"/>
                <w:rFonts w:eastAsia="仿宋_GB2312"/>
                <w:bCs/>
                <w:color w:val="auto"/>
              </w:rPr>
              <w:t>100</w:t>
            </w:r>
            <w:r>
              <w:rPr>
                <w:rStyle w:val="72"/>
                <w:rFonts w:hint="default" w:ascii="Times New Roman" w:hAnsi="Times New Roman" w:eastAsia="仿宋_GB2312" w:cs="Times New Roman"/>
                <w:bCs/>
                <w:color w:val="auto"/>
              </w:rPr>
              <w:t>㎡，雕塑</w:t>
            </w:r>
            <w:r>
              <w:rPr>
                <w:rStyle w:val="78"/>
                <w:rFonts w:eastAsia="仿宋_GB2312"/>
                <w:bCs/>
                <w:color w:val="auto"/>
              </w:rPr>
              <w:t>1</w:t>
            </w:r>
            <w:r>
              <w:rPr>
                <w:rStyle w:val="72"/>
                <w:rFonts w:hint="default" w:ascii="Times New Roman" w:hAnsi="Times New Roman" w:eastAsia="仿宋_GB2312" w:cs="Times New Roman"/>
                <w:bCs/>
                <w:color w:val="auto"/>
              </w:rPr>
              <w:t>座，景观亭</w:t>
            </w:r>
            <w:r>
              <w:rPr>
                <w:rStyle w:val="78"/>
                <w:rFonts w:eastAsia="仿宋_GB2312"/>
                <w:bCs/>
                <w:color w:val="auto"/>
              </w:rPr>
              <w:t>50m</w:t>
            </w:r>
            <w:r>
              <w:rPr>
                <w:rStyle w:val="72"/>
                <w:rFonts w:hint="default" w:ascii="Times New Roman" w:hAnsi="Times New Roman" w:eastAsia="仿宋_GB2312" w:cs="Times New Roman"/>
                <w:bCs/>
                <w:color w:val="auto"/>
              </w:rPr>
              <w:t>，主席台</w:t>
            </w:r>
            <w:r>
              <w:rPr>
                <w:rStyle w:val="78"/>
                <w:rFonts w:eastAsia="仿宋_GB2312"/>
                <w:bCs/>
                <w:color w:val="auto"/>
              </w:rPr>
              <w:t>200</w:t>
            </w:r>
            <w:r>
              <w:rPr>
                <w:rStyle w:val="72"/>
                <w:rFonts w:hint="default" w:ascii="Times New Roman" w:hAnsi="Times New Roman" w:eastAsia="仿宋_GB2312" w:cs="Times New Roman"/>
                <w:bCs/>
                <w:color w:val="auto"/>
              </w:rPr>
              <w:t>㎡，图腾柱</w:t>
            </w:r>
            <w:r>
              <w:rPr>
                <w:rStyle w:val="78"/>
                <w:rFonts w:eastAsia="仿宋_GB2312"/>
                <w:bCs/>
                <w:color w:val="auto"/>
              </w:rPr>
              <w:t>8</w:t>
            </w:r>
            <w:r>
              <w:rPr>
                <w:rStyle w:val="72"/>
                <w:rFonts w:hint="default" w:ascii="Times New Roman" w:hAnsi="Times New Roman" w:eastAsia="仿宋_GB2312" w:cs="Times New Roman"/>
                <w:bCs/>
                <w:color w:val="auto"/>
              </w:rPr>
              <w:t>根，滨江看台</w:t>
            </w:r>
            <w:r>
              <w:rPr>
                <w:rStyle w:val="78"/>
                <w:rFonts w:eastAsia="仿宋_GB2312"/>
                <w:bCs/>
                <w:color w:val="auto"/>
              </w:rPr>
              <w:t>3150</w:t>
            </w:r>
            <w:r>
              <w:rPr>
                <w:rStyle w:val="72"/>
                <w:rFonts w:hint="default" w:ascii="Times New Roman" w:hAnsi="Times New Roman" w:eastAsia="仿宋_GB2312" w:cs="Times New Roman"/>
                <w:bCs/>
                <w:color w:val="auto"/>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13210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2019-2020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融安县</w:t>
            </w:r>
            <w:r>
              <w:rPr>
                <w:rFonts w:hint="eastAsia" w:eastAsia="仿宋_GB2312" w:cs="Times New Roman"/>
                <w:bCs/>
                <w:kern w:val="0"/>
                <w:sz w:val="24"/>
                <w:szCs w:val="24"/>
              </w:rPr>
              <w:t>住房和城乡建设局</w:t>
            </w:r>
            <w:r>
              <w:rPr>
                <w:rFonts w:eastAsia="仿宋_GB2312" w:cs="Times New Roman"/>
                <w:bCs/>
                <w:kern w:val="0"/>
                <w:sz w:val="24"/>
                <w:szCs w:val="24"/>
              </w:rPr>
              <w:t>、融安县政府</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项目实施有利于开展环境宣传教育，增加民众环保意识。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完成主席台、滨江看台建设，开工建设风雨长廊、雕塑、景观亭等。</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3</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柳东新区文化广场</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sz w:val="24"/>
                <w:szCs w:val="24"/>
              </w:rPr>
            </w:pPr>
            <w:r>
              <w:rPr>
                <w:rFonts w:eastAsia="仿宋_GB2312" w:cs="Times New Roman"/>
                <w:bCs/>
                <w:kern w:val="0"/>
                <w:sz w:val="24"/>
                <w:szCs w:val="24"/>
              </w:rPr>
              <w:t>总建筑面积</w:t>
            </w:r>
            <w:r>
              <w:rPr>
                <w:rStyle w:val="78"/>
                <w:rFonts w:eastAsia="仿宋_GB2312"/>
                <w:bCs/>
                <w:color w:val="auto"/>
              </w:rPr>
              <w:t>16.48</w:t>
            </w:r>
            <w:r>
              <w:rPr>
                <w:rStyle w:val="72"/>
                <w:rFonts w:hint="default" w:ascii="Times New Roman" w:hAnsi="Times New Roman" w:eastAsia="仿宋_GB2312" w:cs="Times New Roman"/>
                <w:bCs/>
                <w:color w:val="auto"/>
              </w:rPr>
              <w:t>万平方米。主要建设青少年宫、科技馆、群众艺术馆及文化广场大楼。</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164786</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市东城集团、柳东新区管委会</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利于开展环境宣传教育，增加民众环保意识。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sz w:val="24"/>
                <w:szCs w:val="24"/>
              </w:rPr>
            </w:pPr>
            <w:r>
              <w:rPr>
                <w:rFonts w:eastAsia="仿宋_GB2312" w:cs="Times New Roman"/>
                <w:bCs/>
                <w:kern w:val="0"/>
                <w:sz w:val="24"/>
                <w:szCs w:val="24"/>
              </w:rPr>
              <w:t>完成工程量</w:t>
            </w:r>
            <w:r>
              <w:rPr>
                <w:rStyle w:val="80"/>
                <w:rFonts w:eastAsia="仿宋_GB2312"/>
                <w:bCs/>
                <w:color w:val="auto"/>
              </w:rPr>
              <w:t>90%</w:t>
            </w:r>
            <w:r>
              <w:rPr>
                <w:rStyle w:val="69"/>
                <w:rFonts w:hint="default" w:ascii="Times New Roman" w:hAnsi="Times New Roman" w:eastAsia="仿宋_GB2312" w:cs="Times New Roman"/>
                <w:bCs/>
                <w:color w:val="auto"/>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4</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苗韵迷城项目</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项目拟建设艺术中心、苗族文化博物馆、主题酒店，以及集苗族文化、习俗、节庆、民族手工艺品、非物质文化遗产展示、民族特色美食等为一体的文化旅游综合体</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120000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2019-2021</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市文旅集团</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项目实施有利于开展环境宣传教育，增加民众环保意识。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eastAsia="仿宋_GB2312" w:cs="Times New Roman"/>
                <w:bCs/>
                <w:kern w:val="0"/>
                <w:sz w:val="24"/>
                <w:szCs w:val="24"/>
              </w:rPr>
              <w:t>开工建设。能在规划期内完成。</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柳政办〔2019〕25号柳州市人民政府办公室关于印发2019年柳州市级层面统筹推进重大项目实施方案的通知</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5</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低碳能力培训</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分阶段、分层次、多方式开展针对政府部门、重点企业主要人员的专业化培训，每年开展定期培训，针对重点排放企业定期开展年度培训和具体工作的宣贯培训</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2500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2016-2020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相关单位</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项目实施有利于开展环境宣传教育，增加民众树立保护环境意识。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2016年已开展相关工作，续建</w:t>
            </w:r>
            <w:r>
              <w:rPr>
                <w:rFonts w:hint="eastAsia" w:eastAsia="仿宋_GB2312" w:cs="Times New Roman"/>
                <w:bCs/>
                <w:kern w:val="0"/>
                <w:sz w:val="24"/>
                <w:szCs w:val="24"/>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6</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公共机构能源系统及示范项目建设</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能源系统建设内容为各县区、市直机关能源管理系统建设，桂中大厦能耗监控末端系统改造，市委1号办公楼能源监管系统建设及市委大院办公楼光伏发电项目建设；示范项目主要包括公共机构节约型、节水型示范创建项目及公共机构生活垃圾强制分类示范项目</w:t>
            </w:r>
            <w:r>
              <w:rPr>
                <w:rFonts w:hint="eastAsia" w:eastAsia="仿宋_GB2312" w:cs="Times New Roman"/>
                <w:bCs/>
                <w:kern w:val="0"/>
                <w:sz w:val="24"/>
                <w:szCs w:val="24"/>
              </w:rPr>
              <w:t>。</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1750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2018-2020</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柳州市机关事务管理局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项目实施有利于开展环境宣传教育，增加民众树立保护环境意识。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2018年已开展相关工作，续建</w:t>
            </w:r>
            <w:r>
              <w:rPr>
                <w:rFonts w:hint="eastAsia" w:eastAsia="仿宋_GB2312" w:cs="Times New Roman"/>
                <w:bCs/>
                <w:kern w:val="0"/>
                <w:sz w:val="24"/>
                <w:szCs w:val="24"/>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柳政发〔2019〕17号《柳州市低碳发展规划》</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柳州市发展和改革委员会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7</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生态文化全民宣教体系建设</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开展党政领导干部生态文明知识培训；开展生态文明教育进校园、进企业、进社区、进农村实践及宣传活动。</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2016-2022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柳江区委组织部、柳江区委宣传部</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项目实施利于开展环境宣传教育，增加民众环保意识。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2016年已开展相关工作，续建</w:t>
            </w:r>
            <w:r>
              <w:rPr>
                <w:rFonts w:hint="eastAsia" w:eastAsia="仿宋_GB2312" w:cs="Times New Roman"/>
                <w:bCs/>
                <w:kern w:val="0"/>
                <w:sz w:val="24"/>
                <w:szCs w:val="24"/>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708"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509" w:type="dxa"/>
            <w:vMerge w:val="continue"/>
            <w:tcMar>
              <w:top w:w="28" w:type="dxa"/>
              <w:left w:w="57" w:type="dxa"/>
              <w:bottom w:w="28" w:type="dxa"/>
              <w:right w:w="57" w:type="dxa"/>
            </w:tcMar>
            <w:vAlign w:val="center"/>
          </w:tcPr>
          <w:p>
            <w:pPr>
              <w:adjustRightInd w:val="0"/>
              <w:snapToGrid w:val="0"/>
              <w:spacing w:line="240" w:lineRule="auto"/>
              <w:ind w:firstLine="0" w:firstLineChars="0"/>
              <w:jc w:val="center"/>
              <w:rPr>
                <w:rFonts w:eastAsia="仿宋_GB2312" w:cs="Times New Roman"/>
                <w:bCs/>
                <w:sz w:val="24"/>
                <w:szCs w:val="24"/>
              </w:rPr>
            </w:pPr>
          </w:p>
        </w:tc>
        <w:tc>
          <w:tcPr>
            <w:tcW w:w="388"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8</w:t>
            </w:r>
          </w:p>
        </w:tc>
        <w:tc>
          <w:tcPr>
            <w:tcW w:w="113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建立柳江区生态文明公众参与机制</w:t>
            </w:r>
          </w:p>
        </w:tc>
        <w:tc>
          <w:tcPr>
            <w:tcW w:w="2544"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宣传生态保护知识、发布公益活动信息及环境问题信息，开通公众监督举报平台，促进环境信息透明。</w:t>
            </w:r>
          </w:p>
        </w:tc>
        <w:tc>
          <w:tcPr>
            <w:tcW w:w="1587"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200</w:t>
            </w:r>
          </w:p>
        </w:tc>
        <w:tc>
          <w:tcPr>
            <w:tcW w:w="1232"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2016-2022</w:t>
            </w:r>
          </w:p>
        </w:tc>
        <w:tc>
          <w:tcPr>
            <w:tcW w:w="1304"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柳江生态环境局</w:t>
            </w:r>
          </w:p>
        </w:tc>
        <w:tc>
          <w:tcPr>
            <w:tcW w:w="1455" w:type="dxa"/>
            <w:tcMar>
              <w:top w:w="28" w:type="dxa"/>
              <w:left w:w="57" w:type="dxa"/>
              <w:bottom w:w="28" w:type="dxa"/>
              <w:right w:w="57" w:type="dxa"/>
            </w:tcMar>
            <w:vAlign w:val="center"/>
          </w:tcPr>
          <w:p>
            <w:pPr>
              <w:widowControl/>
              <w:adjustRightInd w:val="0"/>
              <w:snapToGrid w:val="0"/>
              <w:spacing w:line="240" w:lineRule="auto"/>
              <w:ind w:firstLine="0" w:firstLineChars="0"/>
              <w:jc w:val="center"/>
              <w:textAlignment w:val="center"/>
              <w:rPr>
                <w:rFonts w:eastAsia="仿宋_GB2312" w:cs="Times New Roman"/>
                <w:bCs/>
                <w:kern w:val="0"/>
                <w:sz w:val="24"/>
                <w:szCs w:val="24"/>
              </w:rPr>
            </w:pPr>
            <w:r>
              <w:rPr>
                <w:rFonts w:eastAsia="仿宋_GB2312" w:cs="Times New Roman"/>
                <w:bCs/>
                <w:kern w:val="0"/>
                <w:sz w:val="24"/>
                <w:szCs w:val="24"/>
              </w:rPr>
              <w:t>项目实施有利于开展环境宣传教育，增加民众环保意识。</w:t>
            </w:r>
          </w:p>
        </w:tc>
        <w:tc>
          <w:tcPr>
            <w:tcW w:w="1139" w:type="dxa"/>
            <w:tcMar>
              <w:top w:w="28" w:type="dxa"/>
              <w:left w:w="57" w:type="dxa"/>
              <w:bottom w:w="28" w:type="dxa"/>
              <w:right w:w="57" w:type="dxa"/>
            </w:tcMar>
            <w:vAlign w:val="center"/>
          </w:tcPr>
          <w:p>
            <w:pPr>
              <w:widowControl/>
              <w:adjustRightInd w:val="0"/>
              <w:snapToGrid w:val="0"/>
              <w:spacing w:line="240" w:lineRule="auto"/>
              <w:ind w:firstLine="0" w:firstLineChars="0"/>
              <w:jc w:val="left"/>
              <w:textAlignment w:val="center"/>
              <w:rPr>
                <w:rFonts w:eastAsia="仿宋_GB2312" w:cs="Times New Roman"/>
                <w:bCs/>
                <w:kern w:val="0"/>
                <w:sz w:val="24"/>
                <w:szCs w:val="24"/>
              </w:rPr>
            </w:pPr>
            <w:r>
              <w:rPr>
                <w:rFonts w:eastAsia="仿宋_GB2312" w:cs="Times New Roman"/>
                <w:bCs/>
                <w:kern w:val="0"/>
                <w:sz w:val="24"/>
                <w:szCs w:val="24"/>
              </w:rPr>
              <w:t>2016年已开展相关工作，续建</w:t>
            </w:r>
            <w:r>
              <w:rPr>
                <w:rFonts w:hint="eastAsia" w:eastAsia="仿宋_GB2312" w:cs="Times New Roman"/>
                <w:bCs/>
                <w:kern w:val="0"/>
                <w:sz w:val="24"/>
                <w:szCs w:val="24"/>
              </w:rPr>
              <w:t>。</w:t>
            </w:r>
          </w:p>
        </w:tc>
        <w:tc>
          <w:tcPr>
            <w:tcW w:w="1589"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《柳州市柳江区国家生态文明建设示范县（区）规划(2018-2022年)》</w:t>
            </w:r>
          </w:p>
        </w:tc>
        <w:tc>
          <w:tcPr>
            <w:tcW w:w="1040" w:type="dxa"/>
            <w:tcMar>
              <w:top w:w="28" w:type="dxa"/>
              <w:left w:w="57" w:type="dxa"/>
              <w:bottom w:w="28" w:type="dxa"/>
              <w:right w:w="57" w:type="dxa"/>
            </w:tcMar>
            <w:vAlign w:val="center"/>
          </w:tcPr>
          <w:p>
            <w:pPr>
              <w:widowControl/>
              <w:adjustRightInd w:val="0"/>
              <w:snapToGrid w:val="0"/>
              <w:spacing w:line="240" w:lineRule="auto"/>
              <w:ind w:firstLine="0" w:firstLineChars="0"/>
              <w:textAlignment w:val="center"/>
              <w:rPr>
                <w:rFonts w:eastAsia="仿宋_GB2312" w:cs="Times New Roman"/>
                <w:bCs/>
                <w:kern w:val="0"/>
                <w:sz w:val="24"/>
                <w:szCs w:val="24"/>
              </w:rPr>
            </w:pPr>
            <w:r>
              <w:rPr>
                <w:rFonts w:hint="eastAsia" w:eastAsia="仿宋_GB2312" w:cs="Times New Roman"/>
                <w:bCs/>
                <w:kern w:val="0"/>
                <w:sz w:val="24"/>
                <w:szCs w:val="24"/>
              </w:rPr>
              <w:t>柳江区人民政府</w:t>
            </w:r>
          </w:p>
        </w:tc>
      </w:tr>
    </w:tbl>
    <w:p>
      <w:pPr>
        <w:pStyle w:val="2"/>
        <w:ind w:firstLine="640"/>
        <w:sectPr>
          <w:headerReference r:id="rId21" w:type="default"/>
          <w:footerReference r:id="rId22" w:type="default"/>
          <w:pgSz w:w="16783" w:h="11850" w:orient="landscape"/>
          <w:pgMar w:top="1134" w:right="1134" w:bottom="1134" w:left="1134" w:header="851" w:footer="992" w:gutter="0"/>
          <w:cols w:space="0" w:num="1"/>
          <w:docGrid w:type="lines" w:linePitch="326" w:charSpace="0"/>
        </w:sectPr>
      </w:pPr>
    </w:p>
    <w:p>
      <w:pPr>
        <w:pStyle w:val="61"/>
        <w:spacing w:line="560" w:lineRule="exact"/>
        <w:rPr>
          <w:rFonts w:eastAsia="方正小标宋简体" w:cs="Times New Roman"/>
        </w:rPr>
      </w:pPr>
      <w:bookmarkStart w:id="263" w:name="_Toc14693"/>
      <w:bookmarkStart w:id="264" w:name="_Toc27118"/>
      <w:r>
        <w:rPr>
          <w:rFonts w:eastAsia="方正小标宋简体" w:cs="Times New Roman"/>
        </w:rPr>
        <w:t>附表2   未达标指标创建期任务分解表</w:t>
      </w:r>
      <w:bookmarkEnd w:id="263"/>
      <w:bookmarkEnd w:id="264"/>
    </w:p>
    <w:tbl>
      <w:tblPr>
        <w:tblStyle w:val="25"/>
        <w:tblW w:w="98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89"/>
        <w:gridCol w:w="957"/>
        <w:gridCol w:w="1188"/>
        <w:gridCol w:w="3327"/>
        <w:gridCol w:w="35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6" w:hRule="atLeast"/>
          <w:tblHeader/>
          <w:jc w:val="center"/>
        </w:trPr>
        <w:tc>
          <w:tcPr>
            <w:tcW w:w="789" w:type="dxa"/>
            <w:vAlign w:val="center"/>
          </w:tcPr>
          <w:p>
            <w:pPr>
              <w:adjustRightInd w:val="0"/>
              <w:snapToGrid w:val="0"/>
              <w:spacing w:line="288" w:lineRule="auto"/>
              <w:ind w:firstLine="0" w:firstLineChars="0"/>
              <w:jc w:val="center"/>
              <w:rPr>
                <w:rFonts w:eastAsia="仿宋_GB2312" w:cs="Times New Roman"/>
                <w:b/>
                <w:bCs/>
                <w:sz w:val="24"/>
                <w:szCs w:val="24"/>
              </w:rPr>
            </w:pPr>
            <w:r>
              <w:rPr>
                <w:rFonts w:eastAsia="仿宋_GB2312" w:cs="Times New Roman"/>
                <w:b/>
                <w:bCs/>
                <w:sz w:val="24"/>
                <w:szCs w:val="24"/>
              </w:rPr>
              <w:t>领域</w:t>
            </w:r>
          </w:p>
        </w:tc>
        <w:tc>
          <w:tcPr>
            <w:tcW w:w="957" w:type="dxa"/>
            <w:vAlign w:val="center"/>
          </w:tcPr>
          <w:p>
            <w:pPr>
              <w:adjustRightInd w:val="0"/>
              <w:snapToGrid w:val="0"/>
              <w:spacing w:line="288" w:lineRule="auto"/>
              <w:ind w:firstLine="0" w:firstLineChars="0"/>
              <w:jc w:val="center"/>
              <w:rPr>
                <w:rFonts w:eastAsia="仿宋_GB2312" w:cs="Times New Roman"/>
                <w:b/>
                <w:bCs/>
                <w:sz w:val="24"/>
                <w:szCs w:val="24"/>
              </w:rPr>
            </w:pPr>
            <w:r>
              <w:rPr>
                <w:rFonts w:eastAsia="仿宋_GB2312" w:cs="Times New Roman"/>
                <w:b/>
                <w:bCs/>
                <w:sz w:val="24"/>
                <w:szCs w:val="24"/>
              </w:rPr>
              <w:t>指标名称</w:t>
            </w:r>
          </w:p>
        </w:tc>
        <w:tc>
          <w:tcPr>
            <w:tcW w:w="1188" w:type="dxa"/>
            <w:vAlign w:val="center"/>
          </w:tcPr>
          <w:p>
            <w:pPr>
              <w:adjustRightInd w:val="0"/>
              <w:snapToGrid w:val="0"/>
              <w:spacing w:line="288" w:lineRule="auto"/>
              <w:ind w:firstLine="0" w:firstLineChars="0"/>
              <w:jc w:val="center"/>
              <w:rPr>
                <w:rFonts w:eastAsia="仿宋_GB2312" w:cs="Times New Roman"/>
                <w:b/>
                <w:bCs/>
                <w:sz w:val="24"/>
                <w:szCs w:val="24"/>
              </w:rPr>
            </w:pPr>
            <w:r>
              <w:rPr>
                <w:rFonts w:eastAsia="仿宋_GB2312" w:cs="Times New Roman"/>
                <w:b/>
                <w:bCs/>
                <w:sz w:val="24"/>
                <w:szCs w:val="24"/>
              </w:rPr>
              <w:t>现状值</w:t>
            </w:r>
          </w:p>
        </w:tc>
        <w:tc>
          <w:tcPr>
            <w:tcW w:w="3327" w:type="dxa"/>
            <w:vAlign w:val="center"/>
          </w:tcPr>
          <w:p>
            <w:pPr>
              <w:adjustRightInd w:val="0"/>
              <w:snapToGrid w:val="0"/>
              <w:spacing w:line="288" w:lineRule="auto"/>
              <w:ind w:firstLine="0" w:firstLineChars="0"/>
              <w:jc w:val="center"/>
              <w:rPr>
                <w:rFonts w:eastAsia="仿宋_GB2312" w:cs="Times New Roman"/>
                <w:b/>
                <w:bCs/>
                <w:sz w:val="24"/>
                <w:szCs w:val="24"/>
              </w:rPr>
            </w:pPr>
            <w:r>
              <w:rPr>
                <w:rFonts w:eastAsia="仿宋_GB2312" w:cs="Times New Roman"/>
                <w:b/>
                <w:bCs/>
                <w:sz w:val="24"/>
                <w:szCs w:val="24"/>
              </w:rPr>
              <w:t>2019年</w:t>
            </w:r>
          </w:p>
        </w:tc>
        <w:tc>
          <w:tcPr>
            <w:tcW w:w="3561" w:type="dxa"/>
            <w:vAlign w:val="center"/>
          </w:tcPr>
          <w:p>
            <w:pPr>
              <w:adjustRightInd w:val="0"/>
              <w:snapToGrid w:val="0"/>
              <w:spacing w:line="288" w:lineRule="auto"/>
              <w:ind w:firstLine="0" w:firstLineChars="0"/>
              <w:jc w:val="center"/>
              <w:rPr>
                <w:rFonts w:eastAsia="仿宋_GB2312" w:cs="Times New Roman"/>
                <w:b/>
                <w:bCs/>
                <w:sz w:val="24"/>
                <w:szCs w:val="24"/>
              </w:rPr>
            </w:pPr>
            <w:r>
              <w:rPr>
                <w:rFonts w:eastAsia="仿宋_GB2312" w:cs="Times New Roman"/>
                <w:b/>
                <w:bCs/>
                <w:sz w:val="24"/>
                <w:szCs w:val="24"/>
              </w:rPr>
              <w:t>2020年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9"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生态空间</w:t>
            </w:r>
          </w:p>
        </w:tc>
        <w:tc>
          <w:tcPr>
            <w:tcW w:w="957"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bCs/>
                <w:kern w:val="0"/>
                <w:sz w:val="24"/>
                <w:szCs w:val="24"/>
              </w:rPr>
              <w:t>河湖岸线保护率（%）</w:t>
            </w:r>
          </w:p>
        </w:tc>
        <w:tc>
          <w:tcPr>
            <w:tcW w:w="1188"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未划定管理范围</w:t>
            </w:r>
          </w:p>
        </w:tc>
        <w:tc>
          <w:tcPr>
            <w:tcW w:w="3327"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市水利局、市自然资源和规划局负责牵头开展柳州市境内江河湖库管理范围划定工作。</w:t>
            </w:r>
          </w:p>
        </w:tc>
        <w:tc>
          <w:tcPr>
            <w:tcW w:w="3561"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市水利局、市自然资源和规划局负责牵头完成柳州市境内江河湖库管理范围划定工作，并采取措施搞好岸线保护区、岸线保留区的岸段管理保护工作。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9" w:type="dxa"/>
            <w:vMerge w:val="restart"/>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生态经济</w:t>
            </w:r>
          </w:p>
        </w:tc>
        <w:tc>
          <w:tcPr>
            <w:tcW w:w="957" w:type="dxa"/>
            <w:vAlign w:val="center"/>
          </w:tcPr>
          <w:p>
            <w:pPr>
              <w:adjustRightInd w:val="0"/>
              <w:snapToGrid w:val="0"/>
              <w:spacing w:line="288" w:lineRule="auto"/>
              <w:ind w:firstLine="0" w:firstLineChars="0"/>
              <w:jc w:val="left"/>
              <w:rPr>
                <w:rFonts w:eastAsia="仿宋_GB2312" w:cs="Times New Roman"/>
                <w:bCs/>
                <w:kern w:val="0"/>
                <w:sz w:val="24"/>
                <w:szCs w:val="24"/>
              </w:rPr>
            </w:pPr>
            <w:r>
              <w:rPr>
                <w:rFonts w:eastAsia="仿宋_GB2312" w:cs="Times New Roman"/>
                <w:bCs/>
                <w:kern w:val="0"/>
                <w:sz w:val="24"/>
                <w:szCs w:val="24"/>
              </w:rPr>
              <w:t>单位地区生产总值能耗</w:t>
            </w:r>
          </w:p>
        </w:tc>
        <w:tc>
          <w:tcPr>
            <w:tcW w:w="1188"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0.58吨标煤/万元（</w:t>
            </w:r>
            <w:r>
              <w:rPr>
                <w:rFonts w:hint="eastAsia" w:eastAsia="仿宋_GB2312" w:cs="Times New Roman"/>
                <w:sz w:val="24"/>
                <w:szCs w:val="24"/>
              </w:rPr>
              <w:t>管控</w:t>
            </w:r>
            <w:r>
              <w:rPr>
                <w:rFonts w:eastAsia="仿宋_GB2312" w:cs="Times New Roman"/>
                <w:sz w:val="24"/>
                <w:szCs w:val="24"/>
              </w:rPr>
              <w:t>目标</w:t>
            </w:r>
            <w:r>
              <w:rPr>
                <w:rFonts w:hint="eastAsia" w:eastAsia="仿宋_GB2312" w:cs="Times New Roman"/>
                <w:sz w:val="24"/>
                <w:szCs w:val="24"/>
              </w:rPr>
              <w:t>是</w:t>
            </w:r>
            <w:r>
              <w:rPr>
                <w:rFonts w:eastAsia="仿宋_GB2312" w:cs="Times New Roman"/>
                <w:sz w:val="24"/>
                <w:szCs w:val="24"/>
              </w:rPr>
              <w:t>≤0.57）</w:t>
            </w:r>
          </w:p>
        </w:tc>
        <w:tc>
          <w:tcPr>
            <w:tcW w:w="3327" w:type="dxa"/>
            <w:vAlign w:val="center"/>
          </w:tcPr>
          <w:p>
            <w:pPr>
              <w:adjustRightInd w:val="0"/>
              <w:snapToGrid w:val="0"/>
              <w:spacing w:line="288" w:lineRule="auto"/>
              <w:ind w:firstLine="0" w:firstLineChars="0"/>
              <w:rPr>
                <w:rFonts w:eastAsia="仿宋_GB2312" w:cs="Times New Roman"/>
                <w:sz w:val="24"/>
                <w:szCs w:val="24"/>
              </w:rPr>
            </w:pPr>
            <w:r>
              <w:rPr>
                <w:rFonts w:eastAsia="仿宋_GB2312" w:cs="Times New Roman"/>
                <w:sz w:val="24"/>
                <w:szCs w:val="24"/>
              </w:rPr>
              <w:t>市发展改革委负责牵头，联合市工业和信息化局组织开展产业结构、能源结构调整，大力发展可再生能源，支持发展光伏发电、风电、水电，以钢铁、化工、水泥等行业为重点，加快淘汰“高耗能、高污染、高排放”的工艺装备和落后产能，鼓励对落后装备实施节能降碳改造，大力开展余热、余能、余压的综合利用。</w:t>
            </w:r>
          </w:p>
        </w:tc>
        <w:tc>
          <w:tcPr>
            <w:tcW w:w="3561" w:type="dxa"/>
            <w:vAlign w:val="center"/>
          </w:tcPr>
          <w:p>
            <w:pPr>
              <w:adjustRightInd w:val="0"/>
              <w:snapToGrid w:val="0"/>
              <w:spacing w:line="288" w:lineRule="auto"/>
              <w:ind w:firstLine="0" w:firstLineChars="0"/>
              <w:rPr>
                <w:rFonts w:eastAsia="仿宋_GB2312" w:cs="Times New Roman"/>
                <w:sz w:val="24"/>
                <w:szCs w:val="24"/>
              </w:rPr>
            </w:pPr>
            <w:r>
              <w:rPr>
                <w:rFonts w:eastAsia="仿宋_GB2312" w:cs="Times New Roman"/>
                <w:sz w:val="24"/>
                <w:szCs w:val="24"/>
              </w:rPr>
              <w:t>市发展改革委负责牵头，联合市工业和信息化局组织开展产业结构、能源结构调整，大力发展可再生能源，支持发展光伏发电、风电、水电，以钢铁、化工、水泥等行业为重点，加快淘汰“高耗能、高污染、高排放”的工艺装备和落后产能，鼓励对落后装备实施节能降碳改造，大力开展余热、余能、余压的综合利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9" w:type="dxa"/>
            <w:vMerge w:val="continue"/>
            <w:vAlign w:val="center"/>
          </w:tcPr>
          <w:p>
            <w:pPr>
              <w:adjustRightInd w:val="0"/>
              <w:snapToGrid w:val="0"/>
              <w:spacing w:line="288" w:lineRule="auto"/>
              <w:ind w:firstLine="0" w:firstLineChars="0"/>
              <w:jc w:val="center"/>
              <w:rPr>
                <w:rFonts w:eastAsia="仿宋_GB2312" w:cs="Times New Roman"/>
                <w:sz w:val="24"/>
                <w:szCs w:val="24"/>
              </w:rPr>
            </w:pPr>
          </w:p>
        </w:tc>
        <w:tc>
          <w:tcPr>
            <w:tcW w:w="957" w:type="dxa"/>
            <w:vAlign w:val="center"/>
          </w:tcPr>
          <w:p>
            <w:pPr>
              <w:adjustRightInd w:val="0"/>
              <w:snapToGrid w:val="0"/>
              <w:spacing w:line="288" w:lineRule="auto"/>
              <w:ind w:firstLine="0" w:firstLineChars="0"/>
              <w:jc w:val="center"/>
              <w:rPr>
                <w:rFonts w:eastAsia="仿宋_GB2312" w:cs="Times New Roman"/>
                <w:bCs/>
                <w:kern w:val="0"/>
                <w:sz w:val="24"/>
                <w:szCs w:val="24"/>
              </w:rPr>
            </w:pPr>
            <w:r>
              <w:rPr>
                <w:rFonts w:eastAsia="仿宋_GB2312" w:cs="Times New Roman"/>
                <w:bCs/>
                <w:kern w:val="0"/>
                <w:sz w:val="24"/>
                <w:szCs w:val="24"/>
              </w:rPr>
              <w:t>碳排放强度</w:t>
            </w:r>
          </w:p>
        </w:tc>
        <w:tc>
          <w:tcPr>
            <w:tcW w:w="1188" w:type="dxa"/>
            <w:vAlign w:val="center"/>
          </w:tcPr>
          <w:p>
            <w:pPr>
              <w:adjustRightInd w:val="0"/>
              <w:snapToGrid w:val="0"/>
              <w:spacing w:line="288" w:lineRule="auto"/>
              <w:ind w:firstLine="0" w:firstLineChars="0"/>
              <w:rPr>
                <w:rFonts w:eastAsia="仿宋_GB2312" w:cs="Times New Roman"/>
                <w:sz w:val="24"/>
                <w:szCs w:val="24"/>
              </w:rPr>
            </w:pPr>
            <w:r>
              <w:rPr>
                <w:rFonts w:eastAsia="仿宋_GB2312" w:cs="Times New Roman"/>
                <w:sz w:val="24"/>
                <w:szCs w:val="24"/>
              </w:rPr>
              <w:t>下降3.6%（目标</w:t>
            </w:r>
            <w:r>
              <w:rPr>
                <w:rFonts w:hint="eastAsia" w:eastAsia="仿宋_GB2312" w:cs="Times New Roman"/>
                <w:sz w:val="24"/>
                <w:szCs w:val="24"/>
              </w:rPr>
              <w:t>是下降达</w:t>
            </w:r>
            <w:r>
              <w:rPr>
                <w:rFonts w:eastAsia="仿宋_GB2312" w:cs="Times New Roman"/>
                <w:sz w:val="24"/>
                <w:szCs w:val="24"/>
              </w:rPr>
              <w:t>4.4%）</w:t>
            </w:r>
          </w:p>
        </w:tc>
        <w:tc>
          <w:tcPr>
            <w:tcW w:w="3327"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市生态环境局牵头，联合市工业和信息化局、市发展改革委组织开展以排放二氧化碳大户为首的工业企业加强节能减排降耗措施，加大淘汰落后产能力度、严控高耗能、高排放行业过快增长；开展节能减排全民行动，倡导绿色消费、适度消费。全方位管控二氧化碳排放量，才能完成年度目标任务。</w:t>
            </w:r>
          </w:p>
        </w:tc>
        <w:tc>
          <w:tcPr>
            <w:tcW w:w="3561"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市生态环境局牵头，联合市工业和信息化局、市发展改革委组织开展以排放二氧化碳大户为首的工业企业加强节能减排降耗措施，加大淘汰落后产能力度、严控高耗能、高排放行业过快增长；开展节能减排全民行动，倡导绿色消费、适度消费。全方位管控二氧化碳排放量，才能完成年度目标任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9" w:type="dxa"/>
            <w:vMerge w:val="restart"/>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生态生活</w:t>
            </w:r>
          </w:p>
        </w:tc>
        <w:tc>
          <w:tcPr>
            <w:tcW w:w="957"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城镇污水处理率</w:t>
            </w:r>
            <w:r>
              <w:rPr>
                <w:rFonts w:eastAsia="仿宋_GB2312" w:cs="Times New Roman"/>
                <w:bCs/>
                <w:kern w:val="0"/>
                <w:sz w:val="24"/>
                <w:szCs w:val="24"/>
              </w:rPr>
              <w:t>（%）</w:t>
            </w:r>
          </w:p>
        </w:tc>
        <w:tc>
          <w:tcPr>
            <w:tcW w:w="1188" w:type="dxa"/>
            <w:vAlign w:val="center"/>
          </w:tcPr>
          <w:p>
            <w:pPr>
              <w:widowControl/>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94.8%未达考核要求（</w:t>
            </w:r>
            <w:r>
              <w:rPr>
                <w:rFonts w:hint="eastAsia" w:eastAsia="仿宋_GB2312" w:cs="Times New Roman"/>
                <w:sz w:val="24"/>
                <w:szCs w:val="24"/>
              </w:rPr>
              <w:t>≥</w:t>
            </w:r>
            <w:r>
              <w:rPr>
                <w:rFonts w:eastAsia="仿宋_GB2312" w:cs="Times New Roman"/>
                <w:sz w:val="24"/>
                <w:szCs w:val="24"/>
              </w:rPr>
              <w:t>95%）</w:t>
            </w:r>
          </w:p>
        </w:tc>
        <w:tc>
          <w:tcPr>
            <w:tcW w:w="3327"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市住房城乡建设局负责牵头加强完善县城污水处理设施及其配套管网建设，不断提升城区生活污水收集和处理能力，全面推进污水全收集、全处理，进一步加强对城市污水处理设施的运行监管。</w:t>
            </w:r>
          </w:p>
        </w:tc>
        <w:tc>
          <w:tcPr>
            <w:tcW w:w="3561"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市住房城乡建设局负责牵头加强完善县城污水处理设施及其配套管网建设，不断提升城区生活污水收集和处理能力，全面推进污水全收集、全处理，进一步加强对城市污水处理设施的运行监管。同时，加大城市污水管网无法覆盖的零星地点的分散式污水处理设施建设。确保达标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9" w:type="dxa"/>
            <w:vMerge w:val="continue"/>
            <w:vAlign w:val="center"/>
          </w:tcPr>
          <w:p>
            <w:pPr>
              <w:adjustRightInd w:val="0"/>
              <w:snapToGrid w:val="0"/>
              <w:spacing w:line="288" w:lineRule="auto"/>
              <w:ind w:firstLine="0" w:firstLineChars="0"/>
              <w:jc w:val="center"/>
              <w:rPr>
                <w:rFonts w:eastAsia="仿宋_GB2312" w:cs="Times New Roman"/>
                <w:sz w:val="24"/>
                <w:szCs w:val="24"/>
              </w:rPr>
            </w:pPr>
          </w:p>
        </w:tc>
        <w:tc>
          <w:tcPr>
            <w:tcW w:w="957"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城镇人均公园绿地面积</w:t>
            </w:r>
          </w:p>
        </w:tc>
        <w:tc>
          <w:tcPr>
            <w:tcW w:w="1188" w:type="dxa"/>
            <w:vAlign w:val="center"/>
          </w:tcPr>
          <w:p>
            <w:pPr>
              <w:widowControl/>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12.89平方米/人（</w:t>
            </w:r>
            <w:r>
              <w:rPr>
                <w:rFonts w:hint="eastAsia" w:eastAsia="仿宋_GB2312" w:cs="Times New Roman"/>
                <w:sz w:val="24"/>
                <w:szCs w:val="24"/>
              </w:rPr>
              <w:t>≥</w:t>
            </w:r>
            <w:r>
              <w:rPr>
                <w:rFonts w:eastAsia="仿宋_GB2312" w:cs="Times New Roman"/>
                <w:sz w:val="24"/>
                <w:szCs w:val="24"/>
              </w:rPr>
              <w:t>15平方米/人）</w:t>
            </w:r>
          </w:p>
        </w:tc>
        <w:tc>
          <w:tcPr>
            <w:tcW w:w="3327"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市林业和园林局负责推进城镇公园绿地建设的力度，开展公园绿地项目建设。</w:t>
            </w:r>
          </w:p>
        </w:tc>
        <w:tc>
          <w:tcPr>
            <w:tcW w:w="3561"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市林业和园林局继续加大公园绿地建设力度。规划期内，促使城镇人均公园绿地面积达标（≥15平方米/人）。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9" w:type="dxa"/>
            <w:vMerge w:val="continue"/>
            <w:vAlign w:val="center"/>
          </w:tcPr>
          <w:p>
            <w:pPr>
              <w:adjustRightInd w:val="0"/>
              <w:snapToGrid w:val="0"/>
              <w:spacing w:line="288" w:lineRule="auto"/>
              <w:ind w:firstLine="0" w:firstLineChars="0"/>
              <w:jc w:val="center"/>
              <w:rPr>
                <w:rFonts w:eastAsia="仿宋_GB2312" w:cs="Times New Roman"/>
                <w:sz w:val="24"/>
                <w:szCs w:val="24"/>
              </w:rPr>
            </w:pPr>
          </w:p>
        </w:tc>
        <w:tc>
          <w:tcPr>
            <w:tcW w:w="957"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城镇新建绿色建筑比例</w:t>
            </w:r>
          </w:p>
        </w:tc>
        <w:tc>
          <w:tcPr>
            <w:tcW w:w="1188" w:type="dxa"/>
            <w:vAlign w:val="center"/>
          </w:tcPr>
          <w:p>
            <w:pPr>
              <w:widowControl/>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39%</w:t>
            </w:r>
            <w:r>
              <w:rPr>
                <w:rFonts w:hint="eastAsia" w:eastAsia="仿宋_GB2312" w:cs="Times New Roman"/>
                <w:sz w:val="24"/>
                <w:szCs w:val="24"/>
              </w:rPr>
              <w:t>，</w:t>
            </w:r>
            <w:r>
              <w:rPr>
                <w:rFonts w:eastAsia="仿宋_GB2312" w:cs="Times New Roman"/>
                <w:sz w:val="24"/>
                <w:szCs w:val="24"/>
              </w:rPr>
              <w:t>未达考核要求（</w:t>
            </w:r>
            <w:r>
              <w:rPr>
                <w:rFonts w:hint="eastAsia" w:eastAsia="仿宋_GB2312" w:cs="Times New Roman"/>
                <w:sz w:val="24"/>
                <w:szCs w:val="24"/>
              </w:rPr>
              <w:t>≥</w:t>
            </w:r>
            <w:r>
              <w:rPr>
                <w:rFonts w:eastAsia="仿宋_GB2312" w:cs="Times New Roman"/>
                <w:sz w:val="24"/>
                <w:szCs w:val="24"/>
              </w:rPr>
              <w:t>50%）</w:t>
            </w:r>
          </w:p>
        </w:tc>
        <w:tc>
          <w:tcPr>
            <w:tcW w:w="3327"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市住房城乡建设局负责牵头继续开展建筑节能绿色建筑贯宣培训，运用现有制度和监管机制，保证建筑节能设计标准执行的全过程控制，提高城镇新建绿色建筑比例。</w:t>
            </w:r>
          </w:p>
        </w:tc>
        <w:tc>
          <w:tcPr>
            <w:tcW w:w="3561"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市住房城乡建设局负责牵头加强开展建筑节能绿色建筑贯宣培训，运用现有制度和监管机制，保证建筑节能设计标准执行的全过程控制，确保城镇新建绿色建筑比例达标。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9" w:type="dxa"/>
            <w:vMerge w:val="continue"/>
            <w:vAlign w:val="center"/>
          </w:tcPr>
          <w:p>
            <w:pPr>
              <w:adjustRightInd w:val="0"/>
              <w:snapToGrid w:val="0"/>
              <w:spacing w:line="288" w:lineRule="auto"/>
              <w:ind w:firstLine="0" w:firstLineChars="0"/>
              <w:jc w:val="center"/>
              <w:rPr>
                <w:rFonts w:eastAsia="仿宋_GB2312" w:cs="Times New Roman"/>
                <w:sz w:val="24"/>
                <w:szCs w:val="24"/>
              </w:rPr>
            </w:pPr>
          </w:p>
        </w:tc>
        <w:tc>
          <w:tcPr>
            <w:tcW w:w="957"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公共交通出行分担率</w:t>
            </w:r>
          </w:p>
        </w:tc>
        <w:tc>
          <w:tcPr>
            <w:tcW w:w="1188" w:type="dxa"/>
            <w:vAlign w:val="center"/>
          </w:tcPr>
          <w:p>
            <w:pPr>
              <w:widowControl/>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未开展</w:t>
            </w:r>
          </w:p>
        </w:tc>
        <w:tc>
          <w:tcPr>
            <w:tcW w:w="3327"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市交通运输局牵头负责开展公共交通出行分担率调研工作。</w:t>
            </w:r>
          </w:p>
        </w:tc>
        <w:tc>
          <w:tcPr>
            <w:tcW w:w="3561"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市交通运输局牵头负责加强推进公共交通出行分担率调研工作。规划期间，加强宣传绿色交通，促进公众绿色出行，以促使公共交通出行分担率能达到规划目标。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5" w:hRule="atLeast"/>
          <w:jc w:val="center"/>
        </w:trPr>
        <w:tc>
          <w:tcPr>
            <w:tcW w:w="789" w:type="dxa"/>
            <w:vMerge w:val="continue"/>
            <w:vAlign w:val="center"/>
          </w:tcPr>
          <w:p>
            <w:pPr>
              <w:adjustRightInd w:val="0"/>
              <w:snapToGrid w:val="0"/>
              <w:spacing w:line="288" w:lineRule="auto"/>
              <w:ind w:firstLine="0" w:firstLineChars="0"/>
              <w:jc w:val="center"/>
              <w:rPr>
                <w:rFonts w:eastAsia="仿宋_GB2312" w:cs="Times New Roman"/>
                <w:sz w:val="24"/>
                <w:szCs w:val="24"/>
              </w:rPr>
            </w:pPr>
          </w:p>
        </w:tc>
        <w:tc>
          <w:tcPr>
            <w:tcW w:w="957"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绿色产品市场占有率</w:t>
            </w:r>
          </w:p>
        </w:tc>
        <w:tc>
          <w:tcPr>
            <w:tcW w:w="1188" w:type="dxa"/>
            <w:vAlign w:val="center"/>
          </w:tcPr>
          <w:p>
            <w:pPr>
              <w:widowControl/>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未开展</w:t>
            </w:r>
          </w:p>
        </w:tc>
        <w:tc>
          <w:tcPr>
            <w:tcW w:w="3327" w:type="dxa"/>
            <w:vAlign w:val="center"/>
          </w:tcPr>
          <w:p>
            <w:pPr>
              <w:adjustRightInd w:val="0"/>
              <w:snapToGrid w:val="0"/>
              <w:spacing w:line="288" w:lineRule="auto"/>
              <w:ind w:firstLine="0" w:firstLineChars="0"/>
              <w:jc w:val="left"/>
              <w:rPr>
                <w:rFonts w:eastAsia="仿宋_GB2312" w:cs="Times New Roman"/>
                <w:sz w:val="24"/>
                <w:szCs w:val="24"/>
              </w:rPr>
            </w:pPr>
            <w:r>
              <w:rPr>
                <w:rFonts w:hint="eastAsia" w:eastAsia="仿宋_GB2312" w:cs="Times New Roman"/>
                <w:sz w:val="24"/>
                <w:szCs w:val="24"/>
              </w:rPr>
              <w:t>国家统计局柳州调查队</w:t>
            </w:r>
            <w:r>
              <w:rPr>
                <w:rFonts w:eastAsia="仿宋_GB2312" w:cs="Times New Roman"/>
                <w:sz w:val="24"/>
                <w:szCs w:val="24"/>
              </w:rPr>
              <w:t>负责牵头开展节能家电和节水型器具的宣传，提高知名率和群众购买率，以有效提高节能家电产品市场占有率和在售用水器具中节水型器具占比。同时加强</w:t>
            </w:r>
            <w:r>
              <w:rPr>
                <w:rFonts w:hint="eastAsia" w:eastAsia="仿宋_GB2312" w:cs="Times New Roman"/>
                <w:sz w:val="24"/>
                <w:szCs w:val="24"/>
              </w:rPr>
              <w:t>宣传</w:t>
            </w:r>
            <w:r>
              <w:rPr>
                <w:rFonts w:eastAsia="仿宋_GB2312" w:cs="Times New Roman"/>
                <w:sz w:val="24"/>
                <w:szCs w:val="24"/>
              </w:rPr>
              <w:t>绿色环保理念，引导消费者建立健康消费，促使全市民众自觉不使用或减少使用一次性消费品，以此降低一次性消费品人均使用量。</w:t>
            </w:r>
          </w:p>
        </w:tc>
        <w:tc>
          <w:tcPr>
            <w:tcW w:w="3561"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国家统计局柳州调查队负责牵头开展节能家电和节水型器具的宣传，提高知名率和群众购买率，以有效提高节能家电产品市场占有率和在售用水器具中节水型器具占比。同时加强</w:t>
            </w:r>
            <w:r>
              <w:rPr>
                <w:rFonts w:hint="eastAsia" w:eastAsia="仿宋_GB2312" w:cs="Times New Roman"/>
                <w:sz w:val="24"/>
                <w:szCs w:val="24"/>
              </w:rPr>
              <w:t>宣传</w:t>
            </w:r>
            <w:r>
              <w:rPr>
                <w:rFonts w:eastAsia="仿宋_GB2312" w:cs="Times New Roman"/>
                <w:sz w:val="24"/>
                <w:szCs w:val="24"/>
              </w:rPr>
              <w:t>绿色环保理念，引导消费者建立健康消费，促使全市民众自觉不使用或减少使用一次性消费品，以此降低一次性消费品人均使用量。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5" w:hRule="atLeast"/>
          <w:jc w:val="center"/>
        </w:trPr>
        <w:tc>
          <w:tcPr>
            <w:tcW w:w="789" w:type="dxa"/>
            <w:vMerge w:val="restart"/>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生态文化</w:t>
            </w:r>
          </w:p>
        </w:tc>
        <w:tc>
          <w:tcPr>
            <w:tcW w:w="957"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公众对生态文明建设的满意度</w:t>
            </w:r>
          </w:p>
        </w:tc>
        <w:tc>
          <w:tcPr>
            <w:tcW w:w="1188" w:type="dxa"/>
            <w:vAlign w:val="center"/>
          </w:tcPr>
          <w:p>
            <w:pPr>
              <w:widowControl/>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未开展</w:t>
            </w:r>
          </w:p>
        </w:tc>
        <w:tc>
          <w:tcPr>
            <w:tcW w:w="3327"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国家统计局柳州调查队开展公众对生态文明建设的满意度指标的专项调研工作，建立专项调研经费以保证工作开展。</w:t>
            </w:r>
          </w:p>
        </w:tc>
        <w:tc>
          <w:tcPr>
            <w:tcW w:w="3561"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国家统计局柳州调查队负责继续开展公众对生态文明建设的满意度指标的专项调研工作。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5" w:hRule="atLeast"/>
          <w:jc w:val="center"/>
        </w:trPr>
        <w:tc>
          <w:tcPr>
            <w:tcW w:w="789" w:type="dxa"/>
            <w:vMerge w:val="continue"/>
            <w:vAlign w:val="center"/>
          </w:tcPr>
          <w:p>
            <w:pPr>
              <w:adjustRightInd w:val="0"/>
              <w:snapToGrid w:val="0"/>
              <w:spacing w:line="288" w:lineRule="auto"/>
              <w:ind w:firstLine="0" w:firstLineChars="0"/>
              <w:jc w:val="center"/>
              <w:rPr>
                <w:rFonts w:eastAsia="仿宋_GB2312" w:cs="Times New Roman"/>
                <w:sz w:val="24"/>
                <w:szCs w:val="24"/>
              </w:rPr>
            </w:pPr>
          </w:p>
        </w:tc>
        <w:tc>
          <w:tcPr>
            <w:tcW w:w="957"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公众对生态文明建设的参与度</w:t>
            </w:r>
          </w:p>
        </w:tc>
        <w:tc>
          <w:tcPr>
            <w:tcW w:w="1188" w:type="dxa"/>
            <w:vAlign w:val="center"/>
          </w:tcPr>
          <w:p>
            <w:pPr>
              <w:widowControl/>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未开展</w:t>
            </w:r>
          </w:p>
        </w:tc>
        <w:tc>
          <w:tcPr>
            <w:tcW w:w="3327" w:type="dxa"/>
            <w:vAlign w:val="center"/>
          </w:tcPr>
          <w:p>
            <w:pPr>
              <w:adjustRightInd w:val="0"/>
              <w:snapToGrid w:val="0"/>
              <w:spacing w:line="288" w:lineRule="auto"/>
              <w:ind w:firstLine="0" w:firstLineChars="0"/>
              <w:jc w:val="left"/>
              <w:rPr>
                <w:rFonts w:eastAsia="仿宋_GB2312" w:cs="Times New Roman"/>
                <w:sz w:val="24"/>
                <w:szCs w:val="24"/>
              </w:rPr>
            </w:pPr>
            <w:r>
              <w:rPr>
                <w:rFonts w:eastAsia="仿宋_GB2312" w:cs="Times New Roman"/>
                <w:sz w:val="24"/>
                <w:szCs w:val="24"/>
              </w:rPr>
              <w:t>国家统计局柳州调查队开展公众对生态文明建设的参与度指标的专项调研工作，建立专项调研经费以保证工作开展</w:t>
            </w:r>
            <w:r>
              <w:rPr>
                <w:rFonts w:hint="eastAsia" w:eastAsia="仿宋_GB2312" w:cs="Times New Roman"/>
                <w:sz w:val="24"/>
                <w:szCs w:val="24"/>
              </w:rPr>
              <w:t>。</w:t>
            </w:r>
          </w:p>
        </w:tc>
        <w:tc>
          <w:tcPr>
            <w:tcW w:w="3561" w:type="dxa"/>
            <w:vAlign w:val="center"/>
          </w:tcPr>
          <w:p>
            <w:pPr>
              <w:adjustRightInd w:val="0"/>
              <w:snapToGrid w:val="0"/>
              <w:spacing w:line="288" w:lineRule="auto"/>
              <w:ind w:firstLine="0" w:firstLineChars="0"/>
              <w:jc w:val="center"/>
              <w:rPr>
                <w:rFonts w:eastAsia="仿宋_GB2312" w:cs="Times New Roman"/>
                <w:sz w:val="24"/>
                <w:szCs w:val="24"/>
              </w:rPr>
            </w:pPr>
            <w:r>
              <w:rPr>
                <w:rFonts w:eastAsia="仿宋_GB2312" w:cs="Times New Roman"/>
                <w:sz w:val="24"/>
                <w:szCs w:val="24"/>
              </w:rPr>
              <w:t>国家统计局柳州调查队负责继续开展公众对生态文明建设的参与度指标的专项调研工作。</w:t>
            </w:r>
          </w:p>
        </w:tc>
      </w:tr>
    </w:tbl>
    <w:p>
      <w:pPr>
        <w:pStyle w:val="24"/>
        <w:spacing w:line="560" w:lineRule="exact"/>
        <w:ind w:firstLine="0" w:firstLineChars="0"/>
      </w:pPr>
    </w:p>
    <w:p>
      <w:pPr>
        <w:pStyle w:val="24"/>
        <w:spacing w:line="560" w:lineRule="exact"/>
        <w:ind w:firstLine="0" w:firstLineChars="0"/>
      </w:pPr>
    </w:p>
    <w:p>
      <w:pPr>
        <w:pStyle w:val="61"/>
        <w:spacing w:line="560" w:lineRule="exact"/>
        <w:rPr>
          <w:rFonts w:eastAsia="方正小标宋简体" w:cs="Times New Roman"/>
        </w:rPr>
      </w:pPr>
      <w:bookmarkStart w:id="265" w:name="_Toc25326"/>
      <w:bookmarkStart w:id="266" w:name="_Toc7333"/>
      <w:r>
        <w:rPr>
          <w:rFonts w:eastAsia="方正小标宋简体" w:cs="Times New Roman"/>
        </w:rPr>
        <w:t>附表3   柳州市生态文明建设示范区创建计划表</w:t>
      </w:r>
      <w:bookmarkEnd w:id="265"/>
      <w:bookmarkEnd w:id="266"/>
    </w:p>
    <w:tbl>
      <w:tblPr>
        <w:tblStyle w:val="25"/>
        <w:tblW w:w="9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901"/>
        <w:gridCol w:w="3275"/>
        <w:gridCol w:w="4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9" w:hRule="atLeast"/>
        </w:trPr>
        <w:tc>
          <w:tcPr>
            <w:tcW w:w="1901" w:type="dxa"/>
            <w:vAlign w:val="center"/>
          </w:tcPr>
          <w:p>
            <w:pPr>
              <w:widowControl/>
              <w:spacing w:line="400" w:lineRule="exact"/>
              <w:ind w:firstLine="0" w:firstLineChars="0"/>
              <w:jc w:val="center"/>
              <w:textAlignment w:val="center"/>
              <w:rPr>
                <w:rFonts w:eastAsia="仿宋_GB2312" w:cs="Times New Roman"/>
                <w:b/>
                <w:bCs/>
                <w:sz w:val="24"/>
                <w:szCs w:val="24"/>
              </w:rPr>
            </w:pPr>
            <w:r>
              <w:rPr>
                <w:rFonts w:eastAsia="仿宋_GB2312" w:cs="Times New Roman"/>
                <w:b/>
                <w:bCs/>
                <w:kern w:val="0"/>
                <w:sz w:val="24"/>
                <w:szCs w:val="24"/>
              </w:rPr>
              <w:t>类别</w:t>
            </w:r>
          </w:p>
        </w:tc>
        <w:tc>
          <w:tcPr>
            <w:tcW w:w="3275" w:type="dxa"/>
            <w:vAlign w:val="center"/>
          </w:tcPr>
          <w:p>
            <w:pPr>
              <w:widowControl/>
              <w:spacing w:line="400" w:lineRule="exact"/>
              <w:ind w:firstLine="0" w:firstLineChars="0"/>
              <w:jc w:val="center"/>
              <w:textAlignment w:val="center"/>
              <w:rPr>
                <w:rFonts w:eastAsia="仿宋_GB2312" w:cs="Times New Roman"/>
                <w:b/>
                <w:bCs/>
                <w:sz w:val="24"/>
                <w:szCs w:val="24"/>
              </w:rPr>
            </w:pPr>
            <w:r>
              <w:rPr>
                <w:rFonts w:eastAsia="仿宋_GB2312" w:cs="Times New Roman"/>
                <w:b/>
                <w:bCs/>
                <w:kern w:val="0"/>
                <w:sz w:val="24"/>
                <w:szCs w:val="24"/>
              </w:rPr>
              <w:t>2020年</w:t>
            </w:r>
          </w:p>
        </w:tc>
        <w:tc>
          <w:tcPr>
            <w:tcW w:w="4529" w:type="dxa"/>
            <w:vAlign w:val="center"/>
          </w:tcPr>
          <w:p>
            <w:pPr>
              <w:widowControl/>
              <w:spacing w:line="400" w:lineRule="exact"/>
              <w:ind w:firstLine="0" w:firstLineChars="0"/>
              <w:jc w:val="center"/>
              <w:textAlignment w:val="center"/>
              <w:rPr>
                <w:rFonts w:eastAsia="仿宋_GB2312" w:cs="Times New Roman"/>
                <w:b/>
                <w:bCs/>
                <w:sz w:val="24"/>
                <w:szCs w:val="24"/>
              </w:rPr>
            </w:pPr>
            <w:r>
              <w:rPr>
                <w:rFonts w:eastAsia="仿宋_GB2312" w:cs="Times New Roman"/>
                <w:b/>
                <w:bCs/>
                <w:kern w:val="0"/>
                <w:sz w:val="24"/>
                <w:szCs w:val="24"/>
              </w:rPr>
              <w:t>2021-2025年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9" w:hRule="atLeast"/>
        </w:trPr>
        <w:tc>
          <w:tcPr>
            <w:tcW w:w="1901" w:type="dxa"/>
            <w:vAlign w:val="center"/>
          </w:tcPr>
          <w:p>
            <w:pPr>
              <w:widowControl/>
              <w:spacing w:line="400" w:lineRule="exact"/>
              <w:ind w:firstLine="0" w:firstLineChars="0"/>
              <w:jc w:val="center"/>
              <w:textAlignment w:val="center"/>
              <w:rPr>
                <w:rFonts w:eastAsia="仿宋_GB2312" w:cs="Times New Roman"/>
                <w:sz w:val="24"/>
                <w:szCs w:val="24"/>
              </w:rPr>
            </w:pPr>
            <w:r>
              <w:rPr>
                <w:rFonts w:eastAsia="仿宋_GB2312" w:cs="Times New Roman"/>
                <w:kern w:val="0"/>
                <w:sz w:val="24"/>
                <w:szCs w:val="24"/>
              </w:rPr>
              <w:t>国家级生态文明建设示范区</w:t>
            </w:r>
          </w:p>
        </w:tc>
        <w:tc>
          <w:tcPr>
            <w:tcW w:w="3275" w:type="dxa"/>
            <w:vAlign w:val="center"/>
          </w:tcPr>
          <w:p>
            <w:pPr>
              <w:widowControl/>
              <w:spacing w:line="400" w:lineRule="exact"/>
              <w:ind w:firstLine="0" w:firstLineChars="0"/>
              <w:jc w:val="center"/>
              <w:textAlignment w:val="center"/>
              <w:rPr>
                <w:rFonts w:eastAsia="仿宋_GB2312" w:cs="Times New Roman"/>
                <w:kern w:val="0"/>
                <w:sz w:val="24"/>
                <w:szCs w:val="24"/>
              </w:rPr>
            </w:pPr>
            <w:r>
              <w:rPr>
                <w:rFonts w:eastAsia="仿宋_GB2312" w:cs="Times New Roman"/>
                <w:kern w:val="0"/>
                <w:sz w:val="24"/>
                <w:szCs w:val="24"/>
              </w:rPr>
              <w:t>鹿寨县</w:t>
            </w:r>
          </w:p>
        </w:tc>
        <w:tc>
          <w:tcPr>
            <w:tcW w:w="4529" w:type="dxa"/>
            <w:vAlign w:val="center"/>
          </w:tcPr>
          <w:p>
            <w:pPr>
              <w:widowControl/>
              <w:spacing w:line="400" w:lineRule="exact"/>
              <w:ind w:firstLine="0" w:firstLineChars="0"/>
              <w:jc w:val="center"/>
              <w:textAlignment w:val="center"/>
              <w:rPr>
                <w:rFonts w:eastAsia="仿宋_GB2312" w:cs="Times New Roman"/>
                <w:kern w:val="0"/>
                <w:sz w:val="24"/>
                <w:szCs w:val="24"/>
              </w:rPr>
            </w:pPr>
            <w:r>
              <w:rPr>
                <w:rFonts w:eastAsia="仿宋_GB2312" w:cs="Times New Roman"/>
                <w:kern w:val="0"/>
                <w:sz w:val="24"/>
                <w:szCs w:val="24"/>
              </w:rPr>
              <w:t>柳城县、融水苗族自治县、柳江区、融安县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9" w:hRule="atLeast"/>
        </w:trPr>
        <w:tc>
          <w:tcPr>
            <w:tcW w:w="1901" w:type="dxa"/>
            <w:vAlign w:val="center"/>
          </w:tcPr>
          <w:p>
            <w:pPr>
              <w:widowControl/>
              <w:spacing w:line="400" w:lineRule="exact"/>
              <w:ind w:firstLine="0" w:firstLineChars="0"/>
              <w:jc w:val="center"/>
              <w:textAlignment w:val="center"/>
              <w:rPr>
                <w:rFonts w:eastAsia="仿宋_GB2312" w:cs="Times New Roman"/>
                <w:kern w:val="0"/>
                <w:sz w:val="24"/>
                <w:szCs w:val="24"/>
              </w:rPr>
            </w:pPr>
            <w:r>
              <w:rPr>
                <w:rFonts w:eastAsia="仿宋_GB2312" w:cs="Times New Roman"/>
                <w:kern w:val="0"/>
                <w:sz w:val="24"/>
                <w:szCs w:val="24"/>
              </w:rPr>
              <w:t>自治区级生态县</w:t>
            </w:r>
          </w:p>
        </w:tc>
        <w:tc>
          <w:tcPr>
            <w:tcW w:w="3275" w:type="dxa"/>
            <w:vAlign w:val="center"/>
          </w:tcPr>
          <w:p>
            <w:pPr>
              <w:widowControl/>
              <w:spacing w:line="400" w:lineRule="exact"/>
              <w:ind w:firstLine="0" w:firstLineChars="0"/>
              <w:jc w:val="center"/>
              <w:textAlignment w:val="center"/>
              <w:rPr>
                <w:rFonts w:eastAsia="仿宋_GB2312" w:cs="Times New Roman"/>
                <w:kern w:val="0"/>
                <w:sz w:val="24"/>
                <w:szCs w:val="24"/>
              </w:rPr>
            </w:pPr>
            <w:r>
              <w:rPr>
                <w:rFonts w:eastAsia="仿宋_GB2312" w:cs="Times New Roman"/>
                <w:kern w:val="0"/>
                <w:sz w:val="24"/>
                <w:szCs w:val="24"/>
              </w:rPr>
              <w:t>融安县、融水苗族自治县</w:t>
            </w:r>
          </w:p>
        </w:tc>
        <w:tc>
          <w:tcPr>
            <w:tcW w:w="4529" w:type="dxa"/>
            <w:vAlign w:val="center"/>
          </w:tcPr>
          <w:p>
            <w:pPr>
              <w:widowControl/>
              <w:spacing w:line="400" w:lineRule="exact"/>
              <w:ind w:firstLine="0" w:firstLineChars="0"/>
              <w:jc w:val="center"/>
              <w:textAlignment w:val="center"/>
              <w:rPr>
                <w:rFonts w:eastAsia="仿宋_GB2312" w:cs="Times New Roman"/>
                <w:kern w:val="0"/>
                <w:sz w:val="24"/>
                <w:szCs w:val="24"/>
              </w:rPr>
            </w:pPr>
            <w:r>
              <w:rPr>
                <w:rFonts w:eastAsia="仿宋_GB2312" w:cs="Times New Roman"/>
                <w:kern w:val="0"/>
                <w:sz w:val="24"/>
                <w:szCs w:val="24"/>
              </w:rPr>
              <w:t>/</w:t>
            </w:r>
          </w:p>
        </w:tc>
      </w:tr>
    </w:tbl>
    <w:p>
      <w:pPr>
        <w:spacing w:line="240" w:lineRule="auto"/>
        <w:ind w:firstLine="0" w:firstLineChars="0"/>
        <w:jc w:val="center"/>
        <w:rPr>
          <w:rFonts w:ascii="宋体" w:hAnsi="宋体" w:eastAsia="宋体" w:cs="宋体"/>
          <w:sz w:val="24"/>
          <w:szCs w:val="24"/>
        </w:rPr>
      </w:pPr>
    </w:p>
    <w:p>
      <w:pPr>
        <w:spacing w:line="240" w:lineRule="auto"/>
        <w:ind w:firstLine="0" w:firstLineChars="0"/>
        <w:jc w:val="center"/>
        <w:rPr>
          <w:rFonts w:ascii="宋体" w:hAnsi="宋体" w:eastAsia="宋体" w:cs="宋体"/>
          <w:sz w:val="24"/>
          <w:szCs w:val="24"/>
        </w:rPr>
      </w:pPr>
    </w:p>
    <w:p>
      <w:pPr>
        <w:spacing w:line="240" w:lineRule="auto"/>
        <w:ind w:firstLine="0" w:firstLineChars="0"/>
        <w:jc w:val="center"/>
        <w:rPr>
          <w:rFonts w:ascii="宋体" w:hAnsi="宋体" w:eastAsia="宋体" w:cs="宋体"/>
          <w:sz w:val="24"/>
          <w:szCs w:val="24"/>
        </w:rPr>
        <w:sectPr>
          <w:pgSz w:w="11850" w:h="16783"/>
          <w:pgMar w:top="1134" w:right="1134" w:bottom="1134" w:left="1134" w:header="851" w:footer="992" w:gutter="0"/>
          <w:cols w:space="0" w:num="1"/>
          <w:docGrid w:type="lines" w:linePitch="326" w:charSpace="0"/>
        </w:sectPr>
      </w:pPr>
    </w:p>
    <w:p>
      <w:pPr>
        <w:pStyle w:val="3"/>
        <w:keepNext w:val="0"/>
        <w:keepLines w:val="0"/>
        <w:adjustRightInd w:val="0"/>
        <w:snapToGrid w:val="0"/>
        <w:spacing w:before="0" w:after="0" w:line="560" w:lineRule="exact"/>
        <w:ind w:firstLine="0" w:firstLineChars="0"/>
        <w:jc w:val="center"/>
        <w:rPr>
          <w:rFonts w:eastAsia="方正小标宋简体" w:cs="Times New Roman"/>
          <w:b w:val="0"/>
          <w:bCs w:val="0"/>
          <w:kern w:val="0"/>
          <w:sz w:val="32"/>
          <w:szCs w:val="32"/>
        </w:rPr>
      </w:pPr>
      <w:bookmarkStart w:id="267" w:name="_Toc30651"/>
      <w:bookmarkStart w:id="268" w:name="_Toc21662"/>
      <w:r>
        <w:rPr>
          <w:rFonts w:eastAsia="方正小标宋简体" w:cs="Times New Roman"/>
          <w:b w:val="0"/>
          <w:bCs w:val="0"/>
          <w:kern w:val="0"/>
          <w:sz w:val="32"/>
          <w:szCs w:val="32"/>
        </w:rPr>
        <w:t>附图1　柳州市地理位置图</w:t>
      </w:r>
      <w:bookmarkEnd w:id="267"/>
      <w:bookmarkEnd w:id="268"/>
    </w:p>
    <w:p>
      <w:pPr>
        <w:pStyle w:val="2"/>
        <w:ind w:firstLine="640"/>
        <w:rPr>
          <w:rFonts w:cs="Times New Roman"/>
        </w:rPr>
      </w:pPr>
      <w:r>
        <w:rPr>
          <w:rFonts w:eastAsia="方正小标宋简体" w:cs="Times New Roman"/>
          <w:kern w:val="0"/>
          <w:szCs w:val="32"/>
        </w:rPr>
        <w:drawing>
          <wp:anchor distT="0" distB="0" distL="114300" distR="114300" simplePos="0" relativeHeight="251659264" behindDoc="0" locked="0" layoutInCell="1" allowOverlap="1">
            <wp:simplePos x="0" y="0"/>
            <wp:positionH relativeFrom="column">
              <wp:posOffset>711200</wp:posOffset>
            </wp:positionH>
            <wp:positionV relativeFrom="paragraph">
              <wp:posOffset>27940</wp:posOffset>
            </wp:positionV>
            <wp:extent cx="7894320" cy="5125085"/>
            <wp:effectExtent l="0" t="0" r="11430" b="18415"/>
            <wp:wrapSquare wrapText="bothSides"/>
            <wp:docPr id="50" name="图片 50" descr="01柳州市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1柳州市区位图"/>
                    <pic:cNvPicPr>
                      <a:picLocks noChangeAspect="1"/>
                    </pic:cNvPicPr>
                  </pic:nvPicPr>
                  <pic:blipFill>
                    <a:blip r:embed="rId24" cstate="print"/>
                    <a:srcRect l="837" r="1914" b="758"/>
                    <a:stretch>
                      <a:fillRect/>
                    </a:stretch>
                  </pic:blipFill>
                  <pic:spPr>
                    <a:xfrm>
                      <a:off x="0" y="0"/>
                      <a:ext cx="7894320" cy="5125085"/>
                    </a:xfrm>
                    <a:prstGeom prst="rect">
                      <a:avLst/>
                    </a:prstGeom>
                  </pic:spPr>
                </pic:pic>
              </a:graphicData>
            </a:graphic>
          </wp:anchor>
        </w:drawing>
      </w:r>
    </w:p>
    <w:p>
      <w:pPr>
        <w:pStyle w:val="2"/>
        <w:ind w:firstLine="640"/>
        <w:rPr>
          <w:rFonts w:cs="Times New Roman"/>
        </w:rPr>
      </w:pPr>
    </w:p>
    <w:p>
      <w:pPr>
        <w:pStyle w:val="2"/>
        <w:ind w:firstLine="640"/>
        <w:rPr>
          <w:rFonts w:cs="Times New Roman"/>
        </w:rPr>
      </w:pPr>
    </w:p>
    <w:p>
      <w:pPr>
        <w:pStyle w:val="2"/>
        <w:ind w:firstLine="640"/>
        <w:rPr>
          <w:rFonts w:cs="Times New Roman"/>
        </w:rPr>
      </w:pPr>
    </w:p>
    <w:p>
      <w:pPr>
        <w:pStyle w:val="2"/>
        <w:ind w:firstLine="640"/>
        <w:rPr>
          <w:rFonts w:cs="Times New Roman"/>
        </w:rPr>
      </w:pPr>
    </w:p>
    <w:p>
      <w:pPr>
        <w:pStyle w:val="2"/>
        <w:ind w:firstLine="640"/>
        <w:rPr>
          <w:rFonts w:cs="Times New Roman"/>
        </w:rPr>
      </w:pPr>
    </w:p>
    <w:p>
      <w:pPr>
        <w:pStyle w:val="2"/>
        <w:ind w:firstLine="640"/>
        <w:rPr>
          <w:rFonts w:cs="Times New Roman"/>
        </w:rPr>
      </w:pPr>
    </w:p>
    <w:p>
      <w:pPr>
        <w:pStyle w:val="2"/>
        <w:ind w:firstLine="640"/>
        <w:rPr>
          <w:rFonts w:cs="Times New Roman"/>
        </w:rPr>
        <w:sectPr>
          <w:pgSz w:w="16783" w:h="11850" w:orient="landscape"/>
          <w:pgMar w:top="1134" w:right="1134" w:bottom="1134" w:left="1134" w:header="851" w:footer="992" w:gutter="0"/>
          <w:cols w:space="0" w:num="1"/>
          <w:docGrid w:type="lines" w:linePitch="326" w:charSpace="0"/>
        </w:sectPr>
      </w:pPr>
    </w:p>
    <w:p>
      <w:pPr>
        <w:pStyle w:val="3"/>
        <w:keepNext w:val="0"/>
        <w:keepLines w:val="0"/>
        <w:adjustRightInd w:val="0"/>
        <w:snapToGrid w:val="0"/>
        <w:spacing w:before="0" w:after="0" w:line="560" w:lineRule="exact"/>
        <w:ind w:firstLine="0" w:firstLineChars="0"/>
        <w:jc w:val="center"/>
        <w:rPr>
          <w:rFonts w:eastAsia="方正小标宋简体" w:cs="Times New Roman"/>
          <w:b w:val="0"/>
          <w:bCs w:val="0"/>
          <w:kern w:val="0"/>
          <w:sz w:val="32"/>
          <w:szCs w:val="32"/>
        </w:rPr>
      </w:pPr>
      <w:bookmarkStart w:id="269" w:name="_Toc5950"/>
      <w:bookmarkStart w:id="270" w:name="_Toc7593"/>
      <w:bookmarkStart w:id="271" w:name="_Toc30902"/>
      <w:r>
        <w:rPr>
          <w:rFonts w:eastAsia="方正小标宋简体" w:cs="Times New Roman"/>
          <w:b w:val="0"/>
          <w:bCs w:val="0"/>
          <w:kern w:val="0"/>
          <w:sz w:val="32"/>
          <w:szCs w:val="32"/>
        </w:rPr>
        <w:t>附图2　柳州市高程图</w:t>
      </w:r>
      <w:bookmarkEnd w:id="269"/>
      <w:bookmarkEnd w:id="270"/>
      <w:bookmarkEnd w:id="271"/>
    </w:p>
    <w:p>
      <w:pPr>
        <w:pStyle w:val="24"/>
        <w:adjustRightInd w:val="0"/>
        <w:snapToGrid w:val="0"/>
        <w:spacing w:line="240" w:lineRule="auto"/>
        <w:ind w:firstLine="0" w:firstLineChars="0"/>
        <w:jc w:val="center"/>
        <w:rPr>
          <w:rFonts w:eastAsia="仿宋_GB2312" w:cs="Times New Roman"/>
          <w:sz w:val="32"/>
          <w:szCs w:val="32"/>
        </w:rPr>
      </w:pPr>
      <w:r>
        <w:rPr>
          <w:rFonts w:eastAsia="仿宋_GB2312" w:cs="Times New Roman"/>
          <w:sz w:val="32"/>
          <w:szCs w:val="32"/>
        </w:rPr>
        <w:drawing>
          <wp:inline distT="0" distB="0" distL="114300" distR="114300">
            <wp:extent cx="5388610" cy="8293735"/>
            <wp:effectExtent l="0" t="0" r="2540" b="12065"/>
            <wp:docPr id="51" name="图片 51" descr="附图2 柳州市高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附图2 柳州市高程图"/>
                    <pic:cNvPicPr>
                      <a:picLocks noChangeAspect="1"/>
                    </pic:cNvPicPr>
                  </pic:nvPicPr>
                  <pic:blipFill>
                    <a:blip r:embed="rId25" cstate="print"/>
                    <a:srcRect l="4516" r="3613"/>
                    <a:stretch>
                      <a:fillRect/>
                    </a:stretch>
                  </pic:blipFill>
                  <pic:spPr>
                    <a:xfrm>
                      <a:off x="0" y="0"/>
                      <a:ext cx="5388610" cy="8293735"/>
                    </a:xfrm>
                    <a:prstGeom prst="rect">
                      <a:avLst/>
                    </a:prstGeom>
                  </pic:spPr>
                </pic:pic>
              </a:graphicData>
            </a:graphic>
          </wp:inline>
        </w:drawing>
      </w:r>
    </w:p>
    <w:p>
      <w:pPr>
        <w:pStyle w:val="3"/>
        <w:keepNext w:val="0"/>
        <w:keepLines w:val="0"/>
        <w:adjustRightInd w:val="0"/>
        <w:snapToGrid w:val="0"/>
        <w:spacing w:before="0" w:after="0" w:line="560" w:lineRule="exact"/>
        <w:ind w:firstLine="0" w:firstLineChars="0"/>
        <w:jc w:val="center"/>
        <w:rPr>
          <w:rFonts w:eastAsia="方正小标宋简体" w:cs="Times New Roman"/>
          <w:b w:val="0"/>
          <w:bCs w:val="0"/>
          <w:kern w:val="0"/>
          <w:sz w:val="32"/>
          <w:szCs w:val="32"/>
        </w:rPr>
      </w:pPr>
      <w:bookmarkStart w:id="272" w:name="_Toc30018"/>
      <w:bookmarkStart w:id="273" w:name="_Toc20540"/>
      <w:bookmarkStart w:id="274" w:name="_Toc400"/>
      <w:r>
        <w:rPr>
          <w:rFonts w:eastAsia="方正小标宋简体" w:cs="Times New Roman"/>
          <w:b w:val="0"/>
          <w:bCs w:val="0"/>
          <w:kern w:val="0"/>
          <w:sz w:val="32"/>
          <w:szCs w:val="32"/>
        </w:rPr>
        <w:t>附图3　柳州市水系图</w:t>
      </w:r>
      <w:bookmarkEnd w:id="272"/>
      <w:bookmarkEnd w:id="273"/>
      <w:bookmarkEnd w:id="274"/>
    </w:p>
    <w:p>
      <w:pPr>
        <w:pStyle w:val="24"/>
        <w:adjustRightInd w:val="0"/>
        <w:snapToGrid w:val="0"/>
        <w:spacing w:line="240" w:lineRule="auto"/>
        <w:ind w:firstLine="0" w:firstLineChars="0"/>
        <w:jc w:val="center"/>
        <w:rPr>
          <w:rFonts w:eastAsia="仿宋_GB2312" w:cs="Times New Roman"/>
          <w:sz w:val="32"/>
          <w:szCs w:val="32"/>
        </w:rPr>
      </w:pPr>
      <w:bookmarkStart w:id="275" w:name="_Toc20380"/>
      <w:r>
        <w:rPr>
          <w:rFonts w:eastAsia="仿宋_GB2312" w:cs="Times New Roman"/>
          <w:sz w:val="32"/>
          <w:szCs w:val="32"/>
        </w:rPr>
        <w:drawing>
          <wp:inline distT="0" distB="0" distL="114300" distR="114300">
            <wp:extent cx="5300980" cy="8282940"/>
            <wp:effectExtent l="0" t="0" r="13970" b="3810"/>
            <wp:docPr id="57" name="图片 57" descr="03柳州市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3柳州市水系图"/>
                    <pic:cNvPicPr>
                      <a:picLocks noChangeAspect="1"/>
                    </pic:cNvPicPr>
                  </pic:nvPicPr>
                  <pic:blipFill>
                    <a:blip r:embed="rId26" cstate="print"/>
                    <a:srcRect l="4047" r="3336"/>
                    <a:stretch>
                      <a:fillRect/>
                    </a:stretch>
                  </pic:blipFill>
                  <pic:spPr>
                    <a:xfrm>
                      <a:off x="0" y="0"/>
                      <a:ext cx="5300980" cy="8282940"/>
                    </a:xfrm>
                    <a:prstGeom prst="rect">
                      <a:avLst/>
                    </a:prstGeom>
                  </pic:spPr>
                </pic:pic>
              </a:graphicData>
            </a:graphic>
          </wp:inline>
        </w:drawing>
      </w:r>
    </w:p>
    <w:p>
      <w:pPr>
        <w:pStyle w:val="3"/>
        <w:keepNext w:val="0"/>
        <w:keepLines w:val="0"/>
        <w:adjustRightInd w:val="0"/>
        <w:snapToGrid w:val="0"/>
        <w:spacing w:before="0" w:after="0" w:line="560" w:lineRule="exact"/>
        <w:ind w:firstLine="0" w:firstLineChars="0"/>
        <w:jc w:val="center"/>
        <w:rPr>
          <w:rFonts w:eastAsia="方正小标宋简体" w:cs="Times New Roman"/>
          <w:b w:val="0"/>
          <w:bCs w:val="0"/>
          <w:kern w:val="0"/>
          <w:sz w:val="32"/>
          <w:szCs w:val="32"/>
        </w:rPr>
      </w:pPr>
      <w:bookmarkStart w:id="276" w:name="_Toc1406"/>
      <w:bookmarkStart w:id="277" w:name="_Toc14324"/>
      <w:r>
        <w:rPr>
          <w:rFonts w:eastAsia="方正小标宋简体" w:cs="Times New Roman"/>
          <w:b w:val="0"/>
          <w:bCs w:val="0"/>
          <w:kern w:val="0"/>
          <w:sz w:val="32"/>
          <w:szCs w:val="32"/>
        </w:rPr>
        <w:t>附图4　柳州市行政区划图</w:t>
      </w:r>
      <w:bookmarkEnd w:id="275"/>
      <w:bookmarkEnd w:id="276"/>
      <w:bookmarkEnd w:id="277"/>
    </w:p>
    <w:p>
      <w:pPr>
        <w:pStyle w:val="24"/>
        <w:ind w:firstLine="0" w:firstLineChars="0"/>
        <w:jc w:val="both"/>
      </w:pPr>
      <w:r>
        <w:drawing>
          <wp:inline distT="0" distB="0" distL="114300" distR="114300">
            <wp:extent cx="5203825" cy="7943215"/>
            <wp:effectExtent l="0" t="0" r="15875" b="635"/>
            <wp:docPr id="64" name="图片 64" descr="04柳州市行政区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4柳州市行政区域图"/>
                    <pic:cNvPicPr>
                      <a:picLocks noChangeAspect="1"/>
                    </pic:cNvPicPr>
                  </pic:nvPicPr>
                  <pic:blipFill>
                    <a:blip r:embed="rId27" cstate="print"/>
                    <a:srcRect l="3565" r="3806"/>
                    <a:stretch>
                      <a:fillRect/>
                    </a:stretch>
                  </pic:blipFill>
                  <pic:spPr>
                    <a:xfrm>
                      <a:off x="0" y="0"/>
                      <a:ext cx="5203825" cy="7943215"/>
                    </a:xfrm>
                    <a:prstGeom prst="rect">
                      <a:avLst/>
                    </a:prstGeom>
                  </pic:spPr>
                </pic:pic>
              </a:graphicData>
            </a:graphic>
          </wp:inline>
        </w:drawing>
      </w:r>
    </w:p>
    <w:p>
      <w:pPr>
        <w:pStyle w:val="24"/>
        <w:adjustRightInd w:val="0"/>
        <w:snapToGrid w:val="0"/>
        <w:spacing w:line="240" w:lineRule="auto"/>
        <w:ind w:firstLine="0" w:firstLineChars="0"/>
        <w:rPr>
          <w:rFonts w:eastAsia="仿宋_GB2312" w:cs="Times New Roman"/>
          <w:sz w:val="32"/>
          <w:szCs w:val="32"/>
        </w:rPr>
      </w:pPr>
    </w:p>
    <w:p>
      <w:pPr>
        <w:pStyle w:val="24"/>
        <w:adjustRightInd w:val="0"/>
        <w:snapToGrid w:val="0"/>
        <w:spacing w:line="240" w:lineRule="auto"/>
        <w:ind w:firstLine="0" w:firstLineChars="0"/>
        <w:rPr>
          <w:rFonts w:eastAsia="仿宋_GB2312" w:cs="Times New Roman"/>
          <w:sz w:val="32"/>
          <w:szCs w:val="32"/>
        </w:rPr>
        <w:sectPr>
          <w:pgSz w:w="11906" w:h="16838"/>
          <w:pgMar w:top="1440" w:right="1797" w:bottom="1440" w:left="1797" w:header="851" w:footer="992" w:gutter="0"/>
          <w:cols w:space="720" w:num="1"/>
          <w:docGrid w:type="lines" w:linePitch="312" w:charSpace="0"/>
        </w:sectPr>
      </w:pPr>
    </w:p>
    <w:p>
      <w:pPr>
        <w:pStyle w:val="3"/>
        <w:keepNext w:val="0"/>
        <w:keepLines w:val="0"/>
        <w:adjustRightInd w:val="0"/>
        <w:snapToGrid w:val="0"/>
        <w:spacing w:before="0" w:after="0" w:line="560" w:lineRule="exact"/>
        <w:ind w:firstLine="0" w:firstLineChars="0"/>
        <w:jc w:val="center"/>
        <w:rPr>
          <w:rFonts w:eastAsia="方正小标宋简体" w:cs="Times New Roman"/>
          <w:b w:val="0"/>
          <w:bCs w:val="0"/>
          <w:kern w:val="0"/>
          <w:sz w:val="32"/>
          <w:szCs w:val="32"/>
        </w:rPr>
      </w:pPr>
      <w:bookmarkStart w:id="278" w:name="_Toc20718"/>
      <w:bookmarkStart w:id="279" w:name="_Toc30245"/>
      <w:bookmarkStart w:id="280" w:name="_Toc26709"/>
      <w:r>
        <w:rPr>
          <w:rFonts w:eastAsia="方正小标宋简体" w:cs="Times New Roman"/>
          <w:b w:val="0"/>
          <w:bCs w:val="0"/>
          <w:kern w:val="0"/>
          <w:sz w:val="32"/>
          <w:szCs w:val="32"/>
        </w:rPr>
        <w:t>附图5　柳州市岩溶地区石漠化土地分布图</w:t>
      </w:r>
      <w:bookmarkEnd w:id="278"/>
      <w:bookmarkEnd w:id="279"/>
      <w:bookmarkEnd w:id="280"/>
    </w:p>
    <w:p>
      <w:pPr>
        <w:pStyle w:val="24"/>
        <w:adjustRightInd w:val="0"/>
        <w:snapToGrid w:val="0"/>
        <w:spacing w:line="240" w:lineRule="auto"/>
        <w:ind w:firstLine="0" w:firstLineChars="0"/>
        <w:rPr>
          <w:rFonts w:eastAsia="仿宋_GB2312" w:cs="Times New Roman"/>
          <w:sz w:val="32"/>
          <w:szCs w:val="32"/>
        </w:rPr>
      </w:pPr>
      <w:r>
        <w:rPr>
          <w:rFonts w:eastAsia="仿宋_GB2312" w:cs="Times New Roman"/>
          <w:sz w:val="32"/>
          <w:szCs w:val="32"/>
        </w:rPr>
        <w:drawing>
          <wp:inline distT="0" distB="0" distL="114300" distR="114300">
            <wp:extent cx="5416550" cy="8204835"/>
            <wp:effectExtent l="0" t="0" r="12700" b="5715"/>
            <wp:docPr id="66" name="图片 66" descr="05柳州市岩溶地区石漠化土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05柳州市岩溶地区石漠化土地分布图"/>
                    <pic:cNvPicPr>
                      <a:picLocks noChangeAspect="1"/>
                    </pic:cNvPicPr>
                  </pic:nvPicPr>
                  <pic:blipFill>
                    <a:blip r:embed="rId28" cstate="print"/>
                    <a:srcRect l="3926" r="2734"/>
                    <a:stretch>
                      <a:fillRect/>
                    </a:stretch>
                  </pic:blipFill>
                  <pic:spPr>
                    <a:xfrm>
                      <a:off x="0" y="0"/>
                      <a:ext cx="5416550" cy="8204835"/>
                    </a:xfrm>
                    <a:prstGeom prst="rect">
                      <a:avLst/>
                    </a:prstGeom>
                  </pic:spPr>
                </pic:pic>
              </a:graphicData>
            </a:graphic>
          </wp:inline>
        </w:drawing>
      </w:r>
    </w:p>
    <w:p>
      <w:pPr>
        <w:pStyle w:val="3"/>
        <w:keepNext w:val="0"/>
        <w:keepLines w:val="0"/>
        <w:adjustRightInd w:val="0"/>
        <w:snapToGrid w:val="0"/>
        <w:spacing w:before="0" w:after="0" w:line="560" w:lineRule="exact"/>
        <w:ind w:firstLine="0" w:firstLineChars="0"/>
        <w:rPr>
          <w:rFonts w:eastAsia="方正小标宋简体" w:cs="Times New Roman"/>
          <w:b w:val="0"/>
          <w:bCs w:val="0"/>
          <w:kern w:val="0"/>
          <w:sz w:val="32"/>
          <w:szCs w:val="32"/>
        </w:rPr>
        <w:sectPr>
          <w:pgSz w:w="11906" w:h="16838"/>
          <w:pgMar w:top="1440" w:right="1797" w:bottom="1440" w:left="1797" w:header="851" w:footer="992" w:gutter="0"/>
          <w:cols w:space="720" w:num="1"/>
          <w:docGrid w:type="lines" w:linePitch="312" w:charSpace="0"/>
        </w:sectPr>
      </w:pPr>
      <w:bookmarkStart w:id="281" w:name="_Toc15618"/>
      <w:bookmarkStart w:id="282" w:name="_Toc8080"/>
    </w:p>
    <w:p>
      <w:pPr>
        <w:pStyle w:val="3"/>
        <w:keepNext w:val="0"/>
        <w:keepLines w:val="0"/>
        <w:adjustRightInd w:val="0"/>
        <w:snapToGrid w:val="0"/>
        <w:spacing w:before="0" w:after="0" w:line="560" w:lineRule="exact"/>
        <w:ind w:firstLine="0" w:firstLineChars="0"/>
        <w:jc w:val="center"/>
        <w:rPr>
          <w:rFonts w:eastAsia="方正小标宋简体" w:cs="Times New Roman"/>
          <w:b w:val="0"/>
          <w:bCs w:val="0"/>
          <w:kern w:val="0"/>
          <w:sz w:val="32"/>
          <w:szCs w:val="32"/>
        </w:rPr>
      </w:pPr>
      <w:bookmarkStart w:id="283" w:name="_Toc19660"/>
      <w:r>
        <w:rPr>
          <w:rFonts w:eastAsia="方正小标宋简体" w:cs="Times New Roman"/>
          <w:b w:val="0"/>
          <w:bCs w:val="0"/>
          <w:kern w:val="0"/>
          <w:sz w:val="32"/>
          <w:szCs w:val="32"/>
        </w:rPr>
        <w:t>附图6　柳州市岩溶地区石漠化程度分布图</w:t>
      </w:r>
      <w:bookmarkEnd w:id="281"/>
      <w:bookmarkEnd w:id="282"/>
      <w:bookmarkEnd w:id="283"/>
    </w:p>
    <w:p>
      <w:pPr>
        <w:pStyle w:val="24"/>
        <w:adjustRightInd w:val="0"/>
        <w:snapToGrid w:val="0"/>
        <w:spacing w:line="240" w:lineRule="auto"/>
        <w:ind w:firstLine="0" w:firstLineChars="0"/>
        <w:rPr>
          <w:rFonts w:eastAsia="仿宋_GB2312" w:cs="Times New Roman"/>
          <w:sz w:val="32"/>
          <w:szCs w:val="32"/>
        </w:rPr>
      </w:pPr>
      <w:r>
        <w:rPr>
          <w:rFonts w:eastAsia="仿宋_GB2312" w:cs="Times New Roman"/>
          <w:sz w:val="32"/>
          <w:szCs w:val="32"/>
        </w:rPr>
        <w:drawing>
          <wp:inline distT="0" distB="0" distL="114300" distR="114300">
            <wp:extent cx="5381625" cy="8172450"/>
            <wp:effectExtent l="0" t="0" r="9525" b="0"/>
            <wp:docPr id="67" name="图片 67" descr="06柳州市岩溶地区石漠化程度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06柳州市岩溶地区石漠化程度分布图"/>
                    <pic:cNvPicPr>
                      <a:picLocks noChangeAspect="1"/>
                    </pic:cNvPicPr>
                  </pic:nvPicPr>
                  <pic:blipFill>
                    <a:blip r:embed="rId29" cstate="print"/>
                    <a:srcRect l="3565" r="3324"/>
                    <a:stretch>
                      <a:fillRect/>
                    </a:stretch>
                  </pic:blipFill>
                  <pic:spPr>
                    <a:xfrm>
                      <a:off x="0" y="0"/>
                      <a:ext cx="5381625" cy="8172450"/>
                    </a:xfrm>
                    <a:prstGeom prst="rect">
                      <a:avLst/>
                    </a:prstGeom>
                  </pic:spPr>
                </pic:pic>
              </a:graphicData>
            </a:graphic>
          </wp:inline>
        </w:drawing>
      </w:r>
    </w:p>
    <w:p>
      <w:pPr>
        <w:pStyle w:val="3"/>
        <w:keepNext w:val="0"/>
        <w:keepLines w:val="0"/>
        <w:adjustRightInd w:val="0"/>
        <w:snapToGrid w:val="0"/>
        <w:spacing w:before="0" w:after="0" w:line="560" w:lineRule="exact"/>
        <w:ind w:firstLine="0" w:firstLineChars="0"/>
        <w:rPr>
          <w:rFonts w:eastAsia="方正小标宋简体" w:cs="Times New Roman"/>
          <w:b w:val="0"/>
          <w:bCs w:val="0"/>
          <w:kern w:val="0"/>
          <w:sz w:val="32"/>
          <w:szCs w:val="32"/>
        </w:rPr>
        <w:sectPr>
          <w:pgSz w:w="11906" w:h="16838"/>
          <w:pgMar w:top="1440" w:right="1797" w:bottom="1440" w:left="1797" w:header="851" w:footer="992" w:gutter="0"/>
          <w:cols w:space="720" w:num="1"/>
          <w:docGrid w:type="lines" w:linePitch="312" w:charSpace="0"/>
        </w:sectPr>
      </w:pPr>
      <w:bookmarkStart w:id="284" w:name="_Toc25564"/>
      <w:bookmarkStart w:id="285" w:name="_Toc20844"/>
    </w:p>
    <w:bookmarkEnd w:id="284"/>
    <w:bookmarkEnd w:id="285"/>
    <w:p>
      <w:pPr>
        <w:pStyle w:val="3"/>
        <w:keepNext w:val="0"/>
        <w:keepLines w:val="0"/>
        <w:adjustRightInd w:val="0"/>
        <w:snapToGrid w:val="0"/>
        <w:spacing w:before="0" w:after="0" w:line="560" w:lineRule="exact"/>
        <w:ind w:firstLine="0" w:firstLineChars="0"/>
        <w:jc w:val="center"/>
        <w:rPr>
          <w:rFonts w:eastAsia="方正小标宋简体" w:cs="Times New Roman"/>
          <w:b w:val="0"/>
          <w:bCs w:val="0"/>
          <w:kern w:val="0"/>
          <w:sz w:val="32"/>
          <w:szCs w:val="32"/>
        </w:rPr>
      </w:pPr>
      <w:bookmarkStart w:id="286" w:name="_Toc20078"/>
      <w:bookmarkStart w:id="287" w:name="_Toc20782"/>
      <w:bookmarkStart w:id="288" w:name="_Toc26863"/>
      <w:r>
        <w:rPr>
          <w:rFonts w:eastAsia="方正小标宋简体" w:cs="Times New Roman"/>
          <w:b w:val="0"/>
          <w:bCs w:val="0"/>
          <w:kern w:val="0"/>
          <w:sz w:val="32"/>
          <w:szCs w:val="32"/>
        </w:rPr>
        <w:t>附图7  柳州市水环境、大气环境监测布点示意图</w:t>
      </w:r>
      <w:bookmarkEnd w:id="286"/>
      <w:bookmarkEnd w:id="287"/>
      <w:bookmarkEnd w:id="288"/>
    </w:p>
    <w:p>
      <w:pPr>
        <w:pStyle w:val="24"/>
        <w:adjustRightInd w:val="0"/>
        <w:snapToGrid w:val="0"/>
        <w:spacing w:line="240" w:lineRule="auto"/>
        <w:ind w:firstLine="0" w:firstLineChars="0"/>
        <w:rPr>
          <w:rFonts w:eastAsia="仿宋_GB2312" w:cs="Times New Roman"/>
          <w:b/>
          <w:bCs/>
          <w:sz w:val="32"/>
          <w:szCs w:val="32"/>
        </w:rPr>
        <w:sectPr>
          <w:pgSz w:w="11906" w:h="16838"/>
          <w:pgMar w:top="1440" w:right="1797" w:bottom="1440" w:left="1797" w:header="851" w:footer="992" w:gutter="0"/>
          <w:cols w:space="720" w:num="1"/>
          <w:docGrid w:type="lines" w:linePitch="312" w:charSpace="0"/>
        </w:sectPr>
      </w:pPr>
      <w:r>
        <w:rPr>
          <w:rFonts w:eastAsia="仿宋_GB2312" w:cs="Times New Roman"/>
          <w:b/>
          <w:bCs/>
          <w:sz w:val="32"/>
          <w:szCs w:val="32"/>
        </w:rPr>
        <w:drawing>
          <wp:inline distT="0" distB="0" distL="114300" distR="114300">
            <wp:extent cx="5300345" cy="8032115"/>
            <wp:effectExtent l="0" t="0" r="14605" b="6985"/>
            <wp:docPr id="1" name="图片 1" descr="附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7"/>
                    <pic:cNvPicPr>
                      <a:picLocks noChangeAspect="1"/>
                    </pic:cNvPicPr>
                  </pic:nvPicPr>
                  <pic:blipFill>
                    <a:blip r:embed="rId30" cstate="print"/>
                    <a:srcRect l="4155" r="2710"/>
                    <a:stretch>
                      <a:fillRect/>
                    </a:stretch>
                  </pic:blipFill>
                  <pic:spPr>
                    <a:xfrm>
                      <a:off x="0" y="0"/>
                      <a:ext cx="5300345" cy="8032115"/>
                    </a:xfrm>
                    <a:prstGeom prst="rect">
                      <a:avLst/>
                    </a:prstGeom>
                  </pic:spPr>
                </pic:pic>
              </a:graphicData>
            </a:graphic>
          </wp:inline>
        </w:drawing>
      </w:r>
    </w:p>
    <w:p>
      <w:pPr>
        <w:pStyle w:val="3"/>
        <w:keepNext w:val="0"/>
        <w:keepLines w:val="0"/>
        <w:adjustRightInd w:val="0"/>
        <w:snapToGrid w:val="0"/>
        <w:spacing w:before="0" w:after="0" w:line="600" w:lineRule="exact"/>
        <w:ind w:firstLine="0" w:firstLineChars="0"/>
        <w:jc w:val="center"/>
        <w:rPr>
          <w:rFonts w:eastAsia="方正小标宋简体" w:cs="Times New Roman"/>
          <w:b w:val="0"/>
          <w:bCs w:val="0"/>
          <w:kern w:val="0"/>
          <w:sz w:val="32"/>
          <w:szCs w:val="32"/>
        </w:rPr>
      </w:pPr>
      <w:bookmarkStart w:id="289" w:name="_Toc9842"/>
      <w:bookmarkStart w:id="290" w:name="_Toc1557"/>
      <w:bookmarkStart w:id="291" w:name="_Toc18441"/>
      <w:r>
        <w:rPr>
          <w:rFonts w:eastAsia="方正小标宋简体" w:cs="Times New Roman"/>
          <w:b w:val="0"/>
          <w:bCs w:val="0"/>
          <w:kern w:val="0"/>
          <w:sz w:val="32"/>
          <w:szCs w:val="32"/>
        </w:rPr>
        <w:t>附图8　柳州市土地利用总体规划图</w:t>
      </w:r>
      <w:r>
        <w:rPr>
          <w:rFonts w:hint="eastAsia" w:eastAsia="方正小标宋简体" w:cs="Times New Roman"/>
          <w:b w:val="0"/>
          <w:bCs w:val="0"/>
          <w:kern w:val="0"/>
          <w:sz w:val="32"/>
          <w:szCs w:val="32"/>
        </w:rPr>
        <w:t>（2006-2020年）</w:t>
      </w:r>
      <w:bookmarkEnd w:id="289"/>
    </w:p>
    <w:p>
      <w:pPr>
        <w:pStyle w:val="24"/>
        <w:adjustRightInd w:val="0"/>
        <w:snapToGrid w:val="0"/>
        <w:spacing w:line="240" w:lineRule="auto"/>
        <w:ind w:firstLine="0" w:firstLineChars="0"/>
        <w:rPr>
          <w:rFonts w:eastAsia="仿宋_GB2312" w:cs="Times New Roman"/>
          <w:b/>
          <w:bCs/>
          <w:sz w:val="32"/>
          <w:szCs w:val="32"/>
        </w:rPr>
        <w:sectPr>
          <w:pgSz w:w="11906" w:h="16838"/>
          <w:pgMar w:top="1440" w:right="1797" w:bottom="1440" w:left="1797" w:header="851" w:footer="992" w:gutter="0"/>
          <w:cols w:space="720" w:num="1"/>
          <w:docGrid w:type="lines" w:linePitch="312" w:charSpace="0"/>
        </w:sectPr>
      </w:pPr>
      <w:r>
        <w:rPr>
          <w:rFonts w:eastAsia="仿宋_GB2312" w:cs="Times New Roman"/>
          <w:b/>
          <w:bCs/>
          <w:sz w:val="32"/>
          <w:szCs w:val="32"/>
        </w:rPr>
        <w:drawing>
          <wp:inline distT="0" distB="0" distL="114300" distR="114300">
            <wp:extent cx="5233670" cy="8150860"/>
            <wp:effectExtent l="0" t="0" r="5080" b="2540"/>
            <wp:docPr id="8" name="图片 8" descr="附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图8"/>
                    <pic:cNvPicPr>
                      <a:picLocks noChangeAspect="1"/>
                    </pic:cNvPicPr>
                  </pic:nvPicPr>
                  <pic:blipFill>
                    <a:blip r:embed="rId31" cstate="print"/>
                    <a:srcRect l="4440" r="2590"/>
                    <a:stretch>
                      <a:fillRect/>
                    </a:stretch>
                  </pic:blipFill>
                  <pic:spPr>
                    <a:xfrm>
                      <a:off x="0" y="0"/>
                      <a:ext cx="5233670" cy="8150860"/>
                    </a:xfrm>
                    <a:prstGeom prst="rect">
                      <a:avLst/>
                    </a:prstGeom>
                  </pic:spPr>
                </pic:pic>
              </a:graphicData>
            </a:graphic>
          </wp:inline>
        </w:drawing>
      </w:r>
      <w:r>
        <w:rPr>
          <w:rFonts w:eastAsia="仿宋_GB2312" w:cs="Times New Roman"/>
          <w:b/>
          <w:bCs/>
          <w:sz w:val="32"/>
          <w:szCs w:val="32"/>
        </w:rPr>
        <w:drawing>
          <wp:inline distT="0" distB="0" distL="0" distR="0">
            <wp:extent cx="9525" cy="9525"/>
            <wp:effectExtent l="0" t="0" r="0" b="0"/>
            <wp:docPr id="60" name="图片 74" descr="附图8　柳州市土地利用总体规划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4" descr="附图8　柳州市土地利用总体规划图1"/>
                    <pic:cNvPicPr>
                      <a:picLocks noChangeAspect="1" noChangeArrowheads="1"/>
                    </pic:cNvPicPr>
                  </pic:nvPicPr>
                  <pic:blipFill>
                    <a:blip r:embed="rId32" cstate="print"/>
                    <a:srcRect/>
                    <a:stretch>
                      <a:fillRect/>
                    </a:stretch>
                  </pic:blipFill>
                  <pic:spPr>
                    <a:xfrm>
                      <a:off x="0" y="0"/>
                      <a:ext cx="9525" cy="9525"/>
                    </a:xfrm>
                    <a:prstGeom prst="rect">
                      <a:avLst/>
                    </a:prstGeom>
                    <a:noFill/>
                    <a:ln w="9525" cmpd="sng">
                      <a:noFill/>
                      <a:miter lim="800000"/>
                      <a:headEnd/>
                      <a:tailEnd/>
                    </a:ln>
                    <a:effectLst/>
                  </pic:spPr>
                </pic:pic>
              </a:graphicData>
            </a:graphic>
          </wp:inline>
        </w:drawing>
      </w:r>
      <w:bookmarkEnd w:id="290"/>
      <w:bookmarkEnd w:id="291"/>
    </w:p>
    <w:p>
      <w:pPr>
        <w:pStyle w:val="3"/>
        <w:keepNext w:val="0"/>
        <w:keepLines w:val="0"/>
        <w:adjustRightInd w:val="0"/>
        <w:snapToGrid w:val="0"/>
        <w:spacing w:before="0" w:after="0" w:line="560" w:lineRule="exact"/>
        <w:ind w:firstLine="0" w:firstLineChars="0"/>
        <w:jc w:val="center"/>
        <w:rPr>
          <w:rFonts w:eastAsia="方正小标宋简体" w:cs="Times New Roman"/>
          <w:b w:val="0"/>
          <w:bCs w:val="0"/>
          <w:kern w:val="0"/>
          <w:sz w:val="32"/>
          <w:szCs w:val="32"/>
        </w:rPr>
      </w:pPr>
      <w:bookmarkStart w:id="292" w:name="_Toc8598"/>
      <w:bookmarkStart w:id="293" w:name="_Toc18762"/>
      <w:bookmarkStart w:id="294" w:name="_Toc13838"/>
      <w:r>
        <w:rPr>
          <w:rFonts w:eastAsia="方正小标宋简体" w:cs="Times New Roman"/>
          <w:b w:val="0"/>
          <w:bCs w:val="0"/>
          <w:kern w:val="0"/>
          <w:sz w:val="32"/>
          <w:szCs w:val="32"/>
        </w:rPr>
        <w:t>附图9　柳州市遥感影像图</w:t>
      </w:r>
      <w:bookmarkEnd w:id="292"/>
      <w:bookmarkEnd w:id="293"/>
      <w:bookmarkEnd w:id="294"/>
    </w:p>
    <w:p>
      <w:pPr>
        <w:pStyle w:val="2"/>
        <w:spacing w:line="240" w:lineRule="auto"/>
        <w:ind w:firstLine="640"/>
        <w:rPr>
          <w:rFonts w:cs="Times New Roman"/>
        </w:rPr>
      </w:pPr>
      <w:r>
        <w:rPr>
          <w:rFonts w:cs="Times New Roman"/>
        </w:rPr>
        <w:drawing>
          <wp:inline distT="0" distB="0" distL="114300" distR="114300">
            <wp:extent cx="5356860" cy="8123555"/>
            <wp:effectExtent l="0" t="0" r="15240" b="10795"/>
            <wp:docPr id="9" name="图片 9" descr="附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图9"/>
                    <pic:cNvPicPr>
                      <a:picLocks noChangeAspect="1"/>
                    </pic:cNvPicPr>
                  </pic:nvPicPr>
                  <pic:blipFill>
                    <a:blip r:embed="rId33" cstate="print"/>
                    <a:srcRect l="3749" r="3404"/>
                    <a:stretch>
                      <a:fillRect/>
                    </a:stretch>
                  </pic:blipFill>
                  <pic:spPr>
                    <a:xfrm>
                      <a:off x="0" y="0"/>
                      <a:ext cx="5356860" cy="8123555"/>
                    </a:xfrm>
                    <a:prstGeom prst="rect">
                      <a:avLst/>
                    </a:prstGeom>
                  </pic:spPr>
                </pic:pic>
              </a:graphicData>
            </a:graphic>
          </wp:inline>
        </w:drawing>
      </w:r>
    </w:p>
    <w:p>
      <w:pPr>
        <w:pStyle w:val="2"/>
        <w:ind w:firstLine="640"/>
        <w:rPr>
          <w:rFonts w:cs="Times New Roman"/>
        </w:rPr>
        <w:sectPr>
          <w:pgSz w:w="11850" w:h="16783"/>
          <w:pgMar w:top="1134" w:right="1134" w:bottom="1134" w:left="1134" w:header="851" w:footer="992" w:gutter="0"/>
          <w:cols w:space="0" w:num="1"/>
          <w:docGrid w:type="lines" w:linePitch="326" w:charSpace="0"/>
        </w:sectPr>
      </w:pPr>
    </w:p>
    <w:p>
      <w:pPr>
        <w:pStyle w:val="3"/>
        <w:keepNext w:val="0"/>
        <w:keepLines w:val="0"/>
        <w:adjustRightInd w:val="0"/>
        <w:snapToGrid w:val="0"/>
        <w:spacing w:before="0" w:after="0" w:line="560" w:lineRule="exact"/>
        <w:ind w:firstLine="0" w:firstLineChars="0"/>
        <w:jc w:val="center"/>
        <w:rPr>
          <w:rFonts w:eastAsia="方正小标宋简体" w:cs="Times New Roman"/>
          <w:b w:val="0"/>
          <w:bCs w:val="0"/>
          <w:kern w:val="0"/>
          <w:sz w:val="32"/>
          <w:szCs w:val="32"/>
        </w:rPr>
      </w:pPr>
      <w:bookmarkStart w:id="295" w:name="_Toc12785"/>
      <w:bookmarkStart w:id="296" w:name="_Toc7838"/>
      <w:bookmarkStart w:id="297" w:name="_Toc6353"/>
      <w:r>
        <w:rPr>
          <w:rFonts w:eastAsia="方正小标宋简体" w:cs="Times New Roman"/>
          <w:b w:val="0"/>
          <w:bCs w:val="0"/>
          <w:kern w:val="0"/>
          <w:sz w:val="32"/>
          <w:szCs w:val="32"/>
        </w:rPr>
        <w:t>附图10　广西“一屏五区一走廊”生态区位示意图</w:t>
      </w:r>
      <w:bookmarkEnd w:id="295"/>
      <w:bookmarkEnd w:id="296"/>
      <w:bookmarkEnd w:id="297"/>
    </w:p>
    <w:p>
      <w:pPr>
        <w:pStyle w:val="2"/>
        <w:spacing w:line="240" w:lineRule="auto"/>
        <w:ind w:firstLine="0" w:firstLineChars="0"/>
        <w:jc w:val="center"/>
        <w:rPr>
          <w:rFonts w:cs="Times New Roman"/>
        </w:rPr>
      </w:pPr>
      <w:r>
        <w:rPr>
          <w:rFonts w:cs="Times New Roman"/>
        </w:rPr>
        <w:drawing>
          <wp:inline distT="0" distB="0" distL="114300" distR="114300">
            <wp:extent cx="7259955" cy="4978400"/>
            <wp:effectExtent l="0" t="0" r="17145" b="12700"/>
            <wp:docPr id="11" name="图片 11" descr="附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图10"/>
                    <pic:cNvPicPr>
                      <a:picLocks noChangeAspect="1"/>
                    </pic:cNvPicPr>
                  </pic:nvPicPr>
                  <pic:blipFill>
                    <a:blip r:embed="rId34" cstate="print"/>
                    <a:srcRect l="1575" r="2355"/>
                    <a:stretch>
                      <a:fillRect/>
                    </a:stretch>
                  </pic:blipFill>
                  <pic:spPr>
                    <a:xfrm>
                      <a:off x="0" y="0"/>
                      <a:ext cx="7259955" cy="4978400"/>
                    </a:xfrm>
                    <a:prstGeom prst="rect">
                      <a:avLst/>
                    </a:prstGeom>
                  </pic:spPr>
                </pic:pic>
              </a:graphicData>
            </a:graphic>
          </wp:inline>
        </w:drawing>
      </w:r>
    </w:p>
    <w:p>
      <w:pPr>
        <w:pStyle w:val="2"/>
        <w:ind w:firstLine="640"/>
        <w:rPr>
          <w:rFonts w:cs="Times New Roman"/>
        </w:rPr>
        <w:sectPr>
          <w:pgSz w:w="16783" w:h="11850" w:orient="landscape"/>
          <w:pgMar w:top="1134" w:right="1134" w:bottom="1134" w:left="1134" w:header="851" w:footer="992" w:gutter="0"/>
          <w:cols w:space="0" w:num="1"/>
          <w:docGrid w:type="lines" w:linePitch="326" w:charSpace="0"/>
        </w:sectPr>
      </w:pPr>
    </w:p>
    <w:p>
      <w:pPr>
        <w:pStyle w:val="3"/>
        <w:keepNext w:val="0"/>
        <w:keepLines w:val="0"/>
        <w:adjustRightInd w:val="0"/>
        <w:snapToGrid w:val="0"/>
        <w:spacing w:before="0" w:after="0" w:line="560" w:lineRule="exact"/>
        <w:ind w:firstLine="0" w:firstLineChars="0"/>
        <w:jc w:val="center"/>
        <w:rPr>
          <w:rFonts w:eastAsia="方正小标宋简体" w:cs="Times New Roman"/>
          <w:b w:val="0"/>
          <w:bCs w:val="0"/>
          <w:kern w:val="0"/>
          <w:sz w:val="32"/>
          <w:szCs w:val="32"/>
        </w:rPr>
      </w:pPr>
      <w:bookmarkStart w:id="298" w:name="_Toc11800"/>
      <w:bookmarkStart w:id="299" w:name="_Toc31859"/>
      <w:bookmarkStart w:id="300" w:name="_Toc13239"/>
      <w:r>
        <w:rPr>
          <w:rFonts w:eastAsia="方正小标宋简体" w:cs="Times New Roman"/>
          <w:b w:val="0"/>
          <w:bCs w:val="0"/>
          <w:kern w:val="0"/>
          <w:sz w:val="32"/>
          <w:szCs w:val="32"/>
        </w:rPr>
        <w:t>附图11　重点工程分布示意图（部分）</w:t>
      </w:r>
      <w:bookmarkEnd w:id="298"/>
      <w:bookmarkEnd w:id="299"/>
      <w:bookmarkEnd w:id="300"/>
    </w:p>
    <w:p>
      <w:pPr>
        <w:pStyle w:val="2"/>
        <w:spacing w:line="240" w:lineRule="auto"/>
        <w:ind w:firstLine="0" w:firstLineChars="0"/>
        <w:jc w:val="center"/>
        <w:rPr>
          <w:rFonts w:cs="Times New Roman"/>
        </w:rPr>
      </w:pPr>
      <w:r>
        <w:rPr>
          <w:rFonts w:cs="Times New Roman"/>
        </w:rPr>
        <w:drawing>
          <wp:inline distT="0" distB="0" distL="114300" distR="114300">
            <wp:extent cx="5295900" cy="8186420"/>
            <wp:effectExtent l="0" t="0" r="0" b="5080"/>
            <wp:docPr id="12" name="图片 12" descr="附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图11"/>
                    <pic:cNvPicPr>
                      <a:picLocks noChangeAspect="1"/>
                    </pic:cNvPicPr>
                  </pic:nvPicPr>
                  <pic:blipFill>
                    <a:blip r:embed="rId35" cstate="print"/>
                    <a:srcRect l="5106" r="3404"/>
                    <a:stretch>
                      <a:fillRect/>
                    </a:stretch>
                  </pic:blipFill>
                  <pic:spPr>
                    <a:xfrm>
                      <a:off x="0" y="0"/>
                      <a:ext cx="5295900" cy="8186420"/>
                    </a:xfrm>
                    <a:prstGeom prst="rect">
                      <a:avLst/>
                    </a:prstGeom>
                  </pic:spPr>
                </pic:pic>
              </a:graphicData>
            </a:graphic>
          </wp:inline>
        </w:drawing>
      </w:r>
    </w:p>
    <w:sectPr>
      <w:pgSz w:w="11850" w:h="16783"/>
      <w:pgMar w:top="1134" w:right="1134" w:bottom="1134" w:left="1134" w:header="851" w:footer="992" w:gutter="0"/>
      <w:cols w:space="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3C23AC4-0B98-46C1-93E8-CB3448DF997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2000000000000000000"/>
    <w:charset w:val="86"/>
    <w:family w:val="script"/>
    <w:pitch w:val="default"/>
    <w:sig w:usb0="A00002BF" w:usb1="38CF7CFA" w:usb2="00082016" w:usb3="00000000" w:csb0="00040001" w:csb1="00000000"/>
    <w:embedRegular r:id="rId2" w:fontKey="{A341791D-619B-4F2D-B44E-2238149D96A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DF6B32BF-4DB2-4091-980B-4C025A61548A}"/>
  </w:font>
  <w:font w:name="等线">
    <w:altName w:val="微软雅黑"/>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embedRegular r:id="rId4" w:fontKey="{F1F6EC8B-F45A-4AE1-BBA4-2B6F2BC06A4D}"/>
  </w:font>
  <w:font w:name="方正小标宋_GBK">
    <w:panose1 w:val="02000000000000000000"/>
    <w:charset w:val="86"/>
    <w:family w:val="script"/>
    <w:pitch w:val="default"/>
    <w:sig w:usb0="A00002BF" w:usb1="38CF7CFA" w:usb2="00082016" w:usb3="00000000" w:csb0="00040001" w:csb1="00000000"/>
    <w:embedRegular r:id="rId5" w:fontKey="{6525840B-6356-4626-8F82-411839A0763E}"/>
  </w:font>
  <w:font w:name="方正小标宋简体">
    <w:panose1 w:val="02000000000000000000"/>
    <w:charset w:val="86"/>
    <w:family w:val="auto"/>
    <w:pitch w:val="default"/>
    <w:sig w:usb0="00000001" w:usb1="08000000" w:usb2="00000000" w:usb3="00000000" w:csb0="00040000" w:csb1="00000000"/>
    <w:embedRegular r:id="rId6" w:fontKey="{2726A2A7-6887-42C6-99F0-CA7F34040CE5}"/>
  </w:font>
  <w:font w:name="楷体_GB2312">
    <w:altName w:val="楷体"/>
    <w:panose1 w:val="00000000000000000000"/>
    <w:charset w:val="86"/>
    <w:family w:val="modern"/>
    <w:pitch w:val="default"/>
    <w:sig w:usb0="00000000" w:usb1="00000000" w:usb2="00000010" w:usb3="00000000" w:csb0="00040000" w:csb1="00000000"/>
    <w:embedRegular r:id="rId7" w:fontKey="{94C8F988-D77E-42AA-88DC-4E671B9D004F}"/>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pict>
        <v:shape id="_x0000_s1028" o:spid="_x0000_s1028"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Q5FbsFgIAABUEAAAOAAAAAAAA&#10;AAEAIAAAAB8BAABkcnMvZTJvRG9jLnhtbFBLBQYAAAAABgAGAFkBAACnBQAAAAA=&#10;">
          <v:path/>
          <v:fill on="f" focussize="0,0"/>
          <v:stroke on="f" weight="0.5pt" joinstyle="miter"/>
          <v:imagedata o:title=""/>
          <o:lock v:ext="edit"/>
          <v:textbox inset="0mm,0mm,0mm,0mm" style="mso-fit-shape-to-text:t;">
            <w:txbxContent>
              <w:p>
                <w:pPr>
                  <w:pStyle w:val="16"/>
                  <w:ind w:firstLine="480"/>
                  <w:jc w:val="cente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82</w:t>
                </w:r>
                <w:r>
                  <w:rPr>
                    <w:sz w:val="24"/>
                    <w:szCs w:val="24"/>
                    <w:lang w:val="zh-CN"/>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pict>
        <v:shape id="_x0000_s1027" o:spid="_x0000_s1027"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Pia+8FgIAABUEAAAOAAAAAAAA&#10;AAEAIAAAAB8BAABkcnMvZTJvRG9jLnhtbFBLBQYAAAAABgAGAFkBAACnBQAAAAA=&#10;">
          <v:path/>
          <v:fill on="f" focussize="0,0"/>
          <v:stroke on="f" weight="0.5pt" joinstyle="miter"/>
          <v:imagedata o:title=""/>
          <o:lock v:ext="edit"/>
          <v:textbox inset="0mm,0mm,0mm,0mm" style="mso-fit-shape-to-text:t;">
            <w:txbxContent>
              <w:p>
                <w:pPr>
                  <w:pStyle w:val="16"/>
                  <w:ind w:firstLine="480"/>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142</w:t>
                </w:r>
                <w:r>
                  <w:rPr>
                    <w:rFonts w:hint="eastAsia"/>
                    <w:sz w:val="24"/>
                    <w:szCs w:val="24"/>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BMUE45GQIAACEEAAAOAAAA&#10;AAAAAAEAIAAAAB8BAABkcnMvZTJvRG9jLnhtbFBLBQYAAAAABgAGAFkBAACqBQAAAAA=&#10;">
          <v:path/>
          <v:fill on="f" focussize="0,0"/>
          <v:stroke on="f" weight="0.5pt" joinstyle="miter"/>
          <v:imagedata o:title=""/>
          <o:lock v:ext="edit"/>
          <v:textbox inset="0mm,0mm,0mm,0mm" style="mso-fit-shape-to-text:t;">
            <w:txbxContent>
              <w:p>
                <w:pPr>
                  <w:pStyle w:val="16"/>
                  <w:ind w:firstLine="360"/>
                </w:pPr>
                <w:r>
                  <w:fldChar w:fldCharType="begin"/>
                </w:r>
                <w:r>
                  <w:instrText xml:space="preserve"> PAGE  \* MERGEFORMAT </w:instrText>
                </w:r>
                <w:r>
                  <w:fldChar w:fldCharType="separate"/>
                </w:r>
                <w:r>
                  <w:t>II</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pict>
        <v:shape id="_x0000_s1031" o:spid="_x0000_s103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path/>
          <v:fill on="f" focussize="0,0"/>
          <v:stroke on="f" weight="0.5pt" joinstyle="miter"/>
          <v:imagedata o:title=""/>
          <o:lock v:ext="edit"/>
          <v:textbox inset="0mm,0mm,0mm,0mm" style="mso-fit-shape-to-text:t;">
            <w:txbxContent>
              <w:p>
                <w:pPr>
                  <w:pStyle w:val="16"/>
                  <w:ind w:firstLine="360"/>
                </w:pPr>
                <w:r>
                  <w:fldChar w:fldCharType="begin"/>
                </w:r>
                <w:r>
                  <w:instrText xml:space="preserve"> PAGE  \* MERGEFORMAT </w:instrText>
                </w:r>
                <w:r>
                  <w:fldChar w:fldCharType="separate"/>
                </w:r>
                <w:r>
                  <w:t>III</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pict>
        <v:shape id="_x0000_s1030" o:spid="_x0000_s1030"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Mh2d9gbAgAAIwQAAA4A&#10;AAAAAAAAAQAgAAAAHwEAAGRycy9lMm9Eb2MueG1sUEsFBgAAAAAGAAYAWQEAAKwFAAAAAA==&#10;">
          <v:path/>
          <v:fill on="f" focussize="0,0"/>
          <v:stroke on="f" weight="0.5pt" joinstyle="miter"/>
          <v:imagedata o:title=""/>
          <o:lock v:ext="edit"/>
          <v:textbox inset="0mm,0mm,0mm,0mm" style="mso-fit-shape-to-text:t;">
            <w:txbxContent>
              <w:p>
                <w:pPr>
                  <w:pStyle w:val="16"/>
                  <w:ind w:firstLine="360"/>
                </w:pPr>
                <w:r>
                  <w:fldChar w:fldCharType="begin"/>
                </w:r>
                <w:r>
                  <w:instrText xml:space="preserve"> PAGE  \* MERGEFORMAT </w:instrText>
                </w:r>
                <w:r>
                  <w:fldChar w:fldCharType="separate"/>
                </w:r>
                <w:r>
                  <w:t>IV</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pict>
        <v:shape id="_x0000_s1029" o:spid="_x0000_s102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Kc1bQVAgAAFQQAAA4AAAAAAAAA&#10;AQAgAAAAHwEAAGRycy9lMm9Eb2MueG1sUEsFBgAAAAAGAAYAWQEAAKYFAAAAAA==&#10;">
          <v:path/>
          <v:fill on="f" focussize="0,0"/>
          <v:stroke on="f" weight="0.5pt" joinstyle="miter"/>
          <v:imagedata o:title=""/>
          <o:lock v:ext="edit"/>
          <v:textbox inset="0mm,0mm,0mm,0mm" style="mso-fit-shape-to-text:t;">
            <w:txbxContent>
              <w:sdt>
                <w:sdtPr>
                  <w:id w:val="-52629208"/>
                </w:sdtPr>
                <w:sdtEndPr>
                  <w:rPr>
                    <w:sz w:val="24"/>
                    <w:szCs w:val="24"/>
                  </w:rPr>
                </w:sdtEndPr>
                <w:sdtContent>
                  <w:p>
                    <w:pPr>
                      <w:pStyle w:val="16"/>
                      <w:ind w:firstLine="36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lang w:val="zh-CN"/>
                      </w:rPr>
                      <w:fldChar w:fldCharType="end"/>
                    </w:r>
                  </w:p>
                </w:sdtContent>
              </w:sdt>
              <w:p>
                <w:pPr>
                  <w:ind w:firstLine="480"/>
                  <w:rPr>
                    <w:sz w:val="24"/>
                    <w:szCs w:val="24"/>
                  </w:rPr>
                </w:pP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hideSpellingErrors/>
  <w:documentProtection w:enforcement="0"/>
  <w:defaultTabStop w:val="420"/>
  <w:drawingGridHorizontalSpacing w:val="160"/>
  <w:drawingGridVerticalSpacing w:val="435"/>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zNDlhZWM2MGYxODgyNWE0ZWFmNjA2ZmI1ZDE2YTgifQ=="/>
  </w:docVars>
  <w:rsids>
    <w:rsidRoot w:val="00172A27"/>
    <w:rsid w:val="000002AB"/>
    <w:rsid w:val="00000E25"/>
    <w:rsid w:val="00006D54"/>
    <w:rsid w:val="00007EFF"/>
    <w:rsid w:val="00012321"/>
    <w:rsid w:val="0001573E"/>
    <w:rsid w:val="00016754"/>
    <w:rsid w:val="00021AAD"/>
    <w:rsid w:val="00022415"/>
    <w:rsid w:val="00022423"/>
    <w:rsid w:val="00023AF7"/>
    <w:rsid w:val="00025B31"/>
    <w:rsid w:val="00026B1F"/>
    <w:rsid w:val="00026CAF"/>
    <w:rsid w:val="00030B4D"/>
    <w:rsid w:val="00030D90"/>
    <w:rsid w:val="00037C7D"/>
    <w:rsid w:val="00044355"/>
    <w:rsid w:val="00044C65"/>
    <w:rsid w:val="00045248"/>
    <w:rsid w:val="00050207"/>
    <w:rsid w:val="00050C6D"/>
    <w:rsid w:val="000542E3"/>
    <w:rsid w:val="00054B19"/>
    <w:rsid w:val="00057042"/>
    <w:rsid w:val="00061840"/>
    <w:rsid w:val="000621D7"/>
    <w:rsid w:val="00063410"/>
    <w:rsid w:val="00063D77"/>
    <w:rsid w:val="000669D9"/>
    <w:rsid w:val="00070CAA"/>
    <w:rsid w:val="00070E3A"/>
    <w:rsid w:val="00073C13"/>
    <w:rsid w:val="00074146"/>
    <w:rsid w:val="00074C81"/>
    <w:rsid w:val="00074E41"/>
    <w:rsid w:val="00083287"/>
    <w:rsid w:val="00083B78"/>
    <w:rsid w:val="00083F54"/>
    <w:rsid w:val="00084431"/>
    <w:rsid w:val="0008592E"/>
    <w:rsid w:val="00087F6A"/>
    <w:rsid w:val="00092852"/>
    <w:rsid w:val="00092C02"/>
    <w:rsid w:val="00092C8D"/>
    <w:rsid w:val="00094101"/>
    <w:rsid w:val="000951BA"/>
    <w:rsid w:val="00096CAD"/>
    <w:rsid w:val="00097783"/>
    <w:rsid w:val="000A0087"/>
    <w:rsid w:val="000A036D"/>
    <w:rsid w:val="000A0765"/>
    <w:rsid w:val="000A1E78"/>
    <w:rsid w:val="000A5E5E"/>
    <w:rsid w:val="000A6FD6"/>
    <w:rsid w:val="000B0163"/>
    <w:rsid w:val="000B0BAA"/>
    <w:rsid w:val="000B48EC"/>
    <w:rsid w:val="000B64F1"/>
    <w:rsid w:val="000C580D"/>
    <w:rsid w:val="000C7C27"/>
    <w:rsid w:val="000D02B9"/>
    <w:rsid w:val="000D1120"/>
    <w:rsid w:val="000D486F"/>
    <w:rsid w:val="000D6347"/>
    <w:rsid w:val="000D7BDA"/>
    <w:rsid w:val="000E0415"/>
    <w:rsid w:val="000E30F2"/>
    <w:rsid w:val="000E3E16"/>
    <w:rsid w:val="000E40EE"/>
    <w:rsid w:val="000F1E85"/>
    <w:rsid w:val="00100CA9"/>
    <w:rsid w:val="0010370F"/>
    <w:rsid w:val="00103B26"/>
    <w:rsid w:val="00105E9B"/>
    <w:rsid w:val="001064B7"/>
    <w:rsid w:val="00106FC2"/>
    <w:rsid w:val="001136B5"/>
    <w:rsid w:val="001144F9"/>
    <w:rsid w:val="00114F5A"/>
    <w:rsid w:val="0011567B"/>
    <w:rsid w:val="00115B98"/>
    <w:rsid w:val="001172BF"/>
    <w:rsid w:val="00117B18"/>
    <w:rsid w:val="001200D6"/>
    <w:rsid w:val="00120A31"/>
    <w:rsid w:val="00120DD6"/>
    <w:rsid w:val="001230BB"/>
    <w:rsid w:val="00127D05"/>
    <w:rsid w:val="001310F4"/>
    <w:rsid w:val="00131885"/>
    <w:rsid w:val="00135224"/>
    <w:rsid w:val="00135AA7"/>
    <w:rsid w:val="00137B5D"/>
    <w:rsid w:val="001406CA"/>
    <w:rsid w:val="00140973"/>
    <w:rsid w:val="00140A61"/>
    <w:rsid w:val="001410A6"/>
    <w:rsid w:val="00141AE6"/>
    <w:rsid w:val="0014281C"/>
    <w:rsid w:val="00142D82"/>
    <w:rsid w:val="00143760"/>
    <w:rsid w:val="00144040"/>
    <w:rsid w:val="00144E63"/>
    <w:rsid w:val="00145317"/>
    <w:rsid w:val="00145FC9"/>
    <w:rsid w:val="001460BB"/>
    <w:rsid w:val="00147B64"/>
    <w:rsid w:val="00150EB3"/>
    <w:rsid w:val="001527DB"/>
    <w:rsid w:val="00152861"/>
    <w:rsid w:val="00153A24"/>
    <w:rsid w:val="00153FE7"/>
    <w:rsid w:val="00154329"/>
    <w:rsid w:val="00154AA1"/>
    <w:rsid w:val="00156AA7"/>
    <w:rsid w:val="00163E45"/>
    <w:rsid w:val="00164033"/>
    <w:rsid w:val="00170D0A"/>
    <w:rsid w:val="00171D9E"/>
    <w:rsid w:val="00172A27"/>
    <w:rsid w:val="0017491F"/>
    <w:rsid w:val="00174FEE"/>
    <w:rsid w:val="001829F9"/>
    <w:rsid w:val="00182F0D"/>
    <w:rsid w:val="00190FEF"/>
    <w:rsid w:val="00191D7C"/>
    <w:rsid w:val="00191F3C"/>
    <w:rsid w:val="00192AC8"/>
    <w:rsid w:val="00192CE6"/>
    <w:rsid w:val="00193D67"/>
    <w:rsid w:val="00195741"/>
    <w:rsid w:val="0019578F"/>
    <w:rsid w:val="00196284"/>
    <w:rsid w:val="001A1BF7"/>
    <w:rsid w:val="001A1C48"/>
    <w:rsid w:val="001A5942"/>
    <w:rsid w:val="001A738F"/>
    <w:rsid w:val="001B07BB"/>
    <w:rsid w:val="001B2D13"/>
    <w:rsid w:val="001B2DB0"/>
    <w:rsid w:val="001B362D"/>
    <w:rsid w:val="001B4156"/>
    <w:rsid w:val="001B419B"/>
    <w:rsid w:val="001B59DF"/>
    <w:rsid w:val="001C0651"/>
    <w:rsid w:val="001C3419"/>
    <w:rsid w:val="001C4631"/>
    <w:rsid w:val="001C55DF"/>
    <w:rsid w:val="001C7EFC"/>
    <w:rsid w:val="001D0D7D"/>
    <w:rsid w:val="001D30B5"/>
    <w:rsid w:val="001D47D1"/>
    <w:rsid w:val="001E0003"/>
    <w:rsid w:val="001E1FB2"/>
    <w:rsid w:val="001E5AA8"/>
    <w:rsid w:val="001F24B1"/>
    <w:rsid w:val="001F275D"/>
    <w:rsid w:val="001F37D2"/>
    <w:rsid w:val="001F4F42"/>
    <w:rsid w:val="001F5B26"/>
    <w:rsid w:val="002002EF"/>
    <w:rsid w:val="00201932"/>
    <w:rsid w:val="002111F9"/>
    <w:rsid w:val="002114A2"/>
    <w:rsid w:val="00211A5A"/>
    <w:rsid w:val="00214BCF"/>
    <w:rsid w:val="00214C8C"/>
    <w:rsid w:val="00215656"/>
    <w:rsid w:val="00220D55"/>
    <w:rsid w:val="00221D26"/>
    <w:rsid w:val="002234CB"/>
    <w:rsid w:val="00223E1C"/>
    <w:rsid w:val="00224AEF"/>
    <w:rsid w:val="00231784"/>
    <w:rsid w:val="00231A9B"/>
    <w:rsid w:val="002322CA"/>
    <w:rsid w:val="00235BCE"/>
    <w:rsid w:val="0023687E"/>
    <w:rsid w:val="00240C7F"/>
    <w:rsid w:val="002435F1"/>
    <w:rsid w:val="0024478D"/>
    <w:rsid w:val="00245D30"/>
    <w:rsid w:val="00247EAF"/>
    <w:rsid w:val="0025276B"/>
    <w:rsid w:val="00253474"/>
    <w:rsid w:val="00254F94"/>
    <w:rsid w:val="00256C9C"/>
    <w:rsid w:val="00257C95"/>
    <w:rsid w:val="0026002A"/>
    <w:rsid w:val="00263FCC"/>
    <w:rsid w:val="0026426B"/>
    <w:rsid w:val="002648D1"/>
    <w:rsid w:val="00265F93"/>
    <w:rsid w:val="0026722D"/>
    <w:rsid w:val="00267638"/>
    <w:rsid w:val="00267750"/>
    <w:rsid w:val="00270BA5"/>
    <w:rsid w:val="002728A0"/>
    <w:rsid w:val="00273108"/>
    <w:rsid w:val="00274CCA"/>
    <w:rsid w:val="002760C0"/>
    <w:rsid w:val="002809D0"/>
    <w:rsid w:val="002824C9"/>
    <w:rsid w:val="00284526"/>
    <w:rsid w:val="0028573C"/>
    <w:rsid w:val="002871B6"/>
    <w:rsid w:val="00290328"/>
    <w:rsid w:val="00294BC7"/>
    <w:rsid w:val="002962A7"/>
    <w:rsid w:val="002A4970"/>
    <w:rsid w:val="002B4B1F"/>
    <w:rsid w:val="002B69F5"/>
    <w:rsid w:val="002C0DCC"/>
    <w:rsid w:val="002C3A9A"/>
    <w:rsid w:val="002C3C23"/>
    <w:rsid w:val="002C4283"/>
    <w:rsid w:val="002C428B"/>
    <w:rsid w:val="002C58C5"/>
    <w:rsid w:val="002C6A43"/>
    <w:rsid w:val="002D0744"/>
    <w:rsid w:val="002D12F6"/>
    <w:rsid w:val="002D4011"/>
    <w:rsid w:val="002D6805"/>
    <w:rsid w:val="002D6E78"/>
    <w:rsid w:val="002E11A0"/>
    <w:rsid w:val="002E170D"/>
    <w:rsid w:val="002E1F9F"/>
    <w:rsid w:val="002E2485"/>
    <w:rsid w:val="002E355A"/>
    <w:rsid w:val="002E6A43"/>
    <w:rsid w:val="002F1190"/>
    <w:rsid w:val="002F1949"/>
    <w:rsid w:val="002F5930"/>
    <w:rsid w:val="003004EF"/>
    <w:rsid w:val="00300565"/>
    <w:rsid w:val="003021EE"/>
    <w:rsid w:val="00303CDC"/>
    <w:rsid w:val="00304100"/>
    <w:rsid w:val="003103D7"/>
    <w:rsid w:val="003119DF"/>
    <w:rsid w:val="003145AE"/>
    <w:rsid w:val="003160AB"/>
    <w:rsid w:val="00316887"/>
    <w:rsid w:val="003169CE"/>
    <w:rsid w:val="00320032"/>
    <w:rsid w:val="0032037B"/>
    <w:rsid w:val="00321A31"/>
    <w:rsid w:val="00323983"/>
    <w:rsid w:val="00323CE4"/>
    <w:rsid w:val="00326A24"/>
    <w:rsid w:val="003271E1"/>
    <w:rsid w:val="00330230"/>
    <w:rsid w:val="00330D96"/>
    <w:rsid w:val="00331411"/>
    <w:rsid w:val="00331E18"/>
    <w:rsid w:val="0033203E"/>
    <w:rsid w:val="00332876"/>
    <w:rsid w:val="003336EA"/>
    <w:rsid w:val="00333B2C"/>
    <w:rsid w:val="003340A1"/>
    <w:rsid w:val="0034029A"/>
    <w:rsid w:val="00340592"/>
    <w:rsid w:val="003418B5"/>
    <w:rsid w:val="003424E1"/>
    <w:rsid w:val="00345DF0"/>
    <w:rsid w:val="00347290"/>
    <w:rsid w:val="00351A94"/>
    <w:rsid w:val="00353414"/>
    <w:rsid w:val="003566AB"/>
    <w:rsid w:val="00360078"/>
    <w:rsid w:val="0036050F"/>
    <w:rsid w:val="00360CF6"/>
    <w:rsid w:val="00362C36"/>
    <w:rsid w:val="003633D0"/>
    <w:rsid w:val="00370528"/>
    <w:rsid w:val="00370C0E"/>
    <w:rsid w:val="00370F40"/>
    <w:rsid w:val="00371217"/>
    <w:rsid w:val="00371FE7"/>
    <w:rsid w:val="003724BE"/>
    <w:rsid w:val="003752AA"/>
    <w:rsid w:val="00375755"/>
    <w:rsid w:val="0038055F"/>
    <w:rsid w:val="0038463A"/>
    <w:rsid w:val="00384F4E"/>
    <w:rsid w:val="0039129E"/>
    <w:rsid w:val="00391961"/>
    <w:rsid w:val="00395477"/>
    <w:rsid w:val="00397564"/>
    <w:rsid w:val="003A2537"/>
    <w:rsid w:val="003A29A1"/>
    <w:rsid w:val="003A35EC"/>
    <w:rsid w:val="003A3DD8"/>
    <w:rsid w:val="003A7C87"/>
    <w:rsid w:val="003B027F"/>
    <w:rsid w:val="003B3052"/>
    <w:rsid w:val="003B37B7"/>
    <w:rsid w:val="003B62F9"/>
    <w:rsid w:val="003B6DF6"/>
    <w:rsid w:val="003B71D6"/>
    <w:rsid w:val="003C1578"/>
    <w:rsid w:val="003C1718"/>
    <w:rsid w:val="003C1DBF"/>
    <w:rsid w:val="003C1EF8"/>
    <w:rsid w:val="003C3128"/>
    <w:rsid w:val="003C5121"/>
    <w:rsid w:val="003D3C48"/>
    <w:rsid w:val="003D521D"/>
    <w:rsid w:val="003E0CBF"/>
    <w:rsid w:val="003E243D"/>
    <w:rsid w:val="003E3803"/>
    <w:rsid w:val="003E4212"/>
    <w:rsid w:val="003E5573"/>
    <w:rsid w:val="003E70B9"/>
    <w:rsid w:val="003E74A2"/>
    <w:rsid w:val="003E7606"/>
    <w:rsid w:val="003F11DE"/>
    <w:rsid w:val="003F3CE2"/>
    <w:rsid w:val="003F41CB"/>
    <w:rsid w:val="003F5442"/>
    <w:rsid w:val="003F7116"/>
    <w:rsid w:val="0040032E"/>
    <w:rsid w:val="00402BE6"/>
    <w:rsid w:val="00402C61"/>
    <w:rsid w:val="00405611"/>
    <w:rsid w:val="00407238"/>
    <w:rsid w:val="004075DB"/>
    <w:rsid w:val="0040782B"/>
    <w:rsid w:val="0040792F"/>
    <w:rsid w:val="00410624"/>
    <w:rsid w:val="00411F5F"/>
    <w:rsid w:val="0041764D"/>
    <w:rsid w:val="00422BA9"/>
    <w:rsid w:val="0042306E"/>
    <w:rsid w:val="004249DE"/>
    <w:rsid w:val="00424EBD"/>
    <w:rsid w:val="00427E1E"/>
    <w:rsid w:val="0043017D"/>
    <w:rsid w:val="00433714"/>
    <w:rsid w:val="00434979"/>
    <w:rsid w:val="0043507B"/>
    <w:rsid w:val="00435857"/>
    <w:rsid w:val="00435B68"/>
    <w:rsid w:val="00435BFB"/>
    <w:rsid w:val="00437A6F"/>
    <w:rsid w:val="00437A9D"/>
    <w:rsid w:val="00441CF8"/>
    <w:rsid w:val="00442102"/>
    <w:rsid w:val="004424A7"/>
    <w:rsid w:val="004433E4"/>
    <w:rsid w:val="00444035"/>
    <w:rsid w:val="00451570"/>
    <w:rsid w:val="00453D72"/>
    <w:rsid w:val="0045573E"/>
    <w:rsid w:val="00457824"/>
    <w:rsid w:val="004634F6"/>
    <w:rsid w:val="00463645"/>
    <w:rsid w:val="00463684"/>
    <w:rsid w:val="004639A7"/>
    <w:rsid w:val="004646BA"/>
    <w:rsid w:val="004659AF"/>
    <w:rsid w:val="00471BB7"/>
    <w:rsid w:val="0047446B"/>
    <w:rsid w:val="004745DD"/>
    <w:rsid w:val="00474E1B"/>
    <w:rsid w:val="00477CB0"/>
    <w:rsid w:val="00481A42"/>
    <w:rsid w:val="00481DAB"/>
    <w:rsid w:val="00484B2D"/>
    <w:rsid w:val="00484B4E"/>
    <w:rsid w:val="00484EF5"/>
    <w:rsid w:val="00486168"/>
    <w:rsid w:val="00487C34"/>
    <w:rsid w:val="00490005"/>
    <w:rsid w:val="00491A4D"/>
    <w:rsid w:val="0049388A"/>
    <w:rsid w:val="00495C6F"/>
    <w:rsid w:val="004A1CA1"/>
    <w:rsid w:val="004A35EC"/>
    <w:rsid w:val="004A5AB1"/>
    <w:rsid w:val="004A6690"/>
    <w:rsid w:val="004B0982"/>
    <w:rsid w:val="004B0E45"/>
    <w:rsid w:val="004B3245"/>
    <w:rsid w:val="004B3919"/>
    <w:rsid w:val="004B5150"/>
    <w:rsid w:val="004B549F"/>
    <w:rsid w:val="004B6065"/>
    <w:rsid w:val="004C73C7"/>
    <w:rsid w:val="004D0F28"/>
    <w:rsid w:val="004D1174"/>
    <w:rsid w:val="004D68FD"/>
    <w:rsid w:val="004E046F"/>
    <w:rsid w:val="004E2745"/>
    <w:rsid w:val="004E35F6"/>
    <w:rsid w:val="004E5128"/>
    <w:rsid w:val="004E6E67"/>
    <w:rsid w:val="004E7BEE"/>
    <w:rsid w:val="004F0DCF"/>
    <w:rsid w:val="004F180C"/>
    <w:rsid w:val="004F1ED4"/>
    <w:rsid w:val="004F6E5F"/>
    <w:rsid w:val="004F6E75"/>
    <w:rsid w:val="004F76CD"/>
    <w:rsid w:val="00502C89"/>
    <w:rsid w:val="00502F17"/>
    <w:rsid w:val="005032EF"/>
    <w:rsid w:val="00505B3C"/>
    <w:rsid w:val="00506357"/>
    <w:rsid w:val="00506DB2"/>
    <w:rsid w:val="00512D37"/>
    <w:rsid w:val="00513AB8"/>
    <w:rsid w:val="005144A0"/>
    <w:rsid w:val="00515171"/>
    <w:rsid w:val="005154C3"/>
    <w:rsid w:val="00516213"/>
    <w:rsid w:val="00517B84"/>
    <w:rsid w:val="00517F7D"/>
    <w:rsid w:val="00520280"/>
    <w:rsid w:val="00522249"/>
    <w:rsid w:val="00522E5E"/>
    <w:rsid w:val="00523264"/>
    <w:rsid w:val="00523FB7"/>
    <w:rsid w:val="00524F57"/>
    <w:rsid w:val="005314B7"/>
    <w:rsid w:val="005326CA"/>
    <w:rsid w:val="00532D63"/>
    <w:rsid w:val="00535EB2"/>
    <w:rsid w:val="00536B9E"/>
    <w:rsid w:val="00541182"/>
    <w:rsid w:val="005415E5"/>
    <w:rsid w:val="0054306A"/>
    <w:rsid w:val="0054482B"/>
    <w:rsid w:val="00544A11"/>
    <w:rsid w:val="00547B84"/>
    <w:rsid w:val="005515F8"/>
    <w:rsid w:val="00551F13"/>
    <w:rsid w:val="00552776"/>
    <w:rsid w:val="00554991"/>
    <w:rsid w:val="00560BBD"/>
    <w:rsid w:val="0056305A"/>
    <w:rsid w:val="005634D1"/>
    <w:rsid w:val="00564913"/>
    <w:rsid w:val="00567C8A"/>
    <w:rsid w:val="00570EB0"/>
    <w:rsid w:val="00571C06"/>
    <w:rsid w:val="005727F4"/>
    <w:rsid w:val="005739B4"/>
    <w:rsid w:val="00574BC2"/>
    <w:rsid w:val="0057566B"/>
    <w:rsid w:val="00575A7E"/>
    <w:rsid w:val="00576A6A"/>
    <w:rsid w:val="00580A04"/>
    <w:rsid w:val="005823D5"/>
    <w:rsid w:val="00582B46"/>
    <w:rsid w:val="005869AD"/>
    <w:rsid w:val="00590C94"/>
    <w:rsid w:val="00593D57"/>
    <w:rsid w:val="005A00B4"/>
    <w:rsid w:val="005A0B99"/>
    <w:rsid w:val="005A1BE3"/>
    <w:rsid w:val="005A26C6"/>
    <w:rsid w:val="005A27BB"/>
    <w:rsid w:val="005A36B9"/>
    <w:rsid w:val="005A3FC3"/>
    <w:rsid w:val="005A4211"/>
    <w:rsid w:val="005A4A42"/>
    <w:rsid w:val="005A6FEC"/>
    <w:rsid w:val="005A718B"/>
    <w:rsid w:val="005B1C10"/>
    <w:rsid w:val="005B1C71"/>
    <w:rsid w:val="005B23A9"/>
    <w:rsid w:val="005B4208"/>
    <w:rsid w:val="005C1077"/>
    <w:rsid w:val="005C2F2C"/>
    <w:rsid w:val="005C7461"/>
    <w:rsid w:val="005C7512"/>
    <w:rsid w:val="005D00F0"/>
    <w:rsid w:val="005D014F"/>
    <w:rsid w:val="005D3206"/>
    <w:rsid w:val="005D35F3"/>
    <w:rsid w:val="005D40E6"/>
    <w:rsid w:val="005D4DCB"/>
    <w:rsid w:val="005D67AE"/>
    <w:rsid w:val="005D6806"/>
    <w:rsid w:val="005D7492"/>
    <w:rsid w:val="005E02D1"/>
    <w:rsid w:val="005E59A9"/>
    <w:rsid w:val="005E6A9D"/>
    <w:rsid w:val="005E7E2F"/>
    <w:rsid w:val="005F2167"/>
    <w:rsid w:val="005F28DE"/>
    <w:rsid w:val="005F624B"/>
    <w:rsid w:val="006019F3"/>
    <w:rsid w:val="006028D6"/>
    <w:rsid w:val="006034EB"/>
    <w:rsid w:val="0060373C"/>
    <w:rsid w:val="006060DA"/>
    <w:rsid w:val="0060649A"/>
    <w:rsid w:val="00607C55"/>
    <w:rsid w:val="00611761"/>
    <w:rsid w:val="006123E6"/>
    <w:rsid w:val="006134BD"/>
    <w:rsid w:val="00616F43"/>
    <w:rsid w:val="00621538"/>
    <w:rsid w:val="00627768"/>
    <w:rsid w:val="006304A2"/>
    <w:rsid w:val="006314A1"/>
    <w:rsid w:val="00632EBC"/>
    <w:rsid w:val="00633A08"/>
    <w:rsid w:val="00634B33"/>
    <w:rsid w:val="00634B5C"/>
    <w:rsid w:val="00634D0B"/>
    <w:rsid w:val="00641B30"/>
    <w:rsid w:val="006431A5"/>
    <w:rsid w:val="00644091"/>
    <w:rsid w:val="00644D98"/>
    <w:rsid w:val="00645678"/>
    <w:rsid w:val="00652699"/>
    <w:rsid w:val="006529B4"/>
    <w:rsid w:val="00661C84"/>
    <w:rsid w:val="0066265A"/>
    <w:rsid w:val="00663896"/>
    <w:rsid w:val="00663F0D"/>
    <w:rsid w:val="00667ED3"/>
    <w:rsid w:val="00670E1A"/>
    <w:rsid w:val="00671316"/>
    <w:rsid w:val="00672387"/>
    <w:rsid w:val="00672F3F"/>
    <w:rsid w:val="0067682E"/>
    <w:rsid w:val="00677350"/>
    <w:rsid w:val="00682255"/>
    <w:rsid w:val="00682F9B"/>
    <w:rsid w:val="00684434"/>
    <w:rsid w:val="00684CE6"/>
    <w:rsid w:val="006850C7"/>
    <w:rsid w:val="0069117C"/>
    <w:rsid w:val="00697781"/>
    <w:rsid w:val="00697F9B"/>
    <w:rsid w:val="006A08D6"/>
    <w:rsid w:val="006A0C38"/>
    <w:rsid w:val="006A1E16"/>
    <w:rsid w:val="006A1FC4"/>
    <w:rsid w:val="006A7BE0"/>
    <w:rsid w:val="006B1143"/>
    <w:rsid w:val="006B33FF"/>
    <w:rsid w:val="006B49AF"/>
    <w:rsid w:val="006B4BCD"/>
    <w:rsid w:val="006B56CA"/>
    <w:rsid w:val="006B5FE8"/>
    <w:rsid w:val="006B614F"/>
    <w:rsid w:val="006B73B1"/>
    <w:rsid w:val="006C141B"/>
    <w:rsid w:val="006C33F0"/>
    <w:rsid w:val="006C3765"/>
    <w:rsid w:val="006C410B"/>
    <w:rsid w:val="006C4F6C"/>
    <w:rsid w:val="006C6449"/>
    <w:rsid w:val="006C66A8"/>
    <w:rsid w:val="006C69E8"/>
    <w:rsid w:val="006C6C0F"/>
    <w:rsid w:val="006D0083"/>
    <w:rsid w:val="006D02EB"/>
    <w:rsid w:val="006D2BFB"/>
    <w:rsid w:val="006D47AC"/>
    <w:rsid w:val="006E117B"/>
    <w:rsid w:val="006E1499"/>
    <w:rsid w:val="006E3267"/>
    <w:rsid w:val="006E53CF"/>
    <w:rsid w:val="006E6799"/>
    <w:rsid w:val="006F37BD"/>
    <w:rsid w:val="006F4241"/>
    <w:rsid w:val="006F42A2"/>
    <w:rsid w:val="006F4E1E"/>
    <w:rsid w:val="006F786C"/>
    <w:rsid w:val="007007CA"/>
    <w:rsid w:val="00702208"/>
    <w:rsid w:val="00703DAF"/>
    <w:rsid w:val="00710EE9"/>
    <w:rsid w:val="007112B6"/>
    <w:rsid w:val="007126D2"/>
    <w:rsid w:val="0071549E"/>
    <w:rsid w:val="00715654"/>
    <w:rsid w:val="00716713"/>
    <w:rsid w:val="00721969"/>
    <w:rsid w:val="00725595"/>
    <w:rsid w:val="0072607E"/>
    <w:rsid w:val="00727892"/>
    <w:rsid w:val="007324EF"/>
    <w:rsid w:val="00733282"/>
    <w:rsid w:val="0073502F"/>
    <w:rsid w:val="00742D81"/>
    <w:rsid w:val="0074373D"/>
    <w:rsid w:val="00743758"/>
    <w:rsid w:val="00744528"/>
    <w:rsid w:val="00746BC2"/>
    <w:rsid w:val="00750C6A"/>
    <w:rsid w:val="00751BA8"/>
    <w:rsid w:val="00752DB0"/>
    <w:rsid w:val="00757AA2"/>
    <w:rsid w:val="00760922"/>
    <w:rsid w:val="007628CA"/>
    <w:rsid w:val="0077062A"/>
    <w:rsid w:val="007708F4"/>
    <w:rsid w:val="00770FB8"/>
    <w:rsid w:val="0077346C"/>
    <w:rsid w:val="00774F18"/>
    <w:rsid w:val="00775CE3"/>
    <w:rsid w:val="00776F05"/>
    <w:rsid w:val="0078073C"/>
    <w:rsid w:val="00780F74"/>
    <w:rsid w:val="00785C17"/>
    <w:rsid w:val="00791AEB"/>
    <w:rsid w:val="00794C1D"/>
    <w:rsid w:val="007A057B"/>
    <w:rsid w:val="007A11B9"/>
    <w:rsid w:val="007A1E44"/>
    <w:rsid w:val="007A21B4"/>
    <w:rsid w:val="007A24D0"/>
    <w:rsid w:val="007A3847"/>
    <w:rsid w:val="007A7351"/>
    <w:rsid w:val="007B0745"/>
    <w:rsid w:val="007B210D"/>
    <w:rsid w:val="007B2344"/>
    <w:rsid w:val="007B7BB5"/>
    <w:rsid w:val="007C10CE"/>
    <w:rsid w:val="007C2E5B"/>
    <w:rsid w:val="007C3371"/>
    <w:rsid w:val="007C5402"/>
    <w:rsid w:val="007C680D"/>
    <w:rsid w:val="007C6AFF"/>
    <w:rsid w:val="007D245B"/>
    <w:rsid w:val="007D4C6A"/>
    <w:rsid w:val="007D6475"/>
    <w:rsid w:val="007D6803"/>
    <w:rsid w:val="007E31C3"/>
    <w:rsid w:val="007E38C2"/>
    <w:rsid w:val="007E4EA6"/>
    <w:rsid w:val="007E688F"/>
    <w:rsid w:val="007E6C0C"/>
    <w:rsid w:val="007F0228"/>
    <w:rsid w:val="007F0A5C"/>
    <w:rsid w:val="007F12C9"/>
    <w:rsid w:val="007F2EC5"/>
    <w:rsid w:val="007F5E73"/>
    <w:rsid w:val="007F6AB7"/>
    <w:rsid w:val="007F7C64"/>
    <w:rsid w:val="00803DDA"/>
    <w:rsid w:val="00805255"/>
    <w:rsid w:val="008061D2"/>
    <w:rsid w:val="00810B6E"/>
    <w:rsid w:val="008124CB"/>
    <w:rsid w:val="00814EEA"/>
    <w:rsid w:val="00821943"/>
    <w:rsid w:val="008223A9"/>
    <w:rsid w:val="008242B5"/>
    <w:rsid w:val="00824A97"/>
    <w:rsid w:val="00824F81"/>
    <w:rsid w:val="00831A2A"/>
    <w:rsid w:val="008325E5"/>
    <w:rsid w:val="00832C3C"/>
    <w:rsid w:val="00835277"/>
    <w:rsid w:val="00836CD3"/>
    <w:rsid w:val="00841485"/>
    <w:rsid w:val="00841CA7"/>
    <w:rsid w:val="00843020"/>
    <w:rsid w:val="00847AC3"/>
    <w:rsid w:val="00850541"/>
    <w:rsid w:val="00850EB5"/>
    <w:rsid w:val="00851177"/>
    <w:rsid w:val="008513E9"/>
    <w:rsid w:val="0085171E"/>
    <w:rsid w:val="00852704"/>
    <w:rsid w:val="00856E43"/>
    <w:rsid w:val="0086337B"/>
    <w:rsid w:val="00864F44"/>
    <w:rsid w:val="008666D8"/>
    <w:rsid w:val="00866B3B"/>
    <w:rsid w:val="00867FD7"/>
    <w:rsid w:val="008717B0"/>
    <w:rsid w:val="008726C1"/>
    <w:rsid w:val="00873B40"/>
    <w:rsid w:val="00881EED"/>
    <w:rsid w:val="00884A19"/>
    <w:rsid w:val="008852CE"/>
    <w:rsid w:val="00885B52"/>
    <w:rsid w:val="00887A57"/>
    <w:rsid w:val="008901DE"/>
    <w:rsid w:val="00891E13"/>
    <w:rsid w:val="00893C94"/>
    <w:rsid w:val="00893EBA"/>
    <w:rsid w:val="00897C3B"/>
    <w:rsid w:val="008A2C95"/>
    <w:rsid w:val="008A4EEF"/>
    <w:rsid w:val="008B1066"/>
    <w:rsid w:val="008B1372"/>
    <w:rsid w:val="008B6828"/>
    <w:rsid w:val="008C015C"/>
    <w:rsid w:val="008C2730"/>
    <w:rsid w:val="008C2E1E"/>
    <w:rsid w:val="008C37F0"/>
    <w:rsid w:val="008C4263"/>
    <w:rsid w:val="008C7FB0"/>
    <w:rsid w:val="008D282A"/>
    <w:rsid w:val="008D3D50"/>
    <w:rsid w:val="008D42E3"/>
    <w:rsid w:val="008D5747"/>
    <w:rsid w:val="008D7576"/>
    <w:rsid w:val="008E1277"/>
    <w:rsid w:val="008E1DEA"/>
    <w:rsid w:val="008E3C1A"/>
    <w:rsid w:val="008E5D96"/>
    <w:rsid w:val="008F0082"/>
    <w:rsid w:val="008F0676"/>
    <w:rsid w:val="008F0DA2"/>
    <w:rsid w:val="008F21A1"/>
    <w:rsid w:val="008F6202"/>
    <w:rsid w:val="008F6E4F"/>
    <w:rsid w:val="0090024F"/>
    <w:rsid w:val="00903565"/>
    <w:rsid w:val="00903E8E"/>
    <w:rsid w:val="00904400"/>
    <w:rsid w:val="00905D7C"/>
    <w:rsid w:val="00907C98"/>
    <w:rsid w:val="00912AA0"/>
    <w:rsid w:val="0091488A"/>
    <w:rsid w:val="00916986"/>
    <w:rsid w:val="009203CA"/>
    <w:rsid w:val="0092320B"/>
    <w:rsid w:val="0092567A"/>
    <w:rsid w:val="00930C2F"/>
    <w:rsid w:val="009327A5"/>
    <w:rsid w:val="00932893"/>
    <w:rsid w:val="00933DC2"/>
    <w:rsid w:val="009343D0"/>
    <w:rsid w:val="00934E0B"/>
    <w:rsid w:val="00940634"/>
    <w:rsid w:val="00940EEE"/>
    <w:rsid w:val="00941D36"/>
    <w:rsid w:val="00942016"/>
    <w:rsid w:val="009420BE"/>
    <w:rsid w:val="00942C7D"/>
    <w:rsid w:val="00943EB6"/>
    <w:rsid w:val="009454BA"/>
    <w:rsid w:val="00946338"/>
    <w:rsid w:val="009464A4"/>
    <w:rsid w:val="009467F3"/>
    <w:rsid w:val="00950073"/>
    <w:rsid w:val="00950F56"/>
    <w:rsid w:val="009550AE"/>
    <w:rsid w:val="00955EED"/>
    <w:rsid w:val="009567DF"/>
    <w:rsid w:val="00956FCA"/>
    <w:rsid w:val="00957073"/>
    <w:rsid w:val="00957BD5"/>
    <w:rsid w:val="00960D2A"/>
    <w:rsid w:val="00964F7A"/>
    <w:rsid w:val="00966DA3"/>
    <w:rsid w:val="00970466"/>
    <w:rsid w:val="0097299F"/>
    <w:rsid w:val="0097405B"/>
    <w:rsid w:val="009761A8"/>
    <w:rsid w:val="009816DE"/>
    <w:rsid w:val="009818D5"/>
    <w:rsid w:val="00982EEC"/>
    <w:rsid w:val="00983F2D"/>
    <w:rsid w:val="00990E72"/>
    <w:rsid w:val="009927AF"/>
    <w:rsid w:val="00992EA4"/>
    <w:rsid w:val="0099600B"/>
    <w:rsid w:val="00996B0B"/>
    <w:rsid w:val="009A18EC"/>
    <w:rsid w:val="009A1B83"/>
    <w:rsid w:val="009A4C5B"/>
    <w:rsid w:val="009A4C6B"/>
    <w:rsid w:val="009A6351"/>
    <w:rsid w:val="009A68B5"/>
    <w:rsid w:val="009A6C44"/>
    <w:rsid w:val="009B02DC"/>
    <w:rsid w:val="009B0A47"/>
    <w:rsid w:val="009B13A5"/>
    <w:rsid w:val="009B175F"/>
    <w:rsid w:val="009B3E47"/>
    <w:rsid w:val="009B3E62"/>
    <w:rsid w:val="009B55DC"/>
    <w:rsid w:val="009C45E2"/>
    <w:rsid w:val="009C4B5D"/>
    <w:rsid w:val="009C51DF"/>
    <w:rsid w:val="009C5E35"/>
    <w:rsid w:val="009C7AB5"/>
    <w:rsid w:val="009C7D8F"/>
    <w:rsid w:val="009D1F35"/>
    <w:rsid w:val="009D3968"/>
    <w:rsid w:val="009D69A4"/>
    <w:rsid w:val="009D7597"/>
    <w:rsid w:val="009D7EFA"/>
    <w:rsid w:val="009E0D46"/>
    <w:rsid w:val="009E35A3"/>
    <w:rsid w:val="009E4D54"/>
    <w:rsid w:val="009E6046"/>
    <w:rsid w:val="009E6FA1"/>
    <w:rsid w:val="009E737F"/>
    <w:rsid w:val="009E77FB"/>
    <w:rsid w:val="009F05FA"/>
    <w:rsid w:val="009F6CDA"/>
    <w:rsid w:val="00A00B78"/>
    <w:rsid w:val="00A04ADB"/>
    <w:rsid w:val="00A10175"/>
    <w:rsid w:val="00A103E4"/>
    <w:rsid w:val="00A12D91"/>
    <w:rsid w:val="00A12E6A"/>
    <w:rsid w:val="00A15029"/>
    <w:rsid w:val="00A15841"/>
    <w:rsid w:val="00A17468"/>
    <w:rsid w:val="00A204ED"/>
    <w:rsid w:val="00A213DB"/>
    <w:rsid w:val="00A22217"/>
    <w:rsid w:val="00A230C3"/>
    <w:rsid w:val="00A24A23"/>
    <w:rsid w:val="00A25132"/>
    <w:rsid w:val="00A251C8"/>
    <w:rsid w:val="00A274AD"/>
    <w:rsid w:val="00A27F2A"/>
    <w:rsid w:val="00A3142C"/>
    <w:rsid w:val="00A31BAD"/>
    <w:rsid w:val="00A37D83"/>
    <w:rsid w:val="00A44988"/>
    <w:rsid w:val="00A47224"/>
    <w:rsid w:val="00A472F5"/>
    <w:rsid w:val="00A50DB2"/>
    <w:rsid w:val="00A51439"/>
    <w:rsid w:val="00A51C44"/>
    <w:rsid w:val="00A530FA"/>
    <w:rsid w:val="00A53909"/>
    <w:rsid w:val="00A550AB"/>
    <w:rsid w:val="00A55889"/>
    <w:rsid w:val="00A55896"/>
    <w:rsid w:val="00A55B2B"/>
    <w:rsid w:val="00A57505"/>
    <w:rsid w:val="00A60345"/>
    <w:rsid w:val="00A60BB7"/>
    <w:rsid w:val="00A62977"/>
    <w:rsid w:val="00A63F38"/>
    <w:rsid w:val="00A71A7B"/>
    <w:rsid w:val="00A747F6"/>
    <w:rsid w:val="00A7577B"/>
    <w:rsid w:val="00A7695D"/>
    <w:rsid w:val="00A8200A"/>
    <w:rsid w:val="00A8700B"/>
    <w:rsid w:val="00A91796"/>
    <w:rsid w:val="00A91E31"/>
    <w:rsid w:val="00A93C26"/>
    <w:rsid w:val="00A95B64"/>
    <w:rsid w:val="00A95E1B"/>
    <w:rsid w:val="00A95EED"/>
    <w:rsid w:val="00A97A3B"/>
    <w:rsid w:val="00AA0003"/>
    <w:rsid w:val="00AA04CD"/>
    <w:rsid w:val="00AA1223"/>
    <w:rsid w:val="00AA1FF5"/>
    <w:rsid w:val="00AA64B2"/>
    <w:rsid w:val="00AB19B9"/>
    <w:rsid w:val="00AB2B44"/>
    <w:rsid w:val="00AB32CF"/>
    <w:rsid w:val="00AB392F"/>
    <w:rsid w:val="00AB462B"/>
    <w:rsid w:val="00AC0368"/>
    <w:rsid w:val="00AC081E"/>
    <w:rsid w:val="00AC0D6B"/>
    <w:rsid w:val="00AC1050"/>
    <w:rsid w:val="00AC1FE8"/>
    <w:rsid w:val="00AC651F"/>
    <w:rsid w:val="00AC7A01"/>
    <w:rsid w:val="00AC7D9D"/>
    <w:rsid w:val="00AD19B8"/>
    <w:rsid w:val="00AD42A7"/>
    <w:rsid w:val="00AD4951"/>
    <w:rsid w:val="00AD5953"/>
    <w:rsid w:val="00AD7F1D"/>
    <w:rsid w:val="00AE516B"/>
    <w:rsid w:val="00AF259B"/>
    <w:rsid w:val="00AF2C82"/>
    <w:rsid w:val="00AF37DB"/>
    <w:rsid w:val="00AF3F62"/>
    <w:rsid w:val="00AF62C5"/>
    <w:rsid w:val="00AF6B38"/>
    <w:rsid w:val="00B00F11"/>
    <w:rsid w:val="00B0318C"/>
    <w:rsid w:val="00B05C7F"/>
    <w:rsid w:val="00B07CA3"/>
    <w:rsid w:val="00B16508"/>
    <w:rsid w:val="00B23E1A"/>
    <w:rsid w:val="00B2582A"/>
    <w:rsid w:val="00B2588B"/>
    <w:rsid w:val="00B262F3"/>
    <w:rsid w:val="00B30A62"/>
    <w:rsid w:val="00B3179D"/>
    <w:rsid w:val="00B319C9"/>
    <w:rsid w:val="00B36B28"/>
    <w:rsid w:val="00B40781"/>
    <w:rsid w:val="00B408C0"/>
    <w:rsid w:val="00B4375C"/>
    <w:rsid w:val="00B470AE"/>
    <w:rsid w:val="00B47E61"/>
    <w:rsid w:val="00B5005B"/>
    <w:rsid w:val="00B52CC0"/>
    <w:rsid w:val="00B54FF9"/>
    <w:rsid w:val="00B55E81"/>
    <w:rsid w:val="00B56310"/>
    <w:rsid w:val="00B5660D"/>
    <w:rsid w:val="00B569EC"/>
    <w:rsid w:val="00B60416"/>
    <w:rsid w:val="00B61E17"/>
    <w:rsid w:val="00B6268E"/>
    <w:rsid w:val="00B6317E"/>
    <w:rsid w:val="00B644D3"/>
    <w:rsid w:val="00B65E97"/>
    <w:rsid w:val="00B6660B"/>
    <w:rsid w:val="00B66E04"/>
    <w:rsid w:val="00B70A38"/>
    <w:rsid w:val="00B7335A"/>
    <w:rsid w:val="00B75521"/>
    <w:rsid w:val="00B76528"/>
    <w:rsid w:val="00B809C5"/>
    <w:rsid w:val="00B80E08"/>
    <w:rsid w:val="00B834E5"/>
    <w:rsid w:val="00B83E29"/>
    <w:rsid w:val="00B84472"/>
    <w:rsid w:val="00B848A0"/>
    <w:rsid w:val="00B84BAB"/>
    <w:rsid w:val="00B85BF3"/>
    <w:rsid w:val="00B87A7C"/>
    <w:rsid w:val="00B87D19"/>
    <w:rsid w:val="00B95124"/>
    <w:rsid w:val="00B955F7"/>
    <w:rsid w:val="00B96061"/>
    <w:rsid w:val="00BA2391"/>
    <w:rsid w:val="00BA4C04"/>
    <w:rsid w:val="00BA5BBA"/>
    <w:rsid w:val="00BA6646"/>
    <w:rsid w:val="00BA79AC"/>
    <w:rsid w:val="00BB181B"/>
    <w:rsid w:val="00BB2B47"/>
    <w:rsid w:val="00BB3E84"/>
    <w:rsid w:val="00BB45F4"/>
    <w:rsid w:val="00BC225D"/>
    <w:rsid w:val="00BC520B"/>
    <w:rsid w:val="00BC6332"/>
    <w:rsid w:val="00BC65C4"/>
    <w:rsid w:val="00BC6A54"/>
    <w:rsid w:val="00BC7375"/>
    <w:rsid w:val="00BD011B"/>
    <w:rsid w:val="00BD0743"/>
    <w:rsid w:val="00BD12B7"/>
    <w:rsid w:val="00BD3EF3"/>
    <w:rsid w:val="00BD3F91"/>
    <w:rsid w:val="00BD59B1"/>
    <w:rsid w:val="00BD7708"/>
    <w:rsid w:val="00BE058F"/>
    <w:rsid w:val="00BE172B"/>
    <w:rsid w:val="00BE1BBE"/>
    <w:rsid w:val="00BE6008"/>
    <w:rsid w:val="00BF2459"/>
    <w:rsid w:val="00BF79B0"/>
    <w:rsid w:val="00C03D58"/>
    <w:rsid w:val="00C04BB2"/>
    <w:rsid w:val="00C1381B"/>
    <w:rsid w:val="00C1469B"/>
    <w:rsid w:val="00C1566E"/>
    <w:rsid w:val="00C20C61"/>
    <w:rsid w:val="00C229E2"/>
    <w:rsid w:val="00C24866"/>
    <w:rsid w:val="00C24E83"/>
    <w:rsid w:val="00C25044"/>
    <w:rsid w:val="00C25598"/>
    <w:rsid w:val="00C25AFD"/>
    <w:rsid w:val="00C263FB"/>
    <w:rsid w:val="00C26BF6"/>
    <w:rsid w:val="00C3269A"/>
    <w:rsid w:val="00C3369C"/>
    <w:rsid w:val="00C33C66"/>
    <w:rsid w:val="00C41A34"/>
    <w:rsid w:val="00C44A00"/>
    <w:rsid w:val="00C47B60"/>
    <w:rsid w:val="00C5117E"/>
    <w:rsid w:val="00C5371F"/>
    <w:rsid w:val="00C5377B"/>
    <w:rsid w:val="00C53AF8"/>
    <w:rsid w:val="00C54923"/>
    <w:rsid w:val="00C607AE"/>
    <w:rsid w:val="00C60C14"/>
    <w:rsid w:val="00C60D3A"/>
    <w:rsid w:val="00C62A66"/>
    <w:rsid w:val="00C62C73"/>
    <w:rsid w:val="00C6323E"/>
    <w:rsid w:val="00C63A6E"/>
    <w:rsid w:val="00C63C67"/>
    <w:rsid w:val="00C67547"/>
    <w:rsid w:val="00C718F8"/>
    <w:rsid w:val="00C71BBA"/>
    <w:rsid w:val="00C74B04"/>
    <w:rsid w:val="00C7616D"/>
    <w:rsid w:val="00C81678"/>
    <w:rsid w:val="00C82D57"/>
    <w:rsid w:val="00C863B2"/>
    <w:rsid w:val="00C9021D"/>
    <w:rsid w:val="00C90712"/>
    <w:rsid w:val="00C92583"/>
    <w:rsid w:val="00C95A45"/>
    <w:rsid w:val="00C965BC"/>
    <w:rsid w:val="00C96C8B"/>
    <w:rsid w:val="00C96CBE"/>
    <w:rsid w:val="00C97C3D"/>
    <w:rsid w:val="00CA375A"/>
    <w:rsid w:val="00CA39C5"/>
    <w:rsid w:val="00CA3C74"/>
    <w:rsid w:val="00CA4B2D"/>
    <w:rsid w:val="00CA6E12"/>
    <w:rsid w:val="00CA6FF3"/>
    <w:rsid w:val="00CB0816"/>
    <w:rsid w:val="00CB11B1"/>
    <w:rsid w:val="00CB3A6F"/>
    <w:rsid w:val="00CB5318"/>
    <w:rsid w:val="00CB5635"/>
    <w:rsid w:val="00CB72DD"/>
    <w:rsid w:val="00CC137B"/>
    <w:rsid w:val="00CC4E7C"/>
    <w:rsid w:val="00CC5A43"/>
    <w:rsid w:val="00CC5EE4"/>
    <w:rsid w:val="00CC6CB8"/>
    <w:rsid w:val="00CD2F38"/>
    <w:rsid w:val="00CE1FEB"/>
    <w:rsid w:val="00CE635D"/>
    <w:rsid w:val="00CE6A09"/>
    <w:rsid w:val="00CF1376"/>
    <w:rsid w:val="00CF7A8C"/>
    <w:rsid w:val="00CF7E70"/>
    <w:rsid w:val="00D00DA9"/>
    <w:rsid w:val="00D019D7"/>
    <w:rsid w:val="00D036B7"/>
    <w:rsid w:val="00D067DA"/>
    <w:rsid w:val="00D10AB9"/>
    <w:rsid w:val="00D110BA"/>
    <w:rsid w:val="00D12471"/>
    <w:rsid w:val="00D12A79"/>
    <w:rsid w:val="00D14830"/>
    <w:rsid w:val="00D1715A"/>
    <w:rsid w:val="00D21258"/>
    <w:rsid w:val="00D238FB"/>
    <w:rsid w:val="00D2511C"/>
    <w:rsid w:val="00D25BCD"/>
    <w:rsid w:val="00D25C20"/>
    <w:rsid w:val="00D26026"/>
    <w:rsid w:val="00D31B3C"/>
    <w:rsid w:val="00D31F3E"/>
    <w:rsid w:val="00D333A1"/>
    <w:rsid w:val="00D33517"/>
    <w:rsid w:val="00D3358F"/>
    <w:rsid w:val="00D355A9"/>
    <w:rsid w:val="00D36A86"/>
    <w:rsid w:val="00D40397"/>
    <w:rsid w:val="00D43421"/>
    <w:rsid w:val="00D44224"/>
    <w:rsid w:val="00D5161C"/>
    <w:rsid w:val="00D547A7"/>
    <w:rsid w:val="00D54F97"/>
    <w:rsid w:val="00D55E46"/>
    <w:rsid w:val="00D60025"/>
    <w:rsid w:val="00D6198B"/>
    <w:rsid w:val="00D72AE0"/>
    <w:rsid w:val="00D72F1E"/>
    <w:rsid w:val="00D75DF7"/>
    <w:rsid w:val="00D7715B"/>
    <w:rsid w:val="00D77AC2"/>
    <w:rsid w:val="00D8167B"/>
    <w:rsid w:val="00D8536A"/>
    <w:rsid w:val="00D858BC"/>
    <w:rsid w:val="00D93B69"/>
    <w:rsid w:val="00D93D02"/>
    <w:rsid w:val="00D951EB"/>
    <w:rsid w:val="00D95754"/>
    <w:rsid w:val="00D964E0"/>
    <w:rsid w:val="00D97A62"/>
    <w:rsid w:val="00DA0E72"/>
    <w:rsid w:val="00DA32A0"/>
    <w:rsid w:val="00DA7A4B"/>
    <w:rsid w:val="00DB0320"/>
    <w:rsid w:val="00DB0F42"/>
    <w:rsid w:val="00DB11C0"/>
    <w:rsid w:val="00DB5D25"/>
    <w:rsid w:val="00DB6801"/>
    <w:rsid w:val="00DB6C67"/>
    <w:rsid w:val="00DB7164"/>
    <w:rsid w:val="00DC28CA"/>
    <w:rsid w:val="00DC2CAC"/>
    <w:rsid w:val="00DC4EA6"/>
    <w:rsid w:val="00DC66A1"/>
    <w:rsid w:val="00DD1090"/>
    <w:rsid w:val="00DD5847"/>
    <w:rsid w:val="00DD70C9"/>
    <w:rsid w:val="00DD7428"/>
    <w:rsid w:val="00DE0F67"/>
    <w:rsid w:val="00DE14C2"/>
    <w:rsid w:val="00DE2850"/>
    <w:rsid w:val="00DE2DBF"/>
    <w:rsid w:val="00DE325C"/>
    <w:rsid w:val="00DE3736"/>
    <w:rsid w:val="00DF11FD"/>
    <w:rsid w:val="00DF1D30"/>
    <w:rsid w:val="00DF202E"/>
    <w:rsid w:val="00DF23E4"/>
    <w:rsid w:val="00DF2442"/>
    <w:rsid w:val="00DF2EEF"/>
    <w:rsid w:val="00DF438D"/>
    <w:rsid w:val="00DF67CB"/>
    <w:rsid w:val="00DF7B89"/>
    <w:rsid w:val="00E00A34"/>
    <w:rsid w:val="00E0352E"/>
    <w:rsid w:val="00E05239"/>
    <w:rsid w:val="00E10C98"/>
    <w:rsid w:val="00E1314D"/>
    <w:rsid w:val="00E24518"/>
    <w:rsid w:val="00E2504C"/>
    <w:rsid w:val="00E26F73"/>
    <w:rsid w:val="00E3319A"/>
    <w:rsid w:val="00E353C9"/>
    <w:rsid w:val="00E35890"/>
    <w:rsid w:val="00E410D5"/>
    <w:rsid w:val="00E4184D"/>
    <w:rsid w:val="00E41A9D"/>
    <w:rsid w:val="00E41C47"/>
    <w:rsid w:val="00E424D8"/>
    <w:rsid w:val="00E426F1"/>
    <w:rsid w:val="00E44B97"/>
    <w:rsid w:val="00E45C0A"/>
    <w:rsid w:val="00E566CC"/>
    <w:rsid w:val="00E61AB4"/>
    <w:rsid w:val="00E63095"/>
    <w:rsid w:val="00E63D32"/>
    <w:rsid w:val="00E63FB3"/>
    <w:rsid w:val="00E70350"/>
    <w:rsid w:val="00E7112F"/>
    <w:rsid w:val="00E715C9"/>
    <w:rsid w:val="00E735A0"/>
    <w:rsid w:val="00E75A6D"/>
    <w:rsid w:val="00E775A6"/>
    <w:rsid w:val="00E77B80"/>
    <w:rsid w:val="00E80CDE"/>
    <w:rsid w:val="00E84D5F"/>
    <w:rsid w:val="00E907B2"/>
    <w:rsid w:val="00E9225B"/>
    <w:rsid w:val="00E923E0"/>
    <w:rsid w:val="00E92E09"/>
    <w:rsid w:val="00E94162"/>
    <w:rsid w:val="00E96CAD"/>
    <w:rsid w:val="00EA0442"/>
    <w:rsid w:val="00EA202A"/>
    <w:rsid w:val="00EA2D51"/>
    <w:rsid w:val="00EA300F"/>
    <w:rsid w:val="00EA45CE"/>
    <w:rsid w:val="00EA5D74"/>
    <w:rsid w:val="00EA6725"/>
    <w:rsid w:val="00EB354A"/>
    <w:rsid w:val="00EB52C8"/>
    <w:rsid w:val="00EB7B7E"/>
    <w:rsid w:val="00EC0535"/>
    <w:rsid w:val="00EC1F9A"/>
    <w:rsid w:val="00EC3A90"/>
    <w:rsid w:val="00EC43A2"/>
    <w:rsid w:val="00EC59B7"/>
    <w:rsid w:val="00EC712E"/>
    <w:rsid w:val="00EC7878"/>
    <w:rsid w:val="00EC79FD"/>
    <w:rsid w:val="00ED32BB"/>
    <w:rsid w:val="00ED6B45"/>
    <w:rsid w:val="00EE21A9"/>
    <w:rsid w:val="00EE259B"/>
    <w:rsid w:val="00EE348B"/>
    <w:rsid w:val="00EE493D"/>
    <w:rsid w:val="00EE60FF"/>
    <w:rsid w:val="00EE63DF"/>
    <w:rsid w:val="00EE7470"/>
    <w:rsid w:val="00EF1234"/>
    <w:rsid w:val="00EF5305"/>
    <w:rsid w:val="00EF5497"/>
    <w:rsid w:val="00EF67FB"/>
    <w:rsid w:val="00F02033"/>
    <w:rsid w:val="00F02FEA"/>
    <w:rsid w:val="00F06CB6"/>
    <w:rsid w:val="00F06FEC"/>
    <w:rsid w:val="00F13F6A"/>
    <w:rsid w:val="00F14A6E"/>
    <w:rsid w:val="00F15152"/>
    <w:rsid w:val="00F15A8A"/>
    <w:rsid w:val="00F16247"/>
    <w:rsid w:val="00F17109"/>
    <w:rsid w:val="00F17627"/>
    <w:rsid w:val="00F217F2"/>
    <w:rsid w:val="00F2317B"/>
    <w:rsid w:val="00F23C74"/>
    <w:rsid w:val="00F2469B"/>
    <w:rsid w:val="00F266CE"/>
    <w:rsid w:val="00F310D1"/>
    <w:rsid w:val="00F334D1"/>
    <w:rsid w:val="00F33C53"/>
    <w:rsid w:val="00F35CC0"/>
    <w:rsid w:val="00F407C1"/>
    <w:rsid w:val="00F4178F"/>
    <w:rsid w:val="00F45809"/>
    <w:rsid w:val="00F46E82"/>
    <w:rsid w:val="00F47218"/>
    <w:rsid w:val="00F50675"/>
    <w:rsid w:val="00F535B2"/>
    <w:rsid w:val="00F53B10"/>
    <w:rsid w:val="00F57227"/>
    <w:rsid w:val="00F615D3"/>
    <w:rsid w:val="00F628B2"/>
    <w:rsid w:val="00F65087"/>
    <w:rsid w:val="00F6540C"/>
    <w:rsid w:val="00F74DC5"/>
    <w:rsid w:val="00F76025"/>
    <w:rsid w:val="00F769D0"/>
    <w:rsid w:val="00F8214C"/>
    <w:rsid w:val="00F8273A"/>
    <w:rsid w:val="00F8565A"/>
    <w:rsid w:val="00F8603B"/>
    <w:rsid w:val="00F9031D"/>
    <w:rsid w:val="00F907F3"/>
    <w:rsid w:val="00F92BF8"/>
    <w:rsid w:val="00F9656D"/>
    <w:rsid w:val="00F974B5"/>
    <w:rsid w:val="00FA0A2F"/>
    <w:rsid w:val="00FA11EB"/>
    <w:rsid w:val="00FA233C"/>
    <w:rsid w:val="00FA3181"/>
    <w:rsid w:val="00FA5A7E"/>
    <w:rsid w:val="00FA7F11"/>
    <w:rsid w:val="00FB0328"/>
    <w:rsid w:val="00FB38AF"/>
    <w:rsid w:val="00FB4F46"/>
    <w:rsid w:val="00FC0A60"/>
    <w:rsid w:val="00FC0FF4"/>
    <w:rsid w:val="00FC3527"/>
    <w:rsid w:val="00FC3F2F"/>
    <w:rsid w:val="00FC468F"/>
    <w:rsid w:val="00FC4744"/>
    <w:rsid w:val="00FC521B"/>
    <w:rsid w:val="00FC525E"/>
    <w:rsid w:val="00FC5915"/>
    <w:rsid w:val="00FC5D29"/>
    <w:rsid w:val="00FD153A"/>
    <w:rsid w:val="00FE111C"/>
    <w:rsid w:val="00FE1150"/>
    <w:rsid w:val="00FE22E4"/>
    <w:rsid w:val="00FE278C"/>
    <w:rsid w:val="00FE2C45"/>
    <w:rsid w:val="00FE3175"/>
    <w:rsid w:val="00FE3737"/>
    <w:rsid w:val="00FF0843"/>
    <w:rsid w:val="00FF3F63"/>
    <w:rsid w:val="00FF7126"/>
    <w:rsid w:val="010016CB"/>
    <w:rsid w:val="010A7BB0"/>
    <w:rsid w:val="01164A5A"/>
    <w:rsid w:val="011C31D5"/>
    <w:rsid w:val="0123313C"/>
    <w:rsid w:val="01250A31"/>
    <w:rsid w:val="012B5D9F"/>
    <w:rsid w:val="014D3881"/>
    <w:rsid w:val="016D4521"/>
    <w:rsid w:val="018C5165"/>
    <w:rsid w:val="019650E7"/>
    <w:rsid w:val="01BE6D6B"/>
    <w:rsid w:val="01D60B63"/>
    <w:rsid w:val="01EC20D4"/>
    <w:rsid w:val="01EC4F7D"/>
    <w:rsid w:val="021A42DF"/>
    <w:rsid w:val="02287804"/>
    <w:rsid w:val="022A2C9E"/>
    <w:rsid w:val="0233428E"/>
    <w:rsid w:val="023630A4"/>
    <w:rsid w:val="023C7CA5"/>
    <w:rsid w:val="028661B8"/>
    <w:rsid w:val="02A4327A"/>
    <w:rsid w:val="02AC0E62"/>
    <w:rsid w:val="02B72DE8"/>
    <w:rsid w:val="02D31A18"/>
    <w:rsid w:val="02D75BD6"/>
    <w:rsid w:val="02DF15A0"/>
    <w:rsid w:val="02FB378D"/>
    <w:rsid w:val="030B0EA2"/>
    <w:rsid w:val="03447020"/>
    <w:rsid w:val="034D5574"/>
    <w:rsid w:val="03523680"/>
    <w:rsid w:val="036B133D"/>
    <w:rsid w:val="03825CE2"/>
    <w:rsid w:val="03825D61"/>
    <w:rsid w:val="0386117D"/>
    <w:rsid w:val="03B00574"/>
    <w:rsid w:val="03D708D9"/>
    <w:rsid w:val="03EF22DE"/>
    <w:rsid w:val="03F10A77"/>
    <w:rsid w:val="04142AEB"/>
    <w:rsid w:val="04297630"/>
    <w:rsid w:val="044449FD"/>
    <w:rsid w:val="04527209"/>
    <w:rsid w:val="045C2145"/>
    <w:rsid w:val="04652E10"/>
    <w:rsid w:val="04746577"/>
    <w:rsid w:val="04837E0F"/>
    <w:rsid w:val="04933008"/>
    <w:rsid w:val="049A676A"/>
    <w:rsid w:val="049F2E9F"/>
    <w:rsid w:val="04A93C72"/>
    <w:rsid w:val="04B66F97"/>
    <w:rsid w:val="04C3652E"/>
    <w:rsid w:val="04C52E10"/>
    <w:rsid w:val="04CE5EAF"/>
    <w:rsid w:val="04E248CA"/>
    <w:rsid w:val="04F51B09"/>
    <w:rsid w:val="050406CB"/>
    <w:rsid w:val="05123FA5"/>
    <w:rsid w:val="05244EAC"/>
    <w:rsid w:val="05285C0E"/>
    <w:rsid w:val="052D1B26"/>
    <w:rsid w:val="052F31B4"/>
    <w:rsid w:val="052F383F"/>
    <w:rsid w:val="053A52E3"/>
    <w:rsid w:val="054C4117"/>
    <w:rsid w:val="05583D2C"/>
    <w:rsid w:val="056B7688"/>
    <w:rsid w:val="05785F13"/>
    <w:rsid w:val="058838FA"/>
    <w:rsid w:val="059053A9"/>
    <w:rsid w:val="0593035D"/>
    <w:rsid w:val="059B0BD5"/>
    <w:rsid w:val="05B07649"/>
    <w:rsid w:val="05B95ACD"/>
    <w:rsid w:val="0600629A"/>
    <w:rsid w:val="061C2CC5"/>
    <w:rsid w:val="06277C2A"/>
    <w:rsid w:val="062E562E"/>
    <w:rsid w:val="06311710"/>
    <w:rsid w:val="06634315"/>
    <w:rsid w:val="067311AF"/>
    <w:rsid w:val="067C1819"/>
    <w:rsid w:val="067F3EE5"/>
    <w:rsid w:val="06885B7E"/>
    <w:rsid w:val="068E4DC4"/>
    <w:rsid w:val="069459A5"/>
    <w:rsid w:val="06D22ACF"/>
    <w:rsid w:val="06EE2A57"/>
    <w:rsid w:val="06EE5606"/>
    <w:rsid w:val="06FE29CD"/>
    <w:rsid w:val="070E4724"/>
    <w:rsid w:val="071466F4"/>
    <w:rsid w:val="07192ED0"/>
    <w:rsid w:val="07306435"/>
    <w:rsid w:val="073B35AA"/>
    <w:rsid w:val="073F3B3D"/>
    <w:rsid w:val="07686325"/>
    <w:rsid w:val="07713842"/>
    <w:rsid w:val="07876A78"/>
    <w:rsid w:val="079344B6"/>
    <w:rsid w:val="07A13E7D"/>
    <w:rsid w:val="07AE40D3"/>
    <w:rsid w:val="07D42AC3"/>
    <w:rsid w:val="07DC45AF"/>
    <w:rsid w:val="07DF19B4"/>
    <w:rsid w:val="07F742F8"/>
    <w:rsid w:val="07FA156D"/>
    <w:rsid w:val="08056BDF"/>
    <w:rsid w:val="08337C69"/>
    <w:rsid w:val="08494017"/>
    <w:rsid w:val="08561C49"/>
    <w:rsid w:val="08562177"/>
    <w:rsid w:val="085B2641"/>
    <w:rsid w:val="085C4D68"/>
    <w:rsid w:val="086B311E"/>
    <w:rsid w:val="088675AB"/>
    <w:rsid w:val="08931668"/>
    <w:rsid w:val="08977DD6"/>
    <w:rsid w:val="08994F17"/>
    <w:rsid w:val="08A339CE"/>
    <w:rsid w:val="08A9578F"/>
    <w:rsid w:val="08AD5DF3"/>
    <w:rsid w:val="08B20452"/>
    <w:rsid w:val="08F7552C"/>
    <w:rsid w:val="09065F86"/>
    <w:rsid w:val="091E0194"/>
    <w:rsid w:val="092334C2"/>
    <w:rsid w:val="09351286"/>
    <w:rsid w:val="09355935"/>
    <w:rsid w:val="093C25C2"/>
    <w:rsid w:val="09403B6A"/>
    <w:rsid w:val="098B1CE8"/>
    <w:rsid w:val="099D5763"/>
    <w:rsid w:val="09A516BD"/>
    <w:rsid w:val="09AC2D89"/>
    <w:rsid w:val="09BE5A9E"/>
    <w:rsid w:val="09CE1A6C"/>
    <w:rsid w:val="09D13D0F"/>
    <w:rsid w:val="09FA5DCD"/>
    <w:rsid w:val="0A1E79D1"/>
    <w:rsid w:val="0A2031B5"/>
    <w:rsid w:val="0A282AD6"/>
    <w:rsid w:val="0A2D623B"/>
    <w:rsid w:val="0A2E5614"/>
    <w:rsid w:val="0A36359E"/>
    <w:rsid w:val="0A4B09FA"/>
    <w:rsid w:val="0A717760"/>
    <w:rsid w:val="0A80290F"/>
    <w:rsid w:val="0A893F53"/>
    <w:rsid w:val="0AA534C2"/>
    <w:rsid w:val="0ADA2399"/>
    <w:rsid w:val="0ADE1BC4"/>
    <w:rsid w:val="0AE20F17"/>
    <w:rsid w:val="0AFA2EF2"/>
    <w:rsid w:val="0B075B45"/>
    <w:rsid w:val="0B0B1939"/>
    <w:rsid w:val="0B0F724D"/>
    <w:rsid w:val="0B205F12"/>
    <w:rsid w:val="0B276941"/>
    <w:rsid w:val="0B522EB6"/>
    <w:rsid w:val="0B534495"/>
    <w:rsid w:val="0B5E1B8A"/>
    <w:rsid w:val="0B764444"/>
    <w:rsid w:val="0B9934D6"/>
    <w:rsid w:val="0B994B3B"/>
    <w:rsid w:val="0BA1592A"/>
    <w:rsid w:val="0BB87C26"/>
    <w:rsid w:val="0BD90E1D"/>
    <w:rsid w:val="0BE01E63"/>
    <w:rsid w:val="0BE11A83"/>
    <w:rsid w:val="0BFA241A"/>
    <w:rsid w:val="0C030C22"/>
    <w:rsid w:val="0C11185F"/>
    <w:rsid w:val="0C32780C"/>
    <w:rsid w:val="0C4A1105"/>
    <w:rsid w:val="0C5C6ED1"/>
    <w:rsid w:val="0C6050C5"/>
    <w:rsid w:val="0C685488"/>
    <w:rsid w:val="0C7B0469"/>
    <w:rsid w:val="0CA83B9D"/>
    <w:rsid w:val="0CC01AC5"/>
    <w:rsid w:val="0CC62081"/>
    <w:rsid w:val="0CDF3C57"/>
    <w:rsid w:val="0CEB7FE6"/>
    <w:rsid w:val="0CF87377"/>
    <w:rsid w:val="0CF95EC3"/>
    <w:rsid w:val="0CFF4059"/>
    <w:rsid w:val="0D1D7F42"/>
    <w:rsid w:val="0D423DC7"/>
    <w:rsid w:val="0D472DC7"/>
    <w:rsid w:val="0D520468"/>
    <w:rsid w:val="0D6E6EA8"/>
    <w:rsid w:val="0D7D3DB8"/>
    <w:rsid w:val="0D947407"/>
    <w:rsid w:val="0D9B3871"/>
    <w:rsid w:val="0DB3641B"/>
    <w:rsid w:val="0DBC612F"/>
    <w:rsid w:val="0DC57FFF"/>
    <w:rsid w:val="0DD350C0"/>
    <w:rsid w:val="0DE739EF"/>
    <w:rsid w:val="0DFD4004"/>
    <w:rsid w:val="0E127B90"/>
    <w:rsid w:val="0E2B5CE9"/>
    <w:rsid w:val="0E32736C"/>
    <w:rsid w:val="0E36584B"/>
    <w:rsid w:val="0E3F7F8D"/>
    <w:rsid w:val="0E573E6C"/>
    <w:rsid w:val="0E7E3515"/>
    <w:rsid w:val="0E806AA2"/>
    <w:rsid w:val="0EC9081C"/>
    <w:rsid w:val="0F085D66"/>
    <w:rsid w:val="0F1A1A85"/>
    <w:rsid w:val="0F2603CA"/>
    <w:rsid w:val="0F433E22"/>
    <w:rsid w:val="0F48017C"/>
    <w:rsid w:val="0F8C42C1"/>
    <w:rsid w:val="0FA03246"/>
    <w:rsid w:val="0FCD6689"/>
    <w:rsid w:val="0FE373AE"/>
    <w:rsid w:val="0FE678E0"/>
    <w:rsid w:val="10016B13"/>
    <w:rsid w:val="10335DFE"/>
    <w:rsid w:val="10361ACA"/>
    <w:rsid w:val="103E3775"/>
    <w:rsid w:val="105E236E"/>
    <w:rsid w:val="105F5761"/>
    <w:rsid w:val="10641062"/>
    <w:rsid w:val="10822809"/>
    <w:rsid w:val="109128E5"/>
    <w:rsid w:val="10951B80"/>
    <w:rsid w:val="109C73C6"/>
    <w:rsid w:val="10AC674F"/>
    <w:rsid w:val="10C73003"/>
    <w:rsid w:val="10DA1092"/>
    <w:rsid w:val="10F47FB4"/>
    <w:rsid w:val="10F53C15"/>
    <w:rsid w:val="10FF5BAD"/>
    <w:rsid w:val="11117EEC"/>
    <w:rsid w:val="11214545"/>
    <w:rsid w:val="11245263"/>
    <w:rsid w:val="11371AF4"/>
    <w:rsid w:val="114B1447"/>
    <w:rsid w:val="1150392B"/>
    <w:rsid w:val="116319CB"/>
    <w:rsid w:val="116506CB"/>
    <w:rsid w:val="11684160"/>
    <w:rsid w:val="117B78D9"/>
    <w:rsid w:val="118F2161"/>
    <w:rsid w:val="11954CF5"/>
    <w:rsid w:val="11AC0787"/>
    <w:rsid w:val="11CE1E34"/>
    <w:rsid w:val="11DC0BE1"/>
    <w:rsid w:val="11DD31D5"/>
    <w:rsid w:val="120B7339"/>
    <w:rsid w:val="12195E48"/>
    <w:rsid w:val="122A0DB3"/>
    <w:rsid w:val="122C33AC"/>
    <w:rsid w:val="124A4BF7"/>
    <w:rsid w:val="12607325"/>
    <w:rsid w:val="1297062A"/>
    <w:rsid w:val="12A3792C"/>
    <w:rsid w:val="12B12A80"/>
    <w:rsid w:val="12B87249"/>
    <w:rsid w:val="12D0713C"/>
    <w:rsid w:val="12D36F96"/>
    <w:rsid w:val="12D80406"/>
    <w:rsid w:val="12DB7AA1"/>
    <w:rsid w:val="130C7E25"/>
    <w:rsid w:val="13161C8E"/>
    <w:rsid w:val="131D3BCB"/>
    <w:rsid w:val="132276B2"/>
    <w:rsid w:val="132337B3"/>
    <w:rsid w:val="133B097A"/>
    <w:rsid w:val="135902F8"/>
    <w:rsid w:val="13654F2C"/>
    <w:rsid w:val="138D76C3"/>
    <w:rsid w:val="138E7112"/>
    <w:rsid w:val="13A032DF"/>
    <w:rsid w:val="13B61FFE"/>
    <w:rsid w:val="13CF069E"/>
    <w:rsid w:val="13E320AB"/>
    <w:rsid w:val="14080AD1"/>
    <w:rsid w:val="141649F6"/>
    <w:rsid w:val="14223625"/>
    <w:rsid w:val="14247B68"/>
    <w:rsid w:val="142551C6"/>
    <w:rsid w:val="142F74CB"/>
    <w:rsid w:val="143545EC"/>
    <w:rsid w:val="143C4A3A"/>
    <w:rsid w:val="14500726"/>
    <w:rsid w:val="14706F01"/>
    <w:rsid w:val="1489260C"/>
    <w:rsid w:val="148E5DD1"/>
    <w:rsid w:val="14C32F7A"/>
    <w:rsid w:val="14E36AF3"/>
    <w:rsid w:val="14ED7036"/>
    <w:rsid w:val="14F145D0"/>
    <w:rsid w:val="14FF42D6"/>
    <w:rsid w:val="15167286"/>
    <w:rsid w:val="151D571A"/>
    <w:rsid w:val="15614311"/>
    <w:rsid w:val="15641D3C"/>
    <w:rsid w:val="156950B7"/>
    <w:rsid w:val="156E5437"/>
    <w:rsid w:val="15703E66"/>
    <w:rsid w:val="1576760D"/>
    <w:rsid w:val="157B2FDB"/>
    <w:rsid w:val="158E02E8"/>
    <w:rsid w:val="15BC4226"/>
    <w:rsid w:val="15E01755"/>
    <w:rsid w:val="160C03F0"/>
    <w:rsid w:val="16230301"/>
    <w:rsid w:val="162A2B34"/>
    <w:rsid w:val="1639394F"/>
    <w:rsid w:val="163E053B"/>
    <w:rsid w:val="164230B3"/>
    <w:rsid w:val="164557DA"/>
    <w:rsid w:val="165854A2"/>
    <w:rsid w:val="1681553F"/>
    <w:rsid w:val="16913C04"/>
    <w:rsid w:val="16A06326"/>
    <w:rsid w:val="16B274B6"/>
    <w:rsid w:val="16E66DD2"/>
    <w:rsid w:val="16EE2266"/>
    <w:rsid w:val="16F60AB4"/>
    <w:rsid w:val="16F61474"/>
    <w:rsid w:val="16FC5BC4"/>
    <w:rsid w:val="172F463D"/>
    <w:rsid w:val="173343A7"/>
    <w:rsid w:val="173E3E47"/>
    <w:rsid w:val="1756781F"/>
    <w:rsid w:val="175F17AF"/>
    <w:rsid w:val="176044EA"/>
    <w:rsid w:val="17696569"/>
    <w:rsid w:val="177961CC"/>
    <w:rsid w:val="177F0BD5"/>
    <w:rsid w:val="178C4DE3"/>
    <w:rsid w:val="179E58E6"/>
    <w:rsid w:val="17A43C8C"/>
    <w:rsid w:val="17B1775F"/>
    <w:rsid w:val="17BE0D41"/>
    <w:rsid w:val="17CD484A"/>
    <w:rsid w:val="17E1537A"/>
    <w:rsid w:val="17FD4BE9"/>
    <w:rsid w:val="181D777C"/>
    <w:rsid w:val="18220D31"/>
    <w:rsid w:val="182C132E"/>
    <w:rsid w:val="184D0973"/>
    <w:rsid w:val="1852358A"/>
    <w:rsid w:val="185653EF"/>
    <w:rsid w:val="18606343"/>
    <w:rsid w:val="18721178"/>
    <w:rsid w:val="187E02C8"/>
    <w:rsid w:val="189071DA"/>
    <w:rsid w:val="18976E9B"/>
    <w:rsid w:val="189A093F"/>
    <w:rsid w:val="18B14C57"/>
    <w:rsid w:val="18CA19B7"/>
    <w:rsid w:val="18DB458C"/>
    <w:rsid w:val="18EE41D6"/>
    <w:rsid w:val="1906639A"/>
    <w:rsid w:val="194F79FD"/>
    <w:rsid w:val="19574BA4"/>
    <w:rsid w:val="196077C4"/>
    <w:rsid w:val="196A00A7"/>
    <w:rsid w:val="19747058"/>
    <w:rsid w:val="1981450C"/>
    <w:rsid w:val="19BA50AF"/>
    <w:rsid w:val="19C03E5A"/>
    <w:rsid w:val="19C7260E"/>
    <w:rsid w:val="19FC34FB"/>
    <w:rsid w:val="19FF71A8"/>
    <w:rsid w:val="1A060851"/>
    <w:rsid w:val="1A0B1C03"/>
    <w:rsid w:val="1A0F4502"/>
    <w:rsid w:val="1A2C067E"/>
    <w:rsid w:val="1A2F704A"/>
    <w:rsid w:val="1A333753"/>
    <w:rsid w:val="1A3B18D3"/>
    <w:rsid w:val="1A435636"/>
    <w:rsid w:val="1A465B9E"/>
    <w:rsid w:val="1A5245E3"/>
    <w:rsid w:val="1A6903D5"/>
    <w:rsid w:val="1A700CC5"/>
    <w:rsid w:val="1A714CEC"/>
    <w:rsid w:val="1A7E670D"/>
    <w:rsid w:val="1A955CF8"/>
    <w:rsid w:val="1A9E375B"/>
    <w:rsid w:val="1AC86720"/>
    <w:rsid w:val="1AD135A6"/>
    <w:rsid w:val="1AD57705"/>
    <w:rsid w:val="1AD627BF"/>
    <w:rsid w:val="1AE87228"/>
    <w:rsid w:val="1B0363C9"/>
    <w:rsid w:val="1B160DBC"/>
    <w:rsid w:val="1B4D6AFD"/>
    <w:rsid w:val="1B757370"/>
    <w:rsid w:val="1B804352"/>
    <w:rsid w:val="1B845409"/>
    <w:rsid w:val="1B8867F6"/>
    <w:rsid w:val="1B924FE8"/>
    <w:rsid w:val="1BD20640"/>
    <w:rsid w:val="1BDA3475"/>
    <w:rsid w:val="1BDD5BFA"/>
    <w:rsid w:val="1BF24AC6"/>
    <w:rsid w:val="1BF31400"/>
    <w:rsid w:val="1BF6220E"/>
    <w:rsid w:val="1BFB0701"/>
    <w:rsid w:val="1C1313C5"/>
    <w:rsid w:val="1C21405F"/>
    <w:rsid w:val="1C2227BD"/>
    <w:rsid w:val="1C2464AE"/>
    <w:rsid w:val="1C34435E"/>
    <w:rsid w:val="1C3556E5"/>
    <w:rsid w:val="1C362334"/>
    <w:rsid w:val="1C3E797B"/>
    <w:rsid w:val="1C40390C"/>
    <w:rsid w:val="1C436714"/>
    <w:rsid w:val="1C4F5B07"/>
    <w:rsid w:val="1C552017"/>
    <w:rsid w:val="1C613EEC"/>
    <w:rsid w:val="1CA47B32"/>
    <w:rsid w:val="1CB16310"/>
    <w:rsid w:val="1CC340BF"/>
    <w:rsid w:val="1CD91289"/>
    <w:rsid w:val="1CE8231B"/>
    <w:rsid w:val="1CF17C7D"/>
    <w:rsid w:val="1CF713BD"/>
    <w:rsid w:val="1D0773C2"/>
    <w:rsid w:val="1D097574"/>
    <w:rsid w:val="1D0B3196"/>
    <w:rsid w:val="1D26066E"/>
    <w:rsid w:val="1D2879CE"/>
    <w:rsid w:val="1D2B5077"/>
    <w:rsid w:val="1D512EB5"/>
    <w:rsid w:val="1D8C5154"/>
    <w:rsid w:val="1D95688A"/>
    <w:rsid w:val="1D9F0F03"/>
    <w:rsid w:val="1D9F71FA"/>
    <w:rsid w:val="1DA834A0"/>
    <w:rsid w:val="1DAF6E12"/>
    <w:rsid w:val="1DBC5204"/>
    <w:rsid w:val="1E1D0648"/>
    <w:rsid w:val="1E2062FD"/>
    <w:rsid w:val="1E225F85"/>
    <w:rsid w:val="1E296B4B"/>
    <w:rsid w:val="1E370994"/>
    <w:rsid w:val="1E3B6A99"/>
    <w:rsid w:val="1E630A36"/>
    <w:rsid w:val="1E6D760A"/>
    <w:rsid w:val="1EAB503A"/>
    <w:rsid w:val="1ECE0B15"/>
    <w:rsid w:val="1F151D56"/>
    <w:rsid w:val="1F1856A8"/>
    <w:rsid w:val="1F1A7AAD"/>
    <w:rsid w:val="1F1E40EE"/>
    <w:rsid w:val="1F2B5EB7"/>
    <w:rsid w:val="1F431043"/>
    <w:rsid w:val="1F5556A7"/>
    <w:rsid w:val="1F6559EA"/>
    <w:rsid w:val="1F6958EC"/>
    <w:rsid w:val="1F9B49E7"/>
    <w:rsid w:val="1FAB51D3"/>
    <w:rsid w:val="1FC57644"/>
    <w:rsid w:val="1FDA2115"/>
    <w:rsid w:val="1FEB4DBF"/>
    <w:rsid w:val="1FF5608F"/>
    <w:rsid w:val="20010EE2"/>
    <w:rsid w:val="200E59F7"/>
    <w:rsid w:val="20107139"/>
    <w:rsid w:val="201211A5"/>
    <w:rsid w:val="20223918"/>
    <w:rsid w:val="202329A1"/>
    <w:rsid w:val="202C131D"/>
    <w:rsid w:val="202F3D3C"/>
    <w:rsid w:val="205D66FE"/>
    <w:rsid w:val="20605F5E"/>
    <w:rsid w:val="20740665"/>
    <w:rsid w:val="20753C67"/>
    <w:rsid w:val="20863D50"/>
    <w:rsid w:val="20B54342"/>
    <w:rsid w:val="20B74721"/>
    <w:rsid w:val="20BD113B"/>
    <w:rsid w:val="20E40163"/>
    <w:rsid w:val="20F733CA"/>
    <w:rsid w:val="21274409"/>
    <w:rsid w:val="21422253"/>
    <w:rsid w:val="21435B03"/>
    <w:rsid w:val="215313AB"/>
    <w:rsid w:val="215543FF"/>
    <w:rsid w:val="216C478D"/>
    <w:rsid w:val="21874FB5"/>
    <w:rsid w:val="21B61A5E"/>
    <w:rsid w:val="21BF4542"/>
    <w:rsid w:val="21D54C95"/>
    <w:rsid w:val="21DC7358"/>
    <w:rsid w:val="21F25941"/>
    <w:rsid w:val="22146C71"/>
    <w:rsid w:val="223258A0"/>
    <w:rsid w:val="224B059A"/>
    <w:rsid w:val="225D2A72"/>
    <w:rsid w:val="22780CE9"/>
    <w:rsid w:val="227C287C"/>
    <w:rsid w:val="22AA460B"/>
    <w:rsid w:val="22BD0FA0"/>
    <w:rsid w:val="22D162B9"/>
    <w:rsid w:val="22D62349"/>
    <w:rsid w:val="22E0620D"/>
    <w:rsid w:val="22F50FAF"/>
    <w:rsid w:val="22FA5539"/>
    <w:rsid w:val="23031DDC"/>
    <w:rsid w:val="233741F6"/>
    <w:rsid w:val="23434740"/>
    <w:rsid w:val="234B11FB"/>
    <w:rsid w:val="23502087"/>
    <w:rsid w:val="23602097"/>
    <w:rsid w:val="237C7EBA"/>
    <w:rsid w:val="238314C6"/>
    <w:rsid w:val="23A06C25"/>
    <w:rsid w:val="23BD4226"/>
    <w:rsid w:val="23F72D02"/>
    <w:rsid w:val="23FA66E9"/>
    <w:rsid w:val="24024F8B"/>
    <w:rsid w:val="244914AF"/>
    <w:rsid w:val="245151C9"/>
    <w:rsid w:val="24570CF7"/>
    <w:rsid w:val="2462346B"/>
    <w:rsid w:val="24776FAB"/>
    <w:rsid w:val="24804F7E"/>
    <w:rsid w:val="248645AD"/>
    <w:rsid w:val="24BF0CF8"/>
    <w:rsid w:val="24D17F0B"/>
    <w:rsid w:val="24D23F01"/>
    <w:rsid w:val="24F25B71"/>
    <w:rsid w:val="25077449"/>
    <w:rsid w:val="250C17CE"/>
    <w:rsid w:val="25370B1E"/>
    <w:rsid w:val="2538134D"/>
    <w:rsid w:val="253822E8"/>
    <w:rsid w:val="254C3D07"/>
    <w:rsid w:val="25632160"/>
    <w:rsid w:val="25664B72"/>
    <w:rsid w:val="256964AA"/>
    <w:rsid w:val="25793565"/>
    <w:rsid w:val="25852502"/>
    <w:rsid w:val="25A1383B"/>
    <w:rsid w:val="25A14F5D"/>
    <w:rsid w:val="25A85C14"/>
    <w:rsid w:val="25AD1622"/>
    <w:rsid w:val="25B81EC3"/>
    <w:rsid w:val="25B85A0F"/>
    <w:rsid w:val="25CF6802"/>
    <w:rsid w:val="25D106F1"/>
    <w:rsid w:val="25E358B3"/>
    <w:rsid w:val="25EB68CA"/>
    <w:rsid w:val="25F643FA"/>
    <w:rsid w:val="261074CB"/>
    <w:rsid w:val="262B4C8D"/>
    <w:rsid w:val="264B2FAA"/>
    <w:rsid w:val="26506E36"/>
    <w:rsid w:val="266F0C45"/>
    <w:rsid w:val="26890E0E"/>
    <w:rsid w:val="269828C4"/>
    <w:rsid w:val="269A0BCC"/>
    <w:rsid w:val="26A37158"/>
    <w:rsid w:val="26F32080"/>
    <w:rsid w:val="26F770C0"/>
    <w:rsid w:val="27124DFF"/>
    <w:rsid w:val="27223712"/>
    <w:rsid w:val="274B7458"/>
    <w:rsid w:val="27726010"/>
    <w:rsid w:val="27A41BF5"/>
    <w:rsid w:val="27A54210"/>
    <w:rsid w:val="27A73311"/>
    <w:rsid w:val="27A963A3"/>
    <w:rsid w:val="27D66D26"/>
    <w:rsid w:val="27DB0AD2"/>
    <w:rsid w:val="27DD5399"/>
    <w:rsid w:val="27E51FB2"/>
    <w:rsid w:val="27F2121D"/>
    <w:rsid w:val="28080D34"/>
    <w:rsid w:val="28126380"/>
    <w:rsid w:val="28386432"/>
    <w:rsid w:val="2840498C"/>
    <w:rsid w:val="28435AFC"/>
    <w:rsid w:val="28450AF7"/>
    <w:rsid w:val="28493B8E"/>
    <w:rsid w:val="284C0FB4"/>
    <w:rsid w:val="284D045C"/>
    <w:rsid w:val="2858185A"/>
    <w:rsid w:val="285B1578"/>
    <w:rsid w:val="285C3136"/>
    <w:rsid w:val="28642194"/>
    <w:rsid w:val="2889597D"/>
    <w:rsid w:val="288C63E8"/>
    <w:rsid w:val="28951B4B"/>
    <w:rsid w:val="28B00C75"/>
    <w:rsid w:val="28BB69BA"/>
    <w:rsid w:val="28BD2817"/>
    <w:rsid w:val="28CD6074"/>
    <w:rsid w:val="28EB5B42"/>
    <w:rsid w:val="28F41645"/>
    <w:rsid w:val="290943C7"/>
    <w:rsid w:val="2910169C"/>
    <w:rsid w:val="29122838"/>
    <w:rsid w:val="293C546B"/>
    <w:rsid w:val="29500C04"/>
    <w:rsid w:val="2952651B"/>
    <w:rsid w:val="295E4FF7"/>
    <w:rsid w:val="29750465"/>
    <w:rsid w:val="29D367BD"/>
    <w:rsid w:val="29FA54A4"/>
    <w:rsid w:val="2A1F30FB"/>
    <w:rsid w:val="2A3D4579"/>
    <w:rsid w:val="2A501A61"/>
    <w:rsid w:val="2A567C3D"/>
    <w:rsid w:val="2A7C4CC6"/>
    <w:rsid w:val="2A810318"/>
    <w:rsid w:val="2A8139AA"/>
    <w:rsid w:val="2AB104E2"/>
    <w:rsid w:val="2ABD370F"/>
    <w:rsid w:val="2AEE292D"/>
    <w:rsid w:val="2B1C7580"/>
    <w:rsid w:val="2B2E0968"/>
    <w:rsid w:val="2B322F58"/>
    <w:rsid w:val="2B646686"/>
    <w:rsid w:val="2B774470"/>
    <w:rsid w:val="2B7C1E84"/>
    <w:rsid w:val="2B876758"/>
    <w:rsid w:val="2B8B5D19"/>
    <w:rsid w:val="2B9D55A1"/>
    <w:rsid w:val="2BB347B2"/>
    <w:rsid w:val="2BCD063C"/>
    <w:rsid w:val="2BCE6B9D"/>
    <w:rsid w:val="2BDC3057"/>
    <w:rsid w:val="2BE301F5"/>
    <w:rsid w:val="2BE43EFB"/>
    <w:rsid w:val="2BE540DB"/>
    <w:rsid w:val="2BFD48FB"/>
    <w:rsid w:val="2C0508D0"/>
    <w:rsid w:val="2C1F0015"/>
    <w:rsid w:val="2C212B91"/>
    <w:rsid w:val="2C433D83"/>
    <w:rsid w:val="2C4B294A"/>
    <w:rsid w:val="2C5348D0"/>
    <w:rsid w:val="2C696E43"/>
    <w:rsid w:val="2C6E356F"/>
    <w:rsid w:val="2C786626"/>
    <w:rsid w:val="2C7E0099"/>
    <w:rsid w:val="2C8C4D1C"/>
    <w:rsid w:val="2C964BEC"/>
    <w:rsid w:val="2C965111"/>
    <w:rsid w:val="2C9902E0"/>
    <w:rsid w:val="2CA46252"/>
    <w:rsid w:val="2CB90005"/>
    <w:rsid w:val="2CC24B35"/>
    <w:rsid w:val="2CC26FF2"/>
    <w:rsid w:val="2CD35A1D"/>
    <w:rsid w:val="2CDE3034"/>
    <w:rsid w:val="2CF22532"/>
    <w:rsid w:val="2CF40C48"/>
    <w:rsid w:val="2D013EF3"/>
    <w:rsid w:val="2D1446CB"/>
    <w:rsid w:val="2D333F35"/>
    <w:rsid w:val="2D3A6E6B"/>
    <w:rsid w:val="2D4D3873"/>
    <w:rsid w:val="2D575F39"/>
    <w:rsid w:val="2D642557"/>
    <w:rsid w:val="2D6B330F"/>
    <w:rsid w:val="2D721BCA"/>
    <w:rsid w:val="2DD27562"/>
    <w:rsid w:val="2DD72825"/>
    <w:rsid w:val="2DE46EDB"/>
    <w:rsid w:val="2DFB7A22"/>
    <w:rsid w:val="2E2144DF"/>
    <w:rsid w:val="2E2864A1"/>
    <w:rsid w:val="2E6C7616"/>
    <w:rsid w:val="2E7755E6"/>
    <w:rsid w:val="2E821813"/>
    <w:rsid w:val="2E8658D0"/>
    <w:rsid w:val="2E9612E1"/>
    <w:rsid w:val="2E9E74CE"/>
    <w:rsid w:val="2EA459B6"/>
    <w:rsid w:val="2EB1626F"/>
    <w:rsid w:val="2EBE6D84"/>
    <w:rsid w:val="2EDF11DA"/>
    <w:rsid w:val="2EDF5219"/>
    <w:rsid w:val="2EEB50CD"/>
    <w:rsid w:val="2F080EB4"/>
    <w:rsid w:val="2F0F2CC4"/>
    <w:rsid w:val="2F2D7B06"/>
    <w:rsid w:val="2F2E1DA9"/>
    <w:rsid w:val="2F2F27CF"/>
    <w:rsid w:val="2F2F5897"/>
    <w:rsid w:val="2F312AB2"/>
    <w:rsid w:val="2F432FC2"/>
    <w:rsid w:val="2F716855"/>
    <w:rsid w:val="2F757226"/>
    <w:rsid w:val="2F8715ED"/>
    <w:rsid w:val="2F88637E"/>
    <w:rsid w:val="2FB95D06"/>
    <w:rsid w:val="2FC8547B"/>
    <w:rsid w:val="2FDC3312"/>
    <w:rsid w:val="2FDC771E"/>
    <w:rsid w:val="2FDD130D"/>
    <w:rsid w:val="301A0232"/>
    <w:rsid w:val="301F78F1"/>
    <w:rsid w:val="30267BA8"/>
    <w:rsid w:val="302D6A83"/>
    <w:rsid w:val="302F3652"/>
    <w:rsid w:val="303142A8"/>
    <w:rsid w:val="304706A3"/>
    <w:rsid w:val="3052471D"/>
    <w:rsid w:val="305C2A18"/>
    <w:rsid w:val="307717B8"/>
    <w:rsid w:val="3088675D"/>
    <w:rsid w:val="309327C4"/>
    <w:rsid w:val="30A831A4"/>
    <w:rsid w:val="30D266EA"/>
    <w:rsid w:val="30EE67DC"/>
    <w:rsid w:val="30F90D46"/>
    <w:rsid w:val="30FF7235"/>
    <w:rsid w:val="31082C53"/>
    <w:rsid w:val="31266E84"/>
    <w:rsid w:val="31291BA8"/>
    <w:rsid w:val="31371FDD"/>
    <w:rsid w:val="31385CA0"/>
    <w:rsid w:val="31464B11"/>
    <w:rsid w:val="319702C7"/>
    <w:rsid w:val="31996A52"/>
    <w:rsid w:val="31A76FE4"/>
    <w:rsid w:val="31C12796"/>
    <w:rsid w:val="31CA78E1"/>
    <w:rsid w:val="31CE51E8"/>
    <w:rsid w:val="31F243A0"/>
    <w:rsid w:val="321F6815"/>
    <w:rsid w:val="324D7A1F"/>
    <w:rsid w:val="32620386"/>
    <w:rsid w:val="32765D35"/>
    <w:rsid w:val="32783F46"/>
    <w:rsid w:val="32784E23"/>
    <w:rsid w:val="32920717"/>
    <w:rsid w:val="32B10067"/>
    <w:rsid w:val="32C11F0A"/>
    <w:rsid w:val="32E5240D"/>
    <w:rsid w:val="3330055B"/>
    <w:rsid w:val="33343F21"/>
    <w:rsid w:val="33444564"/>
    <w:rsid w:val="33522473"/>
    <w:rsid w:val="336A1F6B"/>
    <w:rsid w:val="33736959"/>
    <w:rsid w:val="33774508"/>
    <w:rsid w:val="339C20DE"/>
    <w:rsid w:val="33B475E0"/>
    <w:rsid w:val="33B979BC"/>
    <w:rsid w:val="33C1183A"/>
    <w:rsid w:val="33E07F1E"/>
    <w:rsid w:val="33E4718E"/>
    <w:rsid w:val="33E52DA2"/>
    <w:rsid w:val="33F23BAF"/>
    <w:rsid w:val="34031E41"/>
    <w:rsid w:val="34195C5C"/>
    <w:rsid w:val="34284C73"/>
    <w:rsid w:val="343917A9"/>
    <w:rsid w:val="34521899"/>
    <w:rsid w:val="34704C35"/>
    <w:rsid w:val="34941231"/>
    <w:rsid w:val="349574DB"/>
    <w:rsid w:val="349C6CE9"/>
    <w:rsid w:val="349D4BAF"/>
    <w:rsid w:val="34C37967"/>
    <w:rsid w:val="34C82870"/>
    <w:rsid w:val="34D16043"/>
    <w:rsid w:val="34E31D7E"/>
    <w:rsid w:val="34E33B8A"/>
    <w:rsid w:val="34EE5880"/>
    <w:rsid w:val="34EF0C72"/>
    <w:rsid w:val="354D7B86"/>
    <w:rsid w:val="35550367"/>
    <w:rsid w:val="35613868"/>
    <w:rsid w:val="356706E6"/>
    <w:rsid w:val="357263DE"/>
    <w:rsid w:val="358E48F8"/>
    <w:rsid w:val="35923393"/>
    <w:rsid w:val="359258F0"/>
    <w:rsid w:val="359842FC"/>
    <w:rsid w:val="35AA29F9"/>
    <w:rsid w:val="35AD2494"/>
    <w:rsid w:val="35D04343"/>
    <w:rsid w:val="35D05D3F"/>
    <w:rsid w:val="35EC681B"/>
    <w:rsid w:val="360D1029"/>
    <w:rsid w:val="36226445"/>
    <w:rsid w:val="3642258C"/>
    <w:rsid w:val="364D0258"/>
    <w:rsid w:val="36626713"/>
    <w:rsid w:val="3672157B"/>
    <w:rsid w:val="36814874"/>
    <w:rsid w:val="368610FB"/>
    <w:rsid w:val="36873C91"/>
    <w:rsid w:val="36A57BFC"/>
    <w:rsid w:val="36CE4DCA"/>
    <w:rsid w:val="36E953E9"/>
    <w:rsid w:val="36FC302D"/>
    <w:rsid w:val="372F6391"/>
    <w:rsid w:val="374D3291"/>
    <w:rsid w:val="375258DB"/>
    <w:rsid w:val="37611129"/>
    <w:rsid w:val="378F0E3D"/>
    <w:rsid w:val="37967F99"/>
    <w:rsid w:val="37B8118D"/>
    <w:rsid w:val="37CD13D1"/>
    <w:rsid w:val="37D752C0"/>
    <w:rsid w:val="37E511FF"/>
    <w:rsid w:val="37E775D6"/>
    <w:rsid w:val="37F0510D"/>
    <w:rsid w:val="37F77192"/>
    <w:rsid w:val="38361527"/>
    <w:rsid w:val="38804B56"/>
    <w:rsid w:val="388A46E9"/>
    <w:rsid w:val="388A4C4D"/>
    <w:rsid w:val="388B2F23"/>
    <w:rsid w:val="389A2CF3"/>
    <w:rsid w:val="38B347C6"/>
    <w:rsid w:val="38B61AC3"/>
    <w:rsid w:val="38BC675E"/>
    <w:rsid w:val="38E01D29"/>
    <w:rsid w:val="38E206AC"/>
    <w:rsid w:val="38E75AD2"/>
    <w:rsid w:val="39136493"/>
    <w:rsid w:val="39136B4F"/>
    <w:rsid w:val="391B2E86"/>
    <w:rsid w:val="391E41CA"/>
    <w:rsid w:val="391F3A92"/>
    <w:rsid w:val="39237CED"/>
    <w:rsid w:val="39263061"/>
    <w:rsid w:val="392D0DA3"/>
    <w:rsid w:val="39304F89"/>
    <w:rsid w:val="393A1D4A"/>
    <w:rsid w:val="393C57FE"/>
    <w:rsid w:val="39521CA1"/>
    <w:rsid w:val="395227FD"/>
    <w:rsid w:val="395263C0"/>
    <w:rsid w:val="397C6931"/>
    <w:rsid w:val="3985157D"/>
    <w:rsid w:val="39A05970"/>
    <w:rsid w:val="39A267BE"/>
    <w:rsid w:val="39BF6772"/>
    <w:rsid w:val="3A155864"/>
    <w:rsid w:val="3A266148"/>
    <w:rsid w:val="3A327779"/>
    <w:rsid w:val="3A381AB5"/>
    <w:rsid w:val="3A416DAA"/>
    <w:rsid w:val="3A722CAC"/>
    <w:rsid w:val="3A822A6A"/>
    <w:rsid w:val="3A825D37"/>
    <w:rsid w:val="3A94443F"/>
    <w:rsid w:val="3AD5393B"/>
    <w:rsid w:val="3AEC0CB1"/>
    <w:rsid w:val="3B135F44"/>
    <w:rsid w:val="3B1912BF"/>
    <w:rsid w:val="3B2C655C"/>
    <w:rsid w:val="3B2E03F9"/>
    <w:rsid w:val="3B4629E3"/>
    <w:rsid w:val="3B536C4E"/>
    <w:rsid w:val="3B7D1578"/>
    <w:rsid w:val="3B8E6F82"/>
    <w:rsid w:val="3B9445F0"/>
    <w:rsid w:val="3B95272E"/>
    <w:rsid w:val="3B962BAD"/>
    <w:rsid w:val="3BAF50E6"/>
    <w:rsid w:val="3BCE4CCF"/>
    <w:rsid w:val="3BDC5098"/>
    <w:rsid w:val="3BE22CBC"/>
    <w:rsid w:val="3BE37FE4"/>
    <w:rsid w:val="3BEA409A"/>
    <w:rsid w:val="3BEA4F28"/>
    <w:rsid w:val="3BFB2DEC"/>
    <w:rsid w:val="3BFC41B3"/>
    <w:rsid w:val="3C187D7C"/>
    <w:rsid w:val="3C304BA3"/>
    <w:rsid w:val="3C42621A"/>
    <w:rsid w:val="3C4B7C4C"/>
    <w:rsid w:val="3C606E71"/>
    <w:rsid w:val="3C715D4B"/>
    <w:rsid w:val="3C7C0A31"/>
    <w:rsid w:val="3C8A74C0"/>
    <w:rsid w:val="3C8D6DD0"/>
    <w:rsid w:val="3CBF580C"/>
    <w:rsid w:val="3CDE0765"/>
    <w:rsid w:val="3CE22AFF"/>
    <w:rsid w:val="3CF20008"/>
    <w:rsid w:val="3D182A73"/>
    <w:rsid w:val="3D1A5168"/>
    <w:rsid w:val="3D1C0C7F"/>
    <w:rsid w:val="3D251C5D"/>
    <w:rsid w:val="3D354447"/>
    <w:rsid w:val="3D3D1DB4"/>
    <w:rsid w:val="3D52126F"/>
    <w:rsid w:val="3D57583D"/>
    <w:rsid w:val="3D943E10"/>
    <w:rsid w:val="3DB47D4F"/>
    <w:rsid w:val="3DBC2074"/>
    <w:rsid w:val="3DCB476D"/>
    <w:rsid w:val="3DD6375E"/>
    <w:rsid w:val="3DE516FF"/>
    <w:rsid w:val="3DF11541"/>
    <w:rsid w:val="3E0952B0"/>
    <w:rsid w:val="3E0B59C9"/>
    <w:rsid w:val="3E181D51"/>
    <w:rsid w:val="3E2B29C8"/>
    <w:rsid w:val="3E37544C"/>
    <w:rsid w:val="3E394CC6"/>
    <w:rsid w:val="3E66732D"/>
    <w:rsid w:val="3E8374E4"/>
    <w:rsid w:val="3E863F45"/>
    <w:rsid w:val="3EAC1CEA"/>
    <w:rsid w:val="3EC44CC6"/>
    <w:rsid w:val="3ED11098"/>
    <w:rsid w:val="3F00614C"/>
    <w:rsid w:val="3F015FF4"/>
    <w:rsid w:val="3F0C26CA"/>
    <w:rsid w:val="3F193A87"/>
    <w:rsid w:val="3F1D1CB3"/>
    <w:rsid w:val="3F2579AD"/>
    <w:rsid w:val="3F3A696D"/>
    <w:rsid w:val="3F3F0567"/>
    <w:rsid w:val="3F5A3AA9"/>
    <w:rsid w:val="3F5B5EE0"/>
    <w:rsid w:val="3F5D0234"/>
    <w:rsid w:val="3F6642FD"/>
    <w:rsid w:val="3F6C0F4A"/>
    <w:rsid w:val="3F7029ED"/>
    <w:rsid w:val="3F7619AD"/>
    <w:rsid w:val="3F7B6F87"/>
    <w:rsid w:val="3F8C4718"/>
    <w:rsid w:val="3F8E3AB5"/>
    <w:rsid w:val="3F942D5B"/>
    <w:rsid w:val="3FC84D8B"/>
    <w:rsid w:val="3FCA55C0"/>
    <w:rsid w:val="3FD34D6E"/>
    <w:rsid w:val="3FD52CF8"/>
    <w:rsid w:val="3FF73B8C"/>
    <w:rsid w:val="400261DF"/>
    <w:rsid w:val="40131F91"/>
    <w:rsid w:val="402728A2"/>
    <w:rsid w:val="40414089"/>
    <w:rsid w:val="40454623"/>
    <w:rsid w:val="404E29F0"/>
    <w:rsid w:val="40570EBA"/>
    <w:rsid w:val="40702002"/>
    <w:rsid w:val="40805CAF"/>
    <w:rsid w:val="40831BCF"/>
    <w:rsid w:val="40845B1B"/>
    <w:rsid w:val="408A2B76"/>
    <w:rsid w:val="408E4D21"/>
    <w:rsid w:val="409C1BA3"/>
    <w:rsid w:val="40DE04D0"/>
    <w:rsid w:val="410F14B5"/>
    <w:rsid w:val="41294265"/>
    <w:rsid w:val="413C4018"/>
    <w:rsid w:val="415331FC"/>
    <w:rsid w:val="4160109A"/>
    <w:rsid w:val="416E6D41"/>
    <w:rsid w:val="417050D1"/>
    <w:rsid w:val="41804BCB"/>
    <w:rsid w:val="419F2509"/>
    <w:rsid w:val="41A11C81"/>
    <w:rsid w:val="41D1230A"/>
    <w:rsid w:val="41D627C3"/>
    <w:rsid w:val="41EC6503"/>
    <w:rsid w:val="42290D1A"/>
    <w:rsid w:val="4232786F"/>
    <w:rsid w:val="426375F7"/>
    <w:rsid w:val="426F5291"/>
    <w:rsid w:val="42835316"/>
    <w:rsid w:val="42877A85"/>
    <w:rsid w:val="42894CC1"/>
    <w:rsid w:val="428D7868"/>
    <w:rsid w:val="429E27EE"/>
    <w:rsid w:val="42B53EA1"/>
    <w:rsid w:val="42B63177"/>
    <w:rsid w:val="42BE478A"/>
    <w:rsid w:val="42D5256E"/>
    <w:rsid w:val="42D57FEA"/>
    <w:rsid w:val="42D85230"/>
    <w:rsid w:val="42E31EC0"/>
    <w:rsid w:val="42F6310A"/>
    <w:rsid w:val="430F3263"/>
    <w:rsid w:val="431D57DA"/>
    <w:rsid w:val="432F0581"/>
    <w:rsid w:val="43486A50"/>
    <w:rsid w:val="434929F7"/>
    <w:rsid w:val="436043BC"/>
    <w:rsid w:val="437D76D6"/>
    <w:rsid w:val="438057C1"/>
    <w:rsid w:val="43A11161"/>
    <w:rsid w:val="43B779B1"/>
    <w:rsid w:val="43C01D3C"/>
    <w:rsid w:val="43C97662"/>
    <w:rsid w:val="43CD14B5"/>
    <w:rsid w:val="43FD75C6"/>
    <w:rsid w:val="44102BF9"/>
    <w:rsid w:val="4415063B"/>
    <w:rsid w:val="442F3A47"/>
    <w:rsid w:val="44575177"/>
    <w:rsid w:val="44A14307"/>
    <w:rsid w:val="44A469B9"/>
    <w:rsid w:val="44B46150"/>
    <w:rsid w:val="44C17D0F"/>
    <w:rsid w:val="44DC1730"/>
    <w:rsid w:val="44E04CA8"/>
    <w:rsid w:val="44E6505F"/>
    <w:rsid w:val="44EF09E7"/>
    <w:rsid w:val="44FA74A2"/>
    <w:rsid w:val="450901FC"/>
    <w:rsid w:val="45200718"/>
    <w:rsid w:val="452D0EED"/>
    <w:rsid w:val="452D6F0D"/>
    <w:rsid w:val="45320207"/>
    <w:rsid w:val="45581E1A"/>
    <w:rsid w:val="455971A6"/>
    <w:rsid w:val="45730683"/>
    <w:rsid w:val="457C6D97"/>
    <w:rsid w:val="457E16BC"/>
    <w:rsid w:val="45856E4A"/>
    <w:rsid w:val="459619C0"/>
    <w:rsid w:val="459A6675"/>
    <w:rsid w:val="459B4FBD"/>
    <w:rsid w:val="45A1062A"/>
    <w:rsid w:val="45C07781"/>
    <w:rsid w:val="45D3511A"/>
    <w:rsid w:val="45DF433D"/>
    <w:rsid w:val="45E6445E"/>
    <w:rsid w:val="45ED57A0"/>
    <w:rsid w:val="46080FE1"/>
    <w:rsid w:val="462A1D65"/>
    <w:rsid w:val="462D2C29"/>
    <w:rsid w:val="462E2233"/>
    <w:rsid w:val="46347358"/>
    <w:rsid w:val="46495BDF"/>
    <w:rsid w:val="4669794D"/>
    <w:rsid w:val="466A6B10"/>
    <w:rsid w:val="46737207"/>
    <w:rsid w:val="46B86872"/>
    <w:rsid w:val="46E2292A"/>
    <w:rsid w:val="46E57892"/>
    <w:rsid w:val="4713171C"/>
    <w:rsid w:val="471A729D"/>
    <w:rsid w:val="471D1268"/>
    <w:rsid w:val="4736526F"/>
    <w:rsid w:val="476937D3"/>
    <w:rsid w:val="477E4EA7"/>
    <w:rsid w:val="478141AD"/>
    <w:rsid w:val="479D1656"/>
    <w:rsid w:val="47A379E9"/>
    <w:rsid w:val="47B460D9"/>
    <w:rsid w:val="47BE085E"/>
    <w:rsid w:val="47D708D8"/>
    <w:rsid w:val="47F36043"/>
    <w:rsid w:val="480B2C88"/>
    <w:rsid w:val="48132603"/>
    <w:rsid w:val="481432C6"/>
    <w:rsid w:val="48144995"/>
    <w:rsid w:val="481A224B"/>
    <w:rsid w:val="48280D5F"/>
    <w:rsid w:val="48507F77"/>
    <w:rsid w:val="48661FC1"/>
    <w:rsid w:val="48702046"/>
    <w:rsid w:val="487918AC"/>
    <w:rsid w:val="48870E83"/>
    <w:rsid w:val="488D6EB6"/>
    <w:rsid w:val="489E4F48"/>
    <w:rsid w:val="489F4119"/>
    <w:rsid w:val="48A322AD"/>
    <w:rsid w:val="48A836C4"/>
    <w:rsid w:val="48C44AAD"/>
    <w:rsid w:val="48F7505F"/>
    <w:rsid w:val="48F96DD9"/>
    <w:rsid w:val="49127A31"/>
    <w:rsid w:val="49152BEB"/>
    <w:rsid w:val="491934DF"/>
    <w:rsid w:val="492B5F39"/>
    <w:rsid w:val="492C34E4"/>
    <w:rsid w:val="49306A68"/>
    <w:rsid w:val="497632E7"/>
    <w:rsid w:val="49784A83"/>
    <w:rsid w:val="497A32F5"/>
    <w:rsid w:val="497B3D42"/>
    <w:rsid w:val="497D3D8E"/>
    <w:rsid w:val="498850C5"/>
    <w:rsid w:val="499E6473"/>
    <w:rsid w:val="49A816F4"/>
    <w:rsid w:val="49B32CC4"/>
    <w:rsid w:val="49C76E53"/>
    <w:rsid w:val="49CA2DD1"/>
    <w:rsid w:val="49D24B7B"/>
    <w:rsid w:val="49EF169A"/>
    <w:rsid w:val="49F1670F"/>
    <w:rsid w:val="49FA1D50"/>
    <w:rsid w:val="49FE5C7A"/>
    <w:rsid w:val="4A026C1B"/>
    <w:rsid w:val="4A0422D7"/>
    <w:rsid w:val="4A052598"/>
    <w:rsid w:val="4A0B17BC"/>
    <w:rsid w:val="4A211605"/>
    <w:rsid w:val="4A29476F"/>
    <w:rsid w:val="4A3F49AD"/>
    <w:rsid w:val="4A4C7355"/>
    <w:rsid w:val="4A60057B"/>
    <w:rsid w:val="4A7413AB"/>
    <w:rsid w:val="4A885F4C"/>
    <w:rsid w:val="4A8B56AB"/>
    <w:rsid w:val="4A9035F0"/>
    <w:rsid w:val="4A9323FB"/>
    <w:rsid w:val="4ABE75B2"/>
    <w:rsid w:val="4AE953A9"/>
    <w:rsid w:val="4AF917C1"/>
    <w:rsid w:val="4AFB7F39"/>
    <w:rsid w:val="4B1D42C7"/>
    <w:rsid w:val="4B484235"/>
    <w:rsid w:val="4B7B170C"/>
    <w:rsid w:val="4B922C57"/>
    <w:rsid w:val="4BAE7F30"/>
    <w:rsid w:val="4BCA06A4"/>
    <w:rsid w:val="4BCE2F4D"/>
    <w:rsid w:val="4BDF3B9A"/>
    <w:rsid w:val="4BE40E7F"/>
    <w:rsid w:val="4C100189"/>
    <w:rsid w:val="4C160DF9"/>
    <w:rsid w:val="4C387F56"/>
    <w:rsid w:val="4C453E9B"/>
    <w:rsid w:val="4C467AE4"/>
    <w:rsid w:val="4C4C45A7"/>
    <w:rsid w:val="4C510816"/>
    <w:rsid w:val="4C542433"/>
    <w:rsid w:val="4C58294E"/>
    <w:rsid w:val="4C6D2507"/>
    <w:rsid w:val="4C767FBE"/>
    <w:rsid w:val="4C9A6DE7"/>
    <w:rsid w:val="4CB2220D"/>
    <w:rsid w:val="4CBE1FB6"/>
    <w:rsid w:val="4CC42B0A"/>
    <w:rsid w:val="4CCD0941"/>
    <w:rsid w:val="4CD16357"/>
    <w:rsid w:val="4CD207BC"/>
    <w:rsid w:val="4CD81257"/>
    <w:rsid w:val="4CDC3BC4"/>
    <w:rsid w:val="4CEA53AA"/>
    <w:rsid w:val="4CEE16BC"/>
    <w:rsid w:val="4D1B31D6"/>
    <w:rsid w:val="4D2E0BA4"/>
    <w:rsid w:val="4D5862B5"/>
    <w:rsid w:val="4D6C15BD"/>
    <w:rsid w:val="4D716728"/>
    <w:rsid w:val="4D7A0A1D"/>
    <w:rsid w:val="4D8F038C"/>
    <w:rsid w:val="4DC402A0"/>
    <w:rsid w:val="4DE652F5"/>
    <w:rsid w:val="4E0D5C11"/>
    <w:rsid w:val="4E1C1AC2"/>
    <w:rsid w:val="4E275AC9"/>
    <w:rsid w:val="4E312670"/>
    <w:rsid w:val="4E356839"/>
    <w:rsid w:val="4E393A55"/>
    <w:rsid w:val="4E3D2FF4"/>
    <w:rsid w:val="4E3D5F87"/>
    <w:rsid w:val="4E4E0752"/>
    <w:rsid w:val="4E753FFC"/>
    <w:rsid w:val="4E946CB5"/>
    <w:rsid w:val="4EA92E02"/>
    <w:rsid w:val="4EA9310B"/>
    <w:rsid w:val="4EAA3D53"/>
    <w:rsid w:val="4EBA19C5"/>
    <w:rsid w:val="4ECB369E"/>
    <w:rsid w:val="4ECB4BC8"/>
    <w:rsid w:val="4EDC6C48"/>
    <w:rsid w:val="4EDE737A"/>
    <w:rsid w:val="4EE64804"/>
    <w:rsid w:val="4EF633C8"/>
    <w:rsid w:val="4EFF615A"/>
    <w:rsid w:val="4F0122D3"/>
    <w:rsid w:val="4F274E79"/>
    <w:rsid w:val="4F3C4D1C"/>
    <w:rsid w:val="4F3D744C"/>
    <w:rsid w:val="4F5A7F41"/>
    <w:rsid w:val="4F7B0FA2"/>
    <w:rsid w:val="4F83412B"/>
    <w:rsid w:val="4F8E7DBE"/>
    <w:rsid w:val="4F927479"/>
    <w:rsid w:val="4FAC472E"/>
    <w:rsid w:val="4FB5214B"/>
    <w:rsid w:val="4FBA03B4"/>
    <w:rsid w:val="4FBA2399"/>
    <w:rsid w:val="4FBB1304"/>
    <w:rsid w:val="4FBB4C8B"/>
    <w:rsid w:val="4FC22B5F"/>
    <w:rsid w:val="4FD10A01"/>
    <w:rsid w:val="4FD26393"/>
    <w:rsid w:val="4FD46F19"/>
    <w:rsid w:val="4FD506B9"/>
    <w:rsid w:val="4FE03FCD"/>
    <w:rsid w:val="4FFD1BE8"/>
    <w:rsid w:val="500858E3"/>
    <w:rsid w:val="500D6EAA"/>
    <w:rsid w:val="50180CE0"/>
    <w:rsid w:val="501E3A1C"/>
    <w:rsid w:val="503625B4"/>
    <w:rsid w:val="503F4FB1"/>
    <w:rsid w:val="50420B5C"/>
    <w:rsid w:val="504C21FE"/>
    <w:rsid w:val="50586979"/>
    <w:rsid w:val="505B4741"/>
    <w:rsid w:val="505F28C5"/>
    <w:rsid w:val="506651AD"/>
    <w:rsid w:val="506C2DBD"/>
    <w:rsid w:val="507372A2"/>
    <w:rsid w:val="50896CB5"/>
    <w:rsid w:val="50936594"/>
    <w:rsid w:val="50AA4DC7"/>
    <w:rsid w:val="50AB1EFD"/>
    <w:rsid w:val="50AC5158"/>
    <w:rsid w:val="50C36376"/>
    <w:rsid w:val="50D02A04"/>
    <w:rsid w:val="50D05358"/>
    <w:rsid w:val="50D25DB3"/>
    <w:rsid w:val="50DE60AD"/>
    <w:rsid w:val="51054BC6"/>
    <w:rsid w:val="511964B1"/>
    <w:rsid w:val="5121416F"/>
    <w:rsid w:val="514121F5"/>
    <w:rsid w:val="51524D44"/>
    <w:rsid w:val="51607D25"/>
    <w:rsid w:val="51615C25"/>
    <w:rsid w:val="51A607D5"/>
    <w:rsid w:val="51AC02C7"/>
    <w:rsid w:val="51AE19CB"/>
    <w:rsid w:val="51B7763B"/>
    <w:rsid w:val="51B87437"/>
    <w:rsid w:val="51CD3240"/>
    <w:rsid w:val="51D074B7"/>
    <w:rsid w:val="51E06CB3"/>
    <w:rsid w:val="51F2504C"/>
    <w:rsid w:val="5200741D"/>
    <w:rsid w:val="52057311"/>
    <w:rsid w:val="5207623B"/>
    <w:rsid w:val="521358D3"/>
    <w:rsid w:val="52146E72"/>
    <w:rsid w:val="522114C7"/>
    <w:rsid w:val="524316CD"/>
    <w:rsid w:val="524C4BB9"/>
    <w:rsid w:val="5261177F"/>
    <w:rsid w:val="52661035"/>
    <w:rsid w:val="527D0B80"/>
    <w:rsid w:val="52982B4E"/>
    <w:rsid w:val="529B19DB"/>
    <w:rsid w:val="52B365B7"/>
    <w:rsid w:val="52CB5C7E"/>
    <w:rsid w:val="52D12E6D"/>
    <w:rsid w:val="530A6A0B"/>
    <w:rsid w:val="531C6681"/>
    <w:rsid w:val="531F2420"/>
    <w:rsid w:val="532C3A7D"/>
    <w:rsid w:val="533124FA"/>
    <w:rsid w:val="533202D2"/>
    <w:rsid w:val="5337380C"/>
    <w:rsid w:val="536C09B6"/>
    <w:rsid w:val="53747AF5"/>
    <w:rsid w:val="538C7E58"/>
    <w:rsid w:val="5397508D"/>
    <w:rsid w:val="53AD535F"/>
    <w:rsid w:val="53C567F4"/>
    <w:rsid w:val="53D069EE"/>
    <w:rsid w:val="53E47E00"/>
    <w:rsid w:val="53FC6DF5"/>
    <w:rsid w:val="53FE47A0"/>
    <w:rsid w:val="54394568"/>
    <w:rsid w:val="54501762"/>
    <w:rsid w:val="54527E86"/>
    <w:rsid w:val="546B6A2B"/>
    <w:rsid w:val="54735FA2"/>
    <w:rsid w:val="547F3EAB"/>
    <w:rsid w:val="54943EBC"/>
    <w:rsid w:val="54D72575"/>
    <w:rsid w:val="54DF7930"/>
    <w:rsid w:val="54E9440D"/>
    <w:rsid w:val="54F104CA"/>
    <w:rsid w:val="550E1676"/>
    <w:rsid w:val="552703F9"/>
    <w:rsid w:val="5529085E"/>
    <w:rsid w:val="553669E4"/>
    <w:rsid w:val="557C1DF5"/>
    <w:rsid w:val="559F5C88"/>
    <w:rsid w:val="55D60839"/>
    <w:rsid w:val="55E664EB"/>
    <w:rsid w:val="55F4745A"/>
    <w:rsid w:val="55F65B8D"/>
    <w:rsid w:val="55F70C62"/>
    <w:rsid w:val="56164826"/>
    <w:rsid w:val="56170A0C"/>
    <w:rsid w:val="56255C81"/>
    <w:rsid w:val="56283B91"/>
    <w:rsid w:val="562D6714"/>
    <w:rsid w:val="565A1369"/>
    <w:rsid w:val="56783CD3"/>
    <w:rsid w:val="567D06B8"/>
    <w:rsid w:val="56872307"/>
    <w:rsid w:val="56B00F25"/>
    <w:rsid w:val="56D537A9"/>
    <w:rsid w:val="56DC3F4E"/>
    <w:rsid w:val="56F407D6"/>
    <w:rsid w:val="56FE09A8"/>
    <w:rsid w:val="571E2689"/>
    <w:rsid w:val="57212A06"/>
    <w:rsid w:val="57227979"/>
    <w:rsid w:val="575426C3"/>
    <w:rsid w:val="575E3538"/>
    <w:rsid w:val="57741EB7"/>
    <w:rsid w:val="57775087"/>
    <w:rsid w:val="5782494B"/>
    <w:rsid w:val="579F482D"/>
    <w:rsid w:val="57CC4C8D"/>
    <w:rsid w:val="57CF2AC7"/>
    <w:rsid w:val="57D46639"/>
    <w:rsid w:val="57D76BC1"/>
    <w:rsid w:val="57F50629"/>
    <w:rsid w:val="580C4297"/>
    <w:rsid w:val="58162520"/>
    <w:rsid w:val="582863CE"/>
    <w:rsid w:val="582A22ED"/>
    <w:rsid w:val="58300DD3"/>
    <w:rsid w:val="583D495F"/>
    <w:rsid w:val="583D530F"/>
    <w:rsid w:val="58547E52"/>
    <w:rsid w:val="58607145"/>
    <w:rsid w:val="586719E4"/>
    <w:rsid w:val="586D6297"/>
    <w:rsid w:val="58743521"/>
    <w:rsid w:val="5877637C"/>
    <w:rsid w:val="587D68BE"/>
    <w:rsid w:val="58AD19FB"/>
    <w:rsid w:val="58B03639"/>
    <w:rsid w:val="58CD1D8F"/>
    <w:rsid w:val="58F95A3F"/>
    <w:rsid w:val="59090058"/>
    <w:rsid w:val="592646EA"/>
    <w:rsid w:val="593A6D10"/>
    <w:rsid w:val="595A1E81"/>
    <w:rsid w:val="596756C6"/>
    <w:rsid w:val="59743BF7"/>
    <w:rsid w:val="599B546E"/>
    <w:rsid w:val="599F45A4"/>
    <w:rsid w:val="59B62222"/>
    <w:rsid w:val="59C41A31"/>
    <w:rsid w:val="59C52FD5"/>
    <w:rsid w:val="59C662E5"/>
    <w:rsid w:val="59DF4294"/>
    <w:rsid w:val="59F146EF"/>
    <w:rsid w:val="5A10091F"/>
    <w:rsid w:val="5A247146"/>
    <w:rsid w:val="5A422485"/>
    <w:rsid w:val="5A45514A"/>
    <w:rsid w:val="5A5A5E59"/>
    <w:rsid w:val="5A7F0CAF"/>
    <w:rsid w:val="5A9F0126"/>
    <w:rsid w:val="5AC0022E"/>
    <w:rsid w:val="5AE20D29"/>
    <w:rsid w:val="5AF252EF"/>
    <w:rsid w:val="5B052328"/>
    <w:rsid w:val="5B074F88"/>
    <w:rsid w:val="5B171315"/>
    <w:rsid w:val="5B175E96"/>
    <w:rsid w:val="5B1A6D74"/>
    <w:rsid w:val="5B2012C0"/>
    <w:rsid w:val="5B343B37"/>
    <w:rsid w:val="5B65016D"/>
    <w:rsid w:val="5B724332"/>
    <w:rsid w:val="5B9272C8"/>
    <w:rsid w:val="5B9B00F1"/>
    <w:rsid w:val="5BAE4876"/>
    <w:rsid w:val="5BB436C3"/>
    <w:rsid w:val="5BBD506C"/>
    <w:rsid w:val="5BCC7C9F"/>
    <w:rsid w:val="5BCD1281"/>
    <w:rsid w:val="5BF91597"/>
    <w:rsid w:val="5C014D8E"/>
    <w:rsid w:val="5C1D0ACC"/>
    <w:rsid w:val="5C2F23F4"/>
    <w:rsid w:val="5C35748D"/>
    <w:rsid w:val="5C54271A"/>
    <w:rsid w:val="5C6975B8"/>
    <w:rsid w:val="5C78316A"/>
    <w:rsid w:val="5C8036A7"/>
    <w:rsid w:val="5C9D4C92"/>
    <w:rsid w:val="5CA22662"/>
    <w:rsid w:val="5CAC3900"/>
    <w:rsid w:val="5CAE3B60"/>
    <w:rsid w:val="5CBC6D08"/>
    <w:rsid w:val="5CCC0271"/>
    <w:rsid w:val="5CD34DFA"/>
    <w:rsid w:val="5CD41C40"/>
    <w:rsid w:val="5D2A19DF"/>
    <w:rsid w:val="5D544B59"/>
    <w:rsid w:val="5D6F781B"/>
    <w:rsid w:val="5D756D64"/>
    <w:rsid w:val="5D7A5F9B"/>
    <w:rsid w:val="5D8E407C"/>
    <w:rsid w:val="5DAB2C98"/>
    <w:rsid w:val="5DDA0DC7"/>
    <w:rsid w:val="5DE60077"/>
    <w:rsid w:val="5DE63CE9"/>
    <w:rsid w:val="5E022B5F"/>
    <w:rsid w:val="5E0B2BE8"/>
    <w:rsid w:val="5E192218"/>
    <w:rsid w:val="5E20771D"/>
    <w:rsid w:val="5E37096B"/>
    <w:rsid w:val="5E481DD8"/>
    <w:rsid w:val="5E554695"/>
    <w:rsid w:val="5E63115F"/>
    <w:rsid w:val="5E6425B4"/>
    <w:rsid w:val="5E646AF2"/>
    <w:rsid w:val="5E7F4F0A"/>
    <w:rsid w:val="5E8B2B58"/>
    <w:rsid w:val="5E9421E5"/>
    <w:rsid w:val="5E945F23"/>
    <w:rsid w:val="5EA236F0"/>
    <w:rsid w:val="5EA45AAC"/>
    <w:rsid w:val="5EB200E6"/>
    <w:rsid w:val="5EB268D4"/>
    <w:rsid w:val="5EDA4C4A"/>
    <w:rsid w:val="5EDC6773"/>
    <w:rsid w:val="5EDE1387"/>
    <w:rsid w:val="5EFA611A"/>
    <w:rsid w:val="5F150583"/>
    <w:rsid w:val="5F221E49"/>
    <w:rsid w:val="5F2627A6"/>
    <w:rsid w:val="5F3760BE"/>
    <w:rsid w:val="5F67177D"/>
    <w:rsid w:val="5F6A33BA"/>
    <w:rsid w:val="5FA747D8"/>
    <w:rsid w:val="5FB300F8"/>
    <w:rsid w:val="5FC04BEF"/>
    <w:rsid w:val="5FC51B5D"/>
    <w:rsid w:val="5FCD4E5F"/>
    <w:rsid w:val="5FDC5A2A"/>
    <w:rsid w:val="5FF43892"/>
    <w:rsid w:val="60076C17"/>
    <w:rsid w:val="600D644D"/>
    <w:rsid w:val="601027B5"/>
    <w:rsid w:val="6011136D"/>
    <w:rsid w:val="60193E0E"/>
    <w:rsid w:val="603C2AAD"/>
    <w:rsid w:val="603E2DD7"/>
    <w:rsid w:val="603E51B0"/>
    <w:rsid w:val="6041432A"/>
    <w:rsid w:val="60450754"/>
    <w:rsid w:val="6045723C"/>
    <w:rsid w:val="60781363"/>
    <w:rsid w:val="608C5DEA"/>
    <w:rsid w:val="60931069"/>
    <w:rsid w:val="609F6AB7"/>
    <w:rsid w:val="60B2241A"/>
    <w:rsid w:val="60BF0F8B"/>
    <w:rsid w:val="60C62ADF"/>
    <w:rsid w:val="60D5728C"/>
    <w:rsid w:val="60E1162B"/>
    <w:rsid w:val="60E6758A"/>
    <w:rsid w:val="60EA184F"/>
    <w:rsid w:val="60FA7C8E"/>
    <w:rsid w:val="610D02E7"/>
    <w:rsid w:val="610D3375"/>
    <w:rsid w:val="610D338C"/>
    <w:rsid w:val="61175A74"/>
    <w:rsid w:val="61290BF9"/>
    <w:rsid w:val="612B60A8"/>
    <w:rsid w:val="61307475"/>
    <w:rsid w:val="61342854"/>
    <w:rsid w:val="614B1EF8"/>
    <w:rsid w:val="61530E36"/>
    <w:rsid w:val="617051F5"/>
    <w:rsid w:val="61A56EFC"/>
    <w:rsid w:val="61C643A2"/>
    <w:rsid w:val="61E971F9"/>
    <w:rsid w:val="61F11370"/>
    <w:rsid w:val="61F22632"/>
    <w:rsid w:val="61F27D0F"/>
    <w:rsid w:val="621F0C0B"/>
    <w:rsid w:val="623B0390"/>
    <w:rsid w:val="623B0F65"/>
    <w:rsid w:val="623B3BD3"/>
    <w:rsid w:val="624015CA"/>
    <w:rsid w:val="62520268"/>
    <w:rsid w:val="62590739"/>
    <w:rsid w:val="6276391C"/>
    <w:rsid w:val="627C0EB1"/>
    <w:rsid w:val="6294201B"/>
    <w:rsid w:val="62BB6DC5"/>
    <w:rsid w:val="62D17F8E"/>
    <w:rsid w:val="62D30012"/>
    <w:rsid w:val="62F50D62"/>
    <w:rsid w:val="630E1E26"/>
    <w:rsid w:val="63144F2A"/>
    <w:rsid w:val="63371DBD"/>
    <w:rsid w:val="633B3BD7"/>
    <w:rsid w:val="63456027"/>
    <w:rsid w:val="63644042"/>
    <w:rsid w:val="637E2C34"/>
    <w:rsid w:val="63845DA1"/>
    <w:rsid w:val="638C1B55"/>
    <w:rsid w:val="63C150FF"/>
    <w:rsid w:val="63E80900"/>
    <w:rsid w:val="63F45CDF"/>
    <w:rsid w:val="63FB1B7F"/>
    <w:rsid w:val="641B7588"/>
    <w:rsid w:val="642C44D0"/>
    <w:rsid w:val="643D6C35"/>
    <w:rsid w:val="644C2CC2"/>
    <w:rsid w:val="645513F5"/>
    <w:rsid w:val="645A680B"/>
    <w:rsid w:val="64810BCB"/>
    <w:rsid w:val="649459BF"/>
    <w:rsid w:val="649A6C64"/>
    <w:rsid w:val="64AA5E41"/>
    <w:rsid w:val="64B80ECD"/>
    <w:rsid w:val="64BC14CD"/>
    <w:rsid w:val="64D430B8"/>
    <w:rsid w:val="64EA3153"/>
    <w:rsid w:val="650D71F1"/>
    <w:rsid w:val="655C3389"/>
    <w:rsid w:val="65615058"/>
    <w:rsid w:val="65730CA2"/>
    <w:rsid w:val="658D02BB"/>
    <w:rsid w:val="65A24823"/>
    <w:rsid w:val="65AA4932"/>
    <w:rsid w:val="65B20A5B"/>
    <w:rsid w:val="65D26838"/>
    <w:rsid w:val="65E3752E"/>
    <w:rsid w:val="65F12DBD"/>
    <w:rsid w:val="65F25E41"/>
    <w:rsid w:val="660A21FD"/>
    <w:rsid w:val="66171DF4"/>
    <w:rsid w:val="664F6C65"/>
    <w:rsid w:val="668B3235"/>
    <w:rsid w:val="668E6C4F"/>
    <w:rsid w:val="66B807FC"/>
    <w:rsid w:val="66B8796A"/>
    <w:rsid w:val="66C61700"/>
    <w:rsid w:val="66CB0715"/>
    <w:rsid w:val="66EF6915"/>
    <w:rsid w:val="66F904D5"/>
    <w:rsid w:val="67102B6E"/>
    <w:rsid w:val="6712172F"/>
    <w:rsid w:val="67174D0F"/>
    <w:rsid w:val="67222A01"/>
    <w:rsid w:val="67364FFB"/>
    <w:rsid w:val="673B7B9F"/>
    <w:rsid w:val="673C4C0F"/>
    <w:rsid w:val="67572CAE"/>
    <w:rsid w:val="67716842"/>
    <w:rsid w:val="677B1B7E"/>
    <w:rsid w:val="67816B9D"/>
    <w:rsid w:val="67837D36"/>
    <w:rsid w:val="678963DD"/>
    <w:rsid w:val="67AF3547"/>
    <w:rsid w:val="67BC2510"/>
    <w:rsid w:val="67DC6113"/>
    <w:rsid w:val="67E571EB"/>
    <w:rsid w:val="67EC7469"/>
    <w:rsid w:val="680258D0"/>
    <w:rsid w:val="68064CFE"/>
    <w:rsid w:val="681D4239"/>
    <w:rsid w:val="681E5679"/>
    <w:rsid w:val="683A19BE"/>
    <w:rsid w:val="683C38E8"/>
    <w:rsid w:val="683F5CE7"/>
    <w:rsid w:val="684323C0"/>
    <w:rsid w:val="68535D01"/>
    <w:rsid w:val="685750B3"/>
    <w:rsid w:val="685965DB"/>
    <w:rsid w:val="687B0BE5"/>
    <w:rsid w:val="68872CA9"/>
    <w:rsid w:val="688B5201"/>
    <w:rsid w:val="68990AF2"/>
    <w:rsid w:val="68AF7C94"/>
    <w:rsid w:val="68B15764"/>
    <w:rsid w:val="68B20DFE"/>
    <w:rsid w:val="68B8288E"/>
    <w:rsid w:val="68B93767"/>
    <w:rsid w:val="68BA13E1"/>
    <w:rsid w:val="68BF58CD"/>
    <w:rsid w:val="68E9366B"/>
    <w:rsid w:val="690E5E46"/>
    <w:rsid w:val="691A6FB0"/>
    <w:rsid w:val="69551569"/>
    <w:rsid w:val="696307C1"/>
    <w:rsid w:val="69781286"/>
    <w:rsid w:val="6983150B"/>
    <w:rsid w:val="698B0694"/>
    <w:rsid w:val="69901F26"/>
    <w:rsid w:val="69904018"/>
    <w:rsid w:val="69997ECC"/>
    <w:rsid w:val="699F3A6B"/>
    <w:rsid w:val="69EF50C8"/>
    <w:rsid w:val="6A013E19"/>
    <w:rsid w:val="6A030452"/>
    <w:rsid w:val="6A1A4859"/>
    <w:rsid w:val="6A1A66F9"/>
    <w:rsid w:val="6A3C635D"/>
    <w:rsid w:val="6A414B4B"/>
    <w:rsid w:val="6A4F60B0"/>
    <w:rsid w:val="6A60018A"/>
    <w:rsid w:val="6A606E8F"/>
    <w:rsid w:val="6A6B0F0E"/>
    <w:rsid w:val="6A8C4A91"/>
    <w:rsid w:val="6A954243"/>
    <w:rsid w:val="6AA230EF"/>
    <w:rsid w:val="6AA276F1"/>
    <w:rsid w:val="6ABD73DD"/>
    <w:rsid w:val="6AD8616D"/>
    <w:rsid w:val="6AF906DD"/>
    <w:rsid w:val="6AFC2421"/>
    <w:rsid w:val="6B182070"/>
    <w:rsid w:val="6B242C0E"/>
    <w:rsid w:val="6B2A66BE"/>
    <w:rsid w:val="6B3318F5"/>
    <w:rsid w:val="6B4248CB"/>
    <w:rsid w:val="6B547A65"/>
    <w:rsid w:val="6B7B1AD4"/>
    <w:rsid w:val="6B7D559F"/>
    <w:rsid w:val="6B8140E2"/>
    <w:rsid w:val="6BAC018F"/>
    <w:rsid w:val="6BCA5323"/>
    <w:rsid w:val="6BDC3C91"/>
    <w:rsid w:val="6BDE217C"/>
    <w:rsid w:val="6BE013A2"/>
    <w:rsid w:val="6BE460AA"/>
    <w:rsid w:val="6C171A6B"/>
    <w:rsid w:val="6C173444"/>
    <w:rsid w:val="6C1A4EB2"/>
    <w:rsid w:val="6C1C3A19"/>
    <w:rsid w:val="6C282BCE"/>
    <w:rsid w:val="6C291F2C"/>
    <w:rsid w:val="6C412A96"/>
    <w:rsid w:val="6C5A7FAB"/>
    <w:rsid w:val="6C6F4F90"/>
    <w:rsid w:val="6C964150"/>
    <w:rsid w:val="6CB225D5"/>
    <w:rsid w:val="6CDD3042"/>
    <w:rsid w:val="6CED71F2"/>
    <w:rsid w:val="6D211C79"/>
    <w:rsid w:val="6D456588"/>
    <w:rsid w:val="6D47057C"/>
    <w:rsid w:val="6D4D25B9"/>
    <w:rsid w:val="6D5478B0"/>
    <w:rsid w:val="6D6D4C44"/>
    <w:rsid w:val="6D701759"/>
    <w:rsid w:val="6D706364"/>
    <w:rsid w:val="6D9E3ECE"/>
    <w:rsid w:val="6DA97814"/>
    <w:rsid w:val="6DC310F6"/>
    <w:rsid w:val="6DC35D96"/>
    <w:rsid w:val="6DD44A34"/>
    <w:rsid w:val="6DE16C41"/>
    <w:rsid w:val="6DE6232B"/>
    <w:rsid w:val="6DE673A9"/>
    <w:rsid w:val="6DE928CC"/>
    <w:rsid w:val="6E2533A3"/>
    <w:rsid w:val="6E286147"/>
    <w:rsid w:val="6E3A3BB0"/>
    <w:rsid w:val="6E4F5373"/>
    <w:rsid w:val="6E5C24BD"/>
    <w:rsid w:val="6E617220"/>
    <w:rsid w:val="6E641520"/>
    <w:rsid w:val="6E6F5EB4"/>
    <w:rsid w:val="6E706E30"/>
    <w:rsid w:val="6E8E59B6"/>
    <w:rsid w:val="6E983756"/>
    <w:rsid w:val="6ED0343B"/>
    <w:rsid w:val="6EE55481"/>
    <w:rsid w:val="6F1867AA"/>
    <w:rsid w:val="6F466468"/>
    <w:rsid w:val="6F5F344F"/>
    <w:rsid w:val="6F711760"/>
    <w:rsid w:val="6F75156F"/>
    <w:rsid w:val="6F763B46"/>
    <w:rsid w:val="6F8C44AB"/>
    <w:rsid w:val="6F9308FD"/>
    <w:rsid w:val="6FA77444"/>
    <w:rsid w:val="6FCC0A03"/>
    <w:rsid w:val="6FD165F5"/>
    <w:rsid w:val="6FE84B38"/>
    <w:rsid w:val="6FF55618"/>
    <w:rsid w:val="70086DB5"/>
    <w:rsid w:val="700C5A39"/>
    <w:rsid w:val="702569D0"/>
    <w:rsid w:val="703032D2"/>
    <w:rsid w:val="70605F08"/>
    <w:rsid w:val="70657F4E"/>
    <w:rsid w:val="706B5CD5"/>
    <w:rsid w:val="707B7014"/>
    <w:rsid w:val="70800914"/>
    <w:rsid w:val="709209C9"/>
    <w:rsid w:val="70956AB3"/>
    <w:rsid w:val="70965C15"/>
    <w:rsid w:val="70980E9D"/>
    <w:rsid w:val="70BF0B36"/>
    <w:rsid w:val="70C2424C"/>
    <w:rsid w:val="70D00FAC"/>
    <w:rsid w:val="70EC4EFD"/>
    <w:rsid w:val="71023906"/>
    <w:rsid w:val="7118499E"/>
    <w:rsid w:val="712412E7"/>
    <w:rsid w:val="71296FD7"/>
    <w:rsid w:val="713669BE"/>
    <w:rsid w:val="713B6AD3"/>
    <w:rsid w:val="715836FD"/>
    <w:rsid w:val="7166244A"/>
    <w:rsid w:val="71876CAF"/>
    <w:rsid w:val="71906179"/>
    <w:rsid w:val="71A93FA8"/>
    <w:rsid w:val="71B46E18"/>
    <w:rsid w:val="71CD157F"/>
    <w:rsid w:val="71D46C97"/>
    <w:rsid w:val="71D835EC"/>
    <w:rsid w:val="71E44422"/>
    <w:rsid w:val="71F748E2"/>
    <w:rsid w:val="71F847BE"/>
    <w:rsid w:val="71FE0C4A"/>
    <w:rsid w:val="72225C77"/>
    <w:rsid w:val="723208E2"/>
    <w:rsid w:val="724753FB"/>
    <w:rsid w:val="72581575"/>
    <w:rsid w:val="72815E20"/>
    <w:rsid w:val="72871B1B"/>
    <w:rsid w:val="729D0D47"/>
    <w:rsid w:val="72A52287"/>
    <w:rsid w:val="72BD1BDC"/>
    <w:rsid w:val="72BE0529"/>
    <w:rsid w:val="72D963F1"/>
    <w:rsid w:val="72D96D9D"/>
    <w:rsid w:val="72DC4362"/>
    <w:rsid w:val="72DC775F"/>
    <w:rsid w:val="72DE2545"/>
    <w:rsid w:val="72EA70D4"/>
    <w:rsid w:val="72ED1DB9"/>
    <w:rsid w:val="73103A08"/>
    <w:rsid w:val="7320376A"/>
    <w:rsid w:val="7326315D"/>
    <w:rsid w:val="73347BBB"/>
    <w:rsid w:val="73437BD9"/>
    <w:rsid w:val="735B218C"/>
    <w:rsid w:val="735D7F04"/>
    <w:rsid w:val="73727AAD"/>
    <w:rsid w:val="73765004"/>
    <w:rsid w:val="7399053D"/>
    <w:rsid w:val="73BB6F4F"/>
    <w:rsid w:val="73CC6F0E"/>
    <w:rsid w:val="73CD03DC"/>
    <w:rsid w:val="73CE20B2"/>
    <w:rsid w:val="73DE4F87"/>
    <w:rsid w:val="73EF33FF"/>
    <w:rsid w:val="73F922DD"/>
    <w:rsid w:val="740C0565"/>
    <w:rsid w:val="74111D77"/>
    <w:rsid w:val="74485A6A"/>
    <w:rsid w:val="745164B4"/>
    <w:rsid w:val="745219AD"/>
    <w:rsid w:val="745D5957"/>
    <w:rsid w:val="746A17FE"/>
    <w:rsid w:val="74736578"/>
    <w:rsid w:val="74A11F1E"/>
    <w:rsid w:val="74DC65C9"/>
    <w:rsid w:val="7515601B"/>
    <w:rsid w:val="751B1AB9"/>
    <w:rsid w:val="751C1760"/>
    <w:rsid w:val="75250DF5"/>
    <w:rsid w:val="75277476"/>
    <w:rsid w:val="7537111E"/>
    <w:rsid w:val="756662B8"/>
    <w:rsid w:val="756C6EAF"/>
    <w:rsid w:val="759914A2"/>
    <w:rsid w:val="75B678AC"/>
    <w:rsid w:val="75BA6AE1"/>
    <w:rsid w:val="75C22B65"/>
    <w:rsid w:val="75D06D60"/>
    <w:rsid w:val="75D63746"/>
    <w:rsid w:val="75E46C37"/>
    <w:rsid w:val="762A3332"/>
    <w:rsid w:val="76577D51"/>
    <w:rsid w:val="766C4E1A"/>
    <w:rsid w:val="767E59A4"/>
    <w:rsid w:val="768154F6"/>
    <w:rsid w:val="76875A5B"/>
    <w:rsid w:val="768D269A"/>
    <w:rsid w:val="768F66E6"/>
    <w:rsid w:val="76904B4C"/>
    <w:rsid w:val="76906398"/>
    <w:rsid w:val="7692021E"/>
    <w:rsid w:val="7692295C"/>
    <w:rsid w:val="76987296"/>
    <w:rsid w:val="76AD37EA"/>
    <w:rsid w:val="76DD7040"/>
    <w:rsid w:val="77141A56"/>
    <w:rsid w:val="773724AA"/>
    <w:rsid w:val="77471359"/>
    <w:rsid w:val="77487DBB"/>
    <w:rsid w:val="775723C9"/>
    <w:rsid w:val="7793298D"/>
    <w:rsid w:val="779B0E28"/>
    <w:rsid w:val="779D36A5"/>
    <w:rsid w:val="77A93498"/>
    <w:rsid w:val="77BD362F"/>
    <w:rsid w:val="77C0299F"/>
    <w:rsid w:val="77C34452"/>
    <w:rsid w:val="77C62998"/>
    <w:rsid w:val="77EF6C39"/>
    <w:rsid w:val="77FA5E99"/>
    <w:rsid w:val="7800019C"/>
    <w:rsid w:val="7802716D"/>
    <w:rsid w:val="781411DC"/>
    <w:rsid w:val="78181510"/>
    <w:rsid w:val="783C1085"/>
    <w:rsid w:val="78511A1F"/>
    <w:rsid w:val="78687D28"/>
    <w:rsid w:val="78695554"/>
    <w:rsid w:val="787578D6"/>
    <w:rsid w:val="78835280"/>
    <w:rsid w:val="789C1E36"/>
    <w:rsid w:val="78B91D5A"/>
    <w:rsid w:val="79376484"/>
    <w:rsid w:val="79395B42"/>
    <w:rsid w:val="796A387D"/>
    <w:rsid w:val="798C45A2"/>
    <w:rsid w:val="798E37EC"/>
    <w:rsid w:val="799816E3"/>
    <w:rsid w:val="79A50D62"/>
    <w:rsid w:val="79AF6B79"/>
    <w:rsid w:val="79BA1EE0"/>
    <w:rsid w:val="79E06559"/>
    <w:rsid w:val="79E45B22"/>
    <w:rsid w:val="79E90618"/>
    <w:rsid w:val="79FF3743"/>
    <w:rsid w:val="7A0F338D"/>
    <w:rsid w:val="7A136B84"/>
    <w:rsid w:val="7A140C86"/>
    <w:rsid w:val="7A415D1C"/>
    <w:rsid w:val="7A691A14"/>
    <w:rsid w:val="7A6D2DBD"/>
    <w:rsid w:val="7A745085"/>
    <w:rsid w:val="7A9B4862"/>
    <w:rsid w:val="7AA2751E"/>
    <w:rsid w:val="7AB465CB"/>
    <w:rsid w:val="7AC31617"/>
    <w:rsid w:val="7AD23232"/>
    <w:rsid w:val="7AD907F7"/>
    <w:rsid w:val="7ADC3888"/>
    <w:rsid w:val="7AE17274"/>
    <w:rsid w:val="7AE17FF2"/>
    <w:rsid w:val="7B1020BF"/>
    <w:rsid w:val="7B2C4219"/>
    <w:rsid w:val="7B4E3BF4"/>
    <w:rsid w:val="7B686316"/>
    <w:rsid w:val="7B7E1476"/>
    <w:rsid w:val="7B7E42C9"/>
    <w:rsid w:val="7B817344"/>
    <w:rsid w:val="7B937A3D"/>
    <w:rsid w:val="7B9B7AF4"/>
    <w:rsid w:val="7BB82963"/>
    <w:rsid w:val="7BBD41AD"/>
    <w:rsid w:val="7BDD579A"/>
    <w:rsid w:val="7BE235FF"/>
    <w:rsid w:val="7BE703B0"/>
    <w:rsid w:val="7BFD5540"/>
    <w:rsid w:val="7C0C4892"/>
    <w:rsid w:val="7C115F93"/>
    <w:rsid w:val="7C1533E4"/>
    <w:rsid w:val="7C7B5A19"/>
    <w:rsid w:val="7C7D2246"/>
    <w:rsid w:val="7C9E66A5"/>
    <w:rsid w:val="7CB50F6F"/>
    <w:rsid w:val="7CCC117F"/>
    <w:rsid w:val="7D010506"/>
    <w:rsid w:val="7D095CC4"/>
    <w:rsid w:val="7D180AA7"/>
    <w:rsid w:val="7D1D419D"/>
    <w:rsid w:val="7D252546"/>
    <w:rsid w:val="7D3B3437"/>
    <w:rsid w:val="7D4905FC"/>
    <w:rsid w:val="7D5B100B"/>
    <w:rsid w:val="7D77039F"/>
    <w:rsid w:val="7D795601"/>
    <w:rsid w:val="7D8E3DCA"/>
    <w:rsid w:val="7D9E5160"/>
    <w:rsid w:val="7DA14952"/>
    <w:rsid w:val="7DFA308C"/>
    <w:rsid w:val="7DFE387C"/>
    <w:rsid w:val="7E005A68"/>
    <w:rsid w:val="7E1D7649"/>
    <w:rsid w:val="7E245841"/>
    <w:rsid w:val="7E275DC0"/>
    <w:rsid w:val="7E3C7D86"/>
    <w:rsid w:val="7E52000F"/>
    <w:rsid w:val="7E786396"/>
    <w:rsid w:val="7E8D315C"/>
    <w:rsid w:val="7EA002E4"/>
    <w:rsid w:val="7EA3323F"/>
    <w:rsid w:val="7EA60C34"/>
    <w:rsid w:val="7EBA59A3"/>
    <w:rsid w:val="7EBF4774"/>
    <w:rsid w:val="7ECF72D9"/>
    <w:rsid w:val="7EDC04EF"/>
    <w:rsid w:val="7EE2315A"/>
    <w:rsid w:val="7EE27F72"/>
    <w:rsid w:val="7EE421C4"/>
    <w:rsid w:val="7EEF0A0D"/>
    <w:rsid w:val="7EF95511"/>
    <w:rsid w:val="7EFB373D"/>
    <w:rsid w:val="7F127E3E"/>
    <w:rsid w:val="7F1A1EBA"/>
    <w:rsid w:val="7F207B32"/>
    <w:rsid w:val="7F4815E0"/>
    <w:rsid w:val="7F8A605D"/>
    <w:rsid w:val="7F9760C5"/>
    <w:rsid w:val="7F9A5DD8"/>
    <w:rsid w:val="7F9F66EA"/>
    <w:rsid w:val="7FC0764B"/>
    <w:rsid w:val="7FD43A3A"/>
    <w:rsid w:val="7FFE21AF"/>
    <w:rsid w:val="7FFF11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imes New Roman" w:hAnsi="Times New Roman" w:eastAsia="方正仿宋_GBK" w:cstheme="minorBidi"/>
      <w:kern w:val="2"/>
      <w:sz w:val="32"/>
      <w:szCs w:val="22"/>
      <w:lang w:val="en-US" w:eastAsia="zh-CN" w:bidi="ar-SA"/>
    </w:rPr>
  </w:style>
  <w:style w:type="paragraph" w:styleId="3">
    <w:name w:val="heading 1"/>
    <w:basedOn w:val="1"/>
    <w:next w:val="1"/>
    <w:link w:val="36"/>
    <w:qFormat/>
    <w:uiPriority w:val="9"/>
    <w:pPr>
      <w:keepNext/>
      <w:keepLines/>
      <w:spacing w:before="340" w:after="330" w:line="360" w:lineRule="auto"/>
      <w:outlineLvl w:val="0"/>
    </w:pPr>
    <w:rPr>
      <w:rFonts w:eastAsia="黑体"/>
      <w:b/>
      <w:bCs/>
      <w:kern w:val="44"/>
      <w:sz w:val="44"/>
      <w:szCs w:val="44"/>
    </w:rPr>
  </w:style>
  <w:style w:type="paragraph" w:styleId="4">
    <w:name w:val="heading 2"/>
    <w:basedOn w:val="1"/>
    <w:next w:val="1"/>
    <w:link w:val="37"/>
    <w:unhideWhenUsed/>
    <w:qFormat/>
    <w:uiPriority w:val="9"/>
    <w:pPr>
      <w:keepNext/>
      <w:keepLines/>
      <w:spacing w:before="120" w:after="120" w:line="240" w:lineRule="auto"/>
      <w:outlineLvl w:val="1"/>
    </w:pPr>
    <w:rPr>
      <w:rFonts w:eastAsia="黑体" w:asciiTheme="majorHAnsi" w:hAnsiTheme="majorHAnsi" w:cstheme="majorBidi"/>
      <w:b/>
      <w:bCs/>
      <w:szCs w:val="32"/>
    </w:rPr>
  </w:style>
  <w:style w:type="paragraph" w:styleId="5">
    <w:name w:val="heading 3"/>
    <w:basedOn w:val="1"/>
    <w:next w:val="1"/>
    <w:link w:val="38"/>
    <w:unhideWhenUsed/>
    <w:qFormat/>
    <w:uiPriority w:val="9"/>
    <w:pPr>
      <w:keepNext/>
      <w:keepLines/>
      <w:outlineLvl w:val="2"/>
    </w:pPr>
    <w:rPr>
      <w:rFonts w:eastAsia="黑体"/>
      <w:bCs/>
      <w:szCs w:val="32"/>
    </w:rPr>
  </w:style>
  <w:style w:type="paragraph" w:styleId="6">
    <w:name w:val="heading 4"/>
    <w:basedOn w:val="1"/>
    <w:next w:val="1"/>
    <w:link w:val="39"/>
    <w:unhideWhenUsed/>
    <w:qFormat/>
    <w:uiPriority w:val="9"/>
    <w:pPr>
      <w:keepNext/>
      <w:keepLines/>
      <w:spacing w:beforeLines="50" w:line="240" w:lineRule="auto"/>
      <w:outlineLvl w:val="3"/>
    </w:pPr>
    <w:rPr>
      <w:rFonts w:cstheme="majorBidi"/>
      <w:b/>
      <w:bCs/>
      <w:szCs w:val="28"/>
    </w:rPr>
  </w:style>
  <w:style w:type="paragraph" w:styleId="7">
    <w:name w:val="heading 5"/>
    <w:basedOn w:val="1"/>
    <w:next w:val="1"/>
    <w:link w:val="42"/>
    <w:unhideWhenUsed/>
    <w:qFormat/>
    <w:uiPriority w:val="9"/>
    <w:pPr>
      <w:keepNext/>
      <w:keepLines/>
      <w:spacing w:before="280" w:after="290" w:line="376" w:lineRule="atLeast"/>
      <w:outlineLvl w:val="4"/>
    </w:pPr>
    <w:rPr>
      <w:b/>
      <w:bCs/>
      <w:sz w:val="28"/>
      <w:szCs w:val="28"/>
    </w:rPr>
  </w:style>
  <w:style w:type="character" w:default="1" w:styleId="27">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styleId="8">
    <w:name w:val="Normal Indent"/>
    <w:basedOn w:val="1"/>
    <w:qFormat/>
    <w:uiPriority w:val="0"/>
    <w:pPr>
      <w:spacing w:line="480" w:lineRule="exact"/>
    </w:pPr>
    <w:rPr>
      <w:rFonts w:ascii="宋体" w:hAnsi="宋体" w:cs="宋体"/>
      <w:sz w:val="28"/>
      <w:szCs w:val="28"/>
    </w:rPr>
  </w:style>
  <w:style w:type="paragraph" w:styleId="9">
    <w:name w:val="Document Map"/>
    <w:basedOn w:val="1"/>
    <w:link w:val="57"/>
    <w:semiHidden/>
    <w:unhideWhenUsed/>
    <w:qFormat/>
    <w:uiPriority w:val="99"/>
    <w:rPr>
      <w:rFonts w:ascii="宋体" w:eastAsia="宋体"/>
      <w:sz w:val="18"/>
      <w:szCs w:val="18"/>
    </w:rPr>
  </w:style>
  <w:style w:type="paragraph" w:styleId="10">
    <w:name w:val="annotation text"/>
    <w:basedOn w:val="1"/>
    <w:semiHidden/>
    <w:unhideWhenUsed/>
    <w:qFormat/>
    <w:uiPriority w:val="99"/>
    <w:pPr>
      <w:jc w:val="left"/>
    </w:pPr>
  </w:style>
  <w:style w:type="paragraph" w:styleId="11">
    <w:name w:val="Body Text Indent"/>
    <w:basedOn w:val="1"/>
    <w:link w:val="47"/>
    <w:semiHidden/>
    <w:unhideWhenUsed/>
    <w:qFormat/>
    <w:uiPriority w:val="99"/>
    <w:pPr>
      <w:spacing w:after="120"/>
      <w:ind w:left="420" w:leftChars="200"/>
    </w:pPr>
  </w:style>
  <w:style w:type="paragraph" w:styleId="12">
    <w:name w:val="toc 3"/>
    <w:basedOn w:val="1"/>
    <w:next w:val="1"/>
    <w:unhideWhenUsed/>
    <w:qFormat/>
    <w:uiPriority w:val="39"/>
    <w:pPr>
      <w:ind w:left="840" w:leftChars="400"/>
    </w:pPr>
  </w:style>
  <w:style w:type="paragraph" w:styleId="13">
    <w:name w:val="Plain Text"/>
    <w:basedOn w:val="1"/>
    <w:link w:val="53"/>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14">
    <w:name w:val="Date"/>
    <w:basedOn w:val="1"/>
    <w:next w:val="1"/>
    <w:link w:val="35"/>
    <w:unhideWhenUsed/>
    <w:qFormat/>
    <w:uiPriority w:val="99"/>
    <w:pPr>
      <w:ind w:left="100" w:leftChars="2500"/>
    </w:pPr>
  </w:style>
  <w:style w:type="paragraph" w:styleId="15">
    <w:name w:val="Balloon Text"/>
    <w:basedOn w:val="1"/>
    <w:link w:val="41"/>
    <w:semiHidden/>
    <w:unhideWhenUsed/>
    <w:qFormat/>
    <w:uiPriority w:val="99"/>
    <w:pPr>
      <w:spacing w:line="240" w:lineRule="auto"/>
    </w:pPr>
    <w:rPr>
      <w:sz w:val="18"/>
      <w:szCs w:val="18"/>
    </w:rPr>
  </w:style>
  <w:style w:type="paragraph" w:styleId="16">
    <w:name w:val="footer"/>
    <w:basedOn w:val="1"/>
    <w:link w:val="33"/>
    <w:unhideWhenUsed/>
    <w:qFormat/>
    <w:uiPriority w:val="99"/>
    <w:pPr>
      <w:tabs>
        <w:tab w:val="center" w:pos="4153"/>
        <w:tab w:val="right" w:pos="8306"/>
      </w:tabs>
      <w:snapToGrid w:val="0"/>
      <w:jc w:val="left"/>
    </w:pPr>
    <w:rPr>
      <w:sz w:val="18"/>
      <w:szCs w:val="18"/>
    </w:rPr>
  </w:style>
  <w:style w:type="paragraph" w:styleId="17">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296"/>
      </w:tabs>
      <w:spacing w:line="240" w:lineRule="auto"/>
      <w:ind w:left="160" w:leftChars="50" w:firstLine="0" w:firstLineChars="0"/>
    </w:pPr>
    <w:rPr>
      <w:b/>
    </w:rPr>
  </w:style>
  <w:style w:type="paragraph" w:styleId="19">
    <w:name w:val="toc 2"/>
    <w:basedOn w:val="1"/>
    <w:next w:val="1"/>
    <w:unhideWhenUsed/>
    <w:qFormat/>
    <w:uiPriority w:val="39"/>
    <w:pPr>
      <w:spacing w:line="240" w:lineRule="auto"/>
      <w:ind w:left="420" w:leftChars="200"/>
    </w:pPr>
  </w:style>
  <w:style w:type="paragraph" w:styleId="20">
    <w:name w:val="HTML Preformatted"/>
    <w:basedOn w:val="1"/>
    <w:link w:val="45"/>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eastAsia="宋体" w:cs="宋体"/>
      <w:kern w:val="0"/>
      <w:sz w:val="24"/>
      <w:szCs w:val="24"/>
    </w:rPr>
  </w:style>
  <w:style w:type="paragraph" w:styleId="21">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22">
    <w:name w:val="Title"/>
    <w:basedOn w:val="1"/>
    <w:next w:val="1"/>
    <w:link w:val="34"/>
    <w:qFormat/>
    <w:uiPriority w:val="0"/>
    <w:pPr>
      <w:spacing w:before="240" w:after="60"/>
      <w:jc w:val="center"/>
      <w:outlineLvl w:val="0"/>
    </w:pPr>
    <w:rPr>
      <w:rFonts w:asciiTheme="majorHAnsi" w:hAnsiTheme="majorHAnsi" w:eastAsiaTheme="majorEastAsia" w:cstheme="majorBidi"/>
      <w:b/>
      <w:bCs/>
      <w:szCs w:val="32"/>
    </w:rPr>
  </w:style>
  <w:style w:type="paragraph" w:styleId="23">
    <w:name w:val="Body Text First Indent 2"/>
    <w:basedOn w:val="11"/>
    <w:next w:val="24"/>
    <w:link w:val="49"/>
    <w:qFormat/>
    <w:uiPriority w:val="0"/>
    <w:pPr>
      <w:adjustRightInd w:val="0"/>
      <w:snapToGrid w:val="0"/>
      <w:spacing w:line="360" w:lineRule="auto"/>
    </w:pPr>
    <w:rPr>
      <w:rFonts w:eastAsia="宋体" w:cs="Times New Roman"/>
      <w:sz w:val="24"/>
    </w:rPr>
  </w:style>
  <w:style w:type="paragraph" w:customStyle="1" w:styleId="24">
    <w:name w:val="正文1"/>
    <w:basedOn w:val="1"/>
    <w:qFormat/>
    <w:uiPriority w:val="0"/>
    <w:pPr>
      <w:spacing w:line="360" w:lineRule="auto"/>
      <w:ind w:firstLine="480"/>
      <w:jc w:val="left"/>
    </w:pPr>
    <w:rPr>
      <w:kern w:val="0"/>
      <w:sz w:val="24"/>
      <w:szCs w:val="24"/>
    </w:rPr>
  </w:style>
  <w:style w:type="table" w:styleId="26">
    <w:name w:val="Table Grid"/>
    <w:basedOn w:val="2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Cs/>
    </w:rPr>
  </w:style>
  <w:style w:type="character" w:styleId="29">
    <w:name w:val="Hyperlink"/>
    <w:basedOn w:val="27"/>
    <w:unhideWhenUsed/>
    <w:qFormat/>
    <w:uiPriority w:val="99"/>
    <w:rPr>
      <w:color w:val="0563C1" w:themeColor="hyperlink"/>
      <w:u w:val="single"/>
    </w:rPr>
  </w:style>
  <w:style w:type="paragraph" w:customStyle="1" w:styleId="30">
    <w:name w:val="Char1"/>
    <w:basedOn w:val="1"/>
    <w:qFormat/>
    <w:uiPriority w:val="0"/>
    <w:pPr>
      <w:widowControl/>
      <w:spacing w:after="160" w:line="240" w:lineRule="exact"/>
      <w:ind w:firstLine="0" w:firstLineChars="0"/>
      <w:jc w:val="left"/>
    </w:pPr>
    <w:rPr>
      <w:rFonts w:ascii="Arial" w:hAnsi="Arial" w:eastAsia="Times New Roman" w:cs="Verdana"/>
      <w:b/>
      <w:kern w:val="0"/>
      <w:sz w:val="24"/>
      <w:szCs w:val="24"/>
      <w:lang w:eastAsia="en-US"/>
    </w:rPr>
  </w:style>
  <w:style w:type="character" w:customStyle="1" w:styleId="31">
    <w:name w:val="正文首行缩进 2 Char"/>
    <w:qFormat/>
    <w:uiPriority w:val="0"/>
    <w:rPr>
      <w:rFonts w:ascii="Times New Roman" w:hAnsi="Times New Roman"/>
      <w:sz w:val="24"/>
      <w:lang w:bidi="ar-SA"/>
    </w:rPr>
  </w:style>
  <w:style w:type="character" w:customStyle="1" w:styleId="32">
    <w:name w:val="页眉 Char1"/>
    <w:basedOn w:val="27"/>
    <w:link w:val="17"/>
    <w:qFormat/>
    <w:uiPriority w:val="99"/>
    <w:rPr>
      <w:sz w:val="18"/>
      <w:szCs w:val="18"/>
    </w:rPr>
  </w:style>
  <w:style w:type="character" w:customStyle="1" w:styleId="33">
    <w:name w:val="页脚 Char1"/>
    <w:basedOn w:val="27"/>
    <w:link w:val="16"/>
    <w:qFormat/>
    <w:uiPriority w:val="99"/>
    <w:rPr>
      <w:sz w:val="18"/>
      <w:szCs w:val="18"/>
    </w:rPr>
  </w:style>
  <w:style w:type="character" w:customStyle="1" w:styleId="34">
    <w:name w:val="标题 Char1"/>
    <w:basedOn w:val="27"/>
    <w:link w:val="22"/>
    <w:qFormat/>
    <w:uiPriority w:val="10"/>
    <w:rPr>
      <w:rFonts w:asciiTheme="majorHAnsi" w:hAnsiTheme="majorHAnsi" w:eastAsiaTheme="majorEastAsia" w:cstheme="majorBidi"/>
      <w:bCs/>
      <w:sz w:val="32"/>
      <w:szCs w:val="32"/>
    </w:rPr>
  </w:style>
  <w:style w:type="character" w:customStyle="1" w:styleId="35">
    <w:name w:val="日期 Char"/>
    <w:basedOn w:val="27"/>
    <w:link w:val="14"/>
    <w:semiHidden/>
    <w:qFormat/>
    <w:uiPriority w:val="99"/>
  </w:style>
  <w:style w:type="character" w:customStyle="1" w:styleId="36">
    <w:name w:val="标题 1 Char"/>
    <w:basedOn w:val="27"/>
    <w:link w:val="3"/>
    <w:qFormat/>
    <w:uiPriority w:val="9"/>
    <w:rPr>
      <w:rFonts w:ascii="Times New Roman" w:hAnsi="Times New Roman" w:eastAsia="黑体"/>
      <w:bCs/>
      <w:kern w:val="44"/>
      <w:sz w:val="44"/>
      <w:szCs w:val="44"/>
    </w:rPr>
  </w:style>
  <w:style w:type="character" w:customStyle="1" w:styleId="37">
    <w:name w:val="标题 2 Char"/>
    <w:basedOn w:val="27"/>
    <w:link w:val="4"/>
    <w:qFormat/>
    <w:uiPriority w:val="9"/>
    <w:rPr>
      <w:rFonts w:eastAsia="黑体" w:asciiTheme="majorHAnsi" w:hAnsiTheme="majorHAnsi" w:cstheme="majorBidi"/>
      <w:bCs/>
      <w:sz w:val="32"/>
      <w:szCs w:val="32"/>
    </w:rPr>
  </w:style>
  <w:style w:type="character" w:customStyle="1" w:styleId="38">
    <w:name w:val="标题 3 Char"/>
    <w:basedOn w:val="27"/>
    <w:link w:val="5"/>
    <w:qFormat/>
    <w:uiPriority w:val="9"/>
    <w:rPr>
      <w:rFonts w:ascii="Times New Roman" w:hAnsi="Times New Roman" w:eastAsia="黑体"/>
      <w:bCs/>
      <w:kern w:val="2"/>
      <w:sz w:val="32"/>
      <w:szCs w:val="32"/>
    </w:rPr>
  </w:style>
  <w:style w:type="character" w:customStyle="1" w:styleId="39">
    <w:name w:val="标题 4 Char"/>
    <w:basedOn w:val="27"/>
    <w:link w:val="6"/>
    <w:qFormat/>
    <w:uiPriority w:val="9"/>
    <w:rPr>
      <w:rFonts w:ascii="Times New Roman" w:hAnsi="Times New Roman" w:eastAsia="方正仿宋_GBK" w:cstheme="majorBidi"/>
      <w:bCs/>
      <w:kern w:val="2"/>
      <w:sz w:val="32"/>
      <w:szCs w:val="28"/>
    </w:rPr>
  </w:style>
  <w:style w:type="character" w:customStyle="1" w:styleId="40">
    <w:name w:val="标题 Char"/>
    <w:basedOn w:val="27"/>
    <w:qFormat/>
    <w:uiPriority w:val="0"/>
    <w:rPr>
      <w:rFonts w:ascii="Cambria" w:hAnsi="Cambria" w:cs="Times New Roman"/>
      <w:bCs/>
      <w:kern w:val="2"/>
      <w:sz w:val="32"/>
      <w:szCs w:val="32"/>
    </w:rPr>
  </w:style>
  <w:style w:type="character" w:customStyle="1" w:styleId="41">
    <w:name w:val="批注框文本 Char"/>
    <w:basedOn w:val="27"/>
    <w:link w:val="15"/>
    <w:semiHidden/>
    <w:qFormat/>
    <w:uiPriority w:val="99"/>
    <w:rPr>
      <w:rFonts w:ascii="Times New Roman" w:hAnsi="Times New Roman" w:eastAsia="方正仿宋_GBK"/>
      <w:kern w:val="2"/>
      <w:sz w:val="18"/>
      <w:szCs w:val="18"/>
    </w:rPr>
  </w:style>
  <w:style w:type="character" w:customStyle="1" w:styleId="42">
    <w:name w:val="标题 5 Char"/>
    <w:basedOn w:val="27"/>
    <w:link w:val="7"/>
    <w:qFormat/>
    <w:uiPriority w:val="9"/>
    <w:rPr>
      <w:rFonts w:ascii="Times New Roman" w:hAnsi="Times New Roman" w:eastAsia="方正仿宋_GBK"/>
      <w:bCs/>
      <w:kern w:val="2"/>
      <w:sz w:val="28"/>
      <w:szCs w:val="28"/>
    </w:rPr>
  </w:style>
  <w:style w:type="character" w:customStyle="1" w:styleId="43">
    <w:name w:val="apple-converted-space"/>
    <w:basedOn w:val="27"/>
    <w:qFormat/>
    <w:uiPriority w:val="0"/>
  </w:style>
  <w:style w:type="paragraph" w:customStyle="1" w:styleId="44">
    <w:name w:val="Char11"/>
    <w:basedOn w:val="1"/>
    <w:qFormat/>
    <w:uiPriority w:val="0"/>
    <w:pPr>
      <w:widowControl/>
      <w:spacing w:after="160" w:line="240" w:lineRule="exact"/>
      <w:ind w:firstLine="0" w:firstLineChars="0"/>
      <w:jc w:val="left"/>
    </w:pPr>
    <w:rPr>
      <w:rFonts w:ascii="Arial" w:hAnsi="Arial" w:eastAsia="Times New Roman" w:cs="Verdana"/>
      <w:b/>
      <w:kern w:val="0"/>
      <w:sz w:val="24"/>
      <w:szCs w:val="24"/>
      <w:lang w:eastAsia="en-US"/>
    </w:rPr>
  </w:style>
  <w:style w:type="character" w:customStyle="1" w:styleId="45">
    <w:name w:val="HTML 预设格式 Char"/>
    <w:basedOn w:val="27"/>
    <w:link w:val="20"/>
    <w:semiHidden/>
    <w:qFormat/>
    <w:uiPriority w:val="99"/>
    <w:rPr>
      <w:rFonts w:ascii="宋体" w:hAnsi="宋体" w:eastAsia="宋体" w:cs="宋体"/>
      <w:sz w:val="24"/>
      <w:szCs w:val="24"/>
    </w:rPr>
  </w:style>
  <w:style w:type="paragraph" w:customStyle="1" w:styleId="46">
    <w:name w:val="trs_editor"/>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47">
    <w:name w:val="正文文本缩进 Char"/>
    <w:basedOn w:val="27"/>
    <w:link w:val="11"/>
    <w:semiHidden/>
    <w:qFormat/>
    <w:uiPriority w:val="99"/>
    <w:rPr>
      <w:rFonts w:ascii="Times New Roman" w:hAnsi="Times New Roman" w:eastAsia="方正仿宋_GBK"/>
      <w:kern w:val="2"/>
      <w:sz w:val="32"/>
      <w:szCs w:val="22"/>
    </w:rPr>
  </w:style>
  <w:style w:type="character" w:customStyle="1" w:styleId="48">
    <w:name w:val="正文首行缩进 2 字符"/>
    <w:basedOn w:val="47"/>
    <w:semiHidden/>
    <w:qFormat/>
    <w:uiPriority w:val="99"/>
    <w:rPr>
      <w:rFonts w:ascii="Times New Roman" w:hAnsi="Times New Roman" w:eastAsia="方正仿宋_GBK"/>
      <w:kern w:val="2"/>
      <w:sz w:val="32"/>
      <w:szCs w:val="22"/>
    </w:rPr>
  </w:style>
  <w:style w:type="character" w:customStyle="1" w:styleId="49">
    <w:name w:val="正文首行缩进 2 Char1"/>
    <w:link w:val="23"/>
    <w:qFormat/>
    <w:uiPriority w:val="0"/>
    <w:rPr>
      <w:rFonts w:ascii="Times New Roman" w:hAnsi="Times New Roman" w:eastAsia="宋体" w:cs="Times New Roman"/>
      <w:sz w:val="24"/>
    </w:rPr>
  </w:style>
  <w:style w:type="paragraph" w:styleId="50">
    <w:name w:val="List Paragraph"/>
    <w:basedOn w:val="1"/>
    <w:qFormat/>
    <w:uiPriority w:val="34"/>
    <w:pPr>
      <w:ind w:firstLine="420"/>
    </w:pPr>
  </w:style>
  <w:style w:type="table" w:customStyle="1" w:styleId="51">
    <w:name w:val="网格型1"/>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2">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character" w:customStyle="1" w:styleId="53">
    <w:name w:val="纯文本 Char"/>
    <w:basedOn w:val="27"/>
    <w:link w:val="13"/>
    <w:semiHidden/>
    <w:qFormat/>
    <w:uiPriority w:val="99"/>
    <w:rPr>
      <w:rFonts w:ascii="宋体" w:hAnsi="宋体" w:eastAsia="宋体" w:cs="宋体"/>
      <w:sz w:val="24"/>
      <w:szCs w:val="24"/>
    </w:rPr>
  </w:style>
  <w:style w:type="character" w:customStyle="1" w:styleId="54">
    <w:name w:val="paragraph_title"/>
    <w:basedOn w:val="27"/>
    <w:qFormat/>
    <w:uiPriority w:val="0"/>
  </w:style>
  <w:style w:type="paragraph" w:customStyle="1" w:styleId="55">
    <w:name w:val="ident-first-line"/>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character" w:customStyle="1" w:styleId="56">
    <w:name w:val="xref"/>
    <w:basedOn w:val="27"/>
    <w:qFormat/>
    <w:uiPriority w:val="0"/>
  </w:style>
  <w:style w:type="character" w:customStyle="1" w:styleId="57">
    <w:name w:val="文档结构图 Char"/>
    <w:basedOn w:val="27"/>
    <w:link w:val="9"/>
    <w:semiHidden/>
    <w:qFormat/>
    <w:uiPriority w:val="99"/>
    <w:rPr>
      <w:rFonts w:ascii="宋体" w:hAnsi="Times New Roman" w:eastAsia="宋体"/>
      <w:kern w:val="2"/>
      <w:sz w:val="18"/>
      <w:szCs w:val="18"/>
    </w:rPr>
  </w:style>
  <w:style w:type="character" w:customStyle="1" w:styleId="58">
    <w:name w:val="页眉 Char"/>
    <w:qFormat/>
    <w:uiPriority w:val="99"/>
    <w:rPr>
      <w:rFonts w:ascii="Times New Roman" w:hAnsi="Times New Roman" w:eastAsia="宋体"/>
      <w:sz w:val="18"/>
      <w:szCs w:val="18"/>
    </w:rPr>
  </w:style>
  <w:style w:type="character" w:customStyle="1" w:styleId="59">
    <w:name w:val="页脚 Char"/>
    <w:qFormat/>
    <w:uiPriority w:val="99"/>
    <w:rPr>
      <w:rFonts w:ascii="Times New Roman" w:hAnsi="Times New Roman" w:eastAsia="宋体"/>
      <w:sz w:val="18"/>
      <w:szCs w:val="18"/>
    </w:rPr>
  </w:style>
  <w:style w:type="character" w:customStyle="1" w:styleId="60">
    <w:name w:val="html-tag"/>
    <w:basedOn w:val="27"/>
    <w:qFormat/>
    <w:uiPriority w:val="0"/>
  </w:style>
  <w:style w:type="paragraph" w:customStyle="1" w:styleId="61">
    <w:name w:val="11标题"/>
    <w:basedOn w:val="3"/>
    <w:qFormat/>
    <w:uiPriority w:val="0"/>
    <w:pPr>
      <w:adjustRightInd w:val="0"/>
      <w:spacing w:before="0" w:after="0"/>
      <w:ind w:firstLine="0" w:firstLineChars="0"/>
      <w:jc w:val="center"/>
      <w:textAlignment w:val="baseline"/>
    </w:pPr>
    <w:rPr>
      <w:b w:val="0"/>
      <w:bCs w:val="0"/>
      <w:sz w:val="32"/>
      <w:szCs w:val="20"/>
    </w:rPr>
  </w:style>
  <w:style w:type="character" w:customStyle="1" w:styleId="62">
    <w:name w:val="font01"/>
    <w:basedOn w:val="27"/>
    <w:qFormat/>
    <w:uiPriority w:val="0"/>
    <w:rPr>
      <w:rFonts w:hint="eastAsia" w:ascii="宋体" w:hAnsi="宋体" w:eastAsia="宋体" w:cs="宋体"/>
      <w:color w:val="000000"/>
      <w:sz w:val="24"/>
      <w:szCs w:val="24"/>
      <w:u w:val="none"/>
    </w:rPr>
  </w:style>
  <w:style w:type="character" w:customStyle="1" w:styleId="63">
    <w:name w:val="font31"/>
    <w:basedOn w:val="27"/>
    <w:qFormat/>
    <w:uiPriority w:val="0"/>
    <w:rPr>
      <w:rFonts w:hint="default" w:ascii="Times New Roman" w:hAnsi="Times New Roman" w:cs="Times New Roman"/>
      <w:color w:val="000000"/>
      <w:sz w:val="24"/>
      <w:szCs w:val="24"/>
      <w:u w:val="none"/>
    </w:rPr>
  </w:style>
  <w:style w:type="character" w:customStyle="1" w:styleId="64">
    <w:name w:val="font41"/>
    <w:basedOn w:val="27"/>
    <w:qFormat/>
    <w:uiPriority w:val="0"/>
    <w:rPr>
      <w:rFonts w:hint="eastAsia" w:ascii="宋体" w:hAnsi="宋体" w:eastAsia="宋体" w:cs="宋体"/>
      <w:color w:val="000000"/>
      <w:sz w:val="24"/>
      <w:szCs w:val="24"/>
      <w:u w:val="none"/>
    </w:rPr>
  </w:style>
  <w:style w:type="character" w:customStyle="1" w:styleId="65">
    <w:name w:val="font71"/>
    <w:basedOn w:val="27"/>
    <w:qFormat/>
    <w:uiPriority w:val="0"/>
    <w:rPr>
      <w:rFonts w:hint="default" w:ascii="Times New Roman" w:hAnsi="Times New Roman" w:cs="Times New Roman"/>
      <w:color w:val="000000"/>
      <w:sz w:val="24"/>
      <w:szCs w:val="24"/>
      <w:u w:val="none"/>
    </w:rPr>
  </w:style>
  <w:style w:type="character" w:customStyle="1" w:styleId="66">
    <w:name w:val="font112"/>
    <w:basedOn w:val="27"/>
    <w:qFormat/>
    <w:uiPriority w:val="0"/>
    <w:rPr>
      <w:rFonts w:hint="eastAsia" w:ascii="宋体" w:hAnsi="宋体" w:eastAsia="宋体" w:cs="宋体"/>
      <w:color w:val="FF0000"/>
      <w:sz w:val="24"/>
      <w:szCs w:val="24"/>
      <w:u w:val="none"/>
    </w:rPr>
  </w:style>
  <w:style w:type="character" w:customStyle="1" w:styleId="67">
    <w:name w:val="font91"/>
    <w:basedOn w:val="27"/>
    <w:qFormat/>
    <w:uiPriority w:val="0"/>
    <w:rPr>
      <w:rFonts w:hint="eastAsia" w:ascii="宋体" w:hAnsi="宋体" w:eastAsia="宋体" w:cs="宋体"/>
      <w:color w:val="000000"/>
      <w:sz w:val="24"/>
      <w:szCs w:val="24"/>
      <w:u w:val="none"/>
    </w:rPr>
  </w:style>
  <w:style w:type="character" w:customStyle="1" w:styleId="68">
    <w:name w:val="font121"/>
    <w:basedOn w:val="27"/>
    <w:qFormat/>
    <w:uiPriority w:val="0"/>
    <w:rPr>
      <w:rFonts w:hint="default" w:ascii="Times New Roman" w:hAnsi="Times New Roman" w:cs="Times New Roman"/>
      <w:color w:val="000000"/>
      <w:sz w:val="24"/>
      <w:szCs w:val="24"/>
      <w:u w:val="none"/>
    </w:rPr>
  </w:style>
  <w:style w:type="character" w:customStyle="1" w:styleId="69">
    <w:name w:val="font131"/>
    <w:basedOn w:val="27"/>
    <w:qFormat/>
    <w:uiPriority w:val="0"/>
    <w:rPr>
      <w:rFonts w:hint="eastAsia" w:ascii="宋体" w:hAnsi="宋体" w:eastAsia="宋体" w:cs="宋体"/>
      <w:color w:val="000000"/>
      <w:sz w:val="24"/>
      <w:szCs w:val="24"/>
      <w:u w:val="none"/>
    </w:rPr>
  </w:style>
  <w:style w:type="character" w:customStyle="1" w:styleId="70">
    <w:name w:val="font141"/>
    <w:basedOn w:val="27"/>
    <w:qFormat/>
    <w:uiPriority w:val="0"/>
    <w:rPr>
      <w:rFonts w:hint="default" w:ascii="Times New Roman" w:hAnsi="Times New Roman" w:cs="Times New Roman"/>
      <w:color w:val="000000"/>
      <w:sz w:val="24"/>
      <w:szCs w:val="24"/>
      <w:u w:val="none"/>
    </w:rPr>
  </w:style>
  <w:style w:type="character" w:customStyle="1" w:styleId="71">
    <w:name w:val="font151"/>
    <w:basedOn w:val="27"/>
    <w:qFormat/>
    <w:uiPriority w:val="0"/>
    <w:rPr>
      <w:rFonts w:hint="eastAsia" w:ascii="宋体" w:hAnsi="宋体" w:eastAsia="宋体" w:cs="宋体"/>
      <w:color w:val="000000"/>
      <w:sz w:val="24"/>
      <w:szCs w:val="24"/>
      <w:u w:val="none"/>
    </w:rPr>
  </w:style>
  <w:style w:type="character" w:customStyle="1" w:styleId="72">
    <w:name w:val="font51"/>
    <w:basedOn w:val="27"/>
    <w:qFormat/>
    <w:uiPriority w:val="0"/>
    <w:rPr>
      <w:rFonts w:hint="eastAsia" w:ascii="宋体" w:hAnsi="宋体" w:eastAsia="宋体" w:cs="宋体"/>
      <w:color w:val="000000"/>
      <w:sz w:val="24"/>
      <w:szCs w:val="24"/>
      <w:u w:val="none"/>
    </w:rPr>
  </w:style>
  <w:style w:type="character" w:customStyle="1" w:styleId="73">
    <w:name w:val="font61"/>
    <w:basedOn w:val="27"/>
    <w:qFormat/>
    <w:uiPriority w:val="0"/>
    <w:rPr>
      <w:rFonts w:hint="eastAsia" w:ascii="宋体" w:hAnsi="宋体" w:eastAsia="宋体" w:cs="宋体"/>
      <w:color w:val="000000"/>
      <w:sz w:val="24"/>
      <w:szCs w:val="24"/>
      <w:u w:val="none"/>
    </w:rPr>
  </w:style>
  <w:style w:type="paragraph" w:customStyle="1" w:styleId="74">
    <w:name w:val="表内文字"/>
    <w:basedOn w:val="1"/>
    <w:qFormat/>
    <w:uiPriority w:val="0"/>
    <w:pPr>
      <w:spacing w:line="240" w:lineRule="auto"/>
      <w:ind w:firstLine="0" w:firstLineChars="0"/>
      <w:jc w:val="center"/>
    </w:pPr>
    <w:rPr>
      <w:sz w:val="24"/>
      <w:szCs w:val="20"/>
    </w:rPr>
  </w:style>
  <w:style w:type="paragraph" w:customStyle="1" w:styleId="75">
    <w:name w:val="报告正文"/>
    <w:qFormat/>
    <w:uiPriority w:val="0"/>
    <w:pPr>
      <w:tabs>
        <w:tab w:val="left" w:pos="1350"/>
      </w:tabs>
      <w:spacing w:line="600" w:lineRule="exact"/>
      <w:ind w:firstLine="640" w:firstLineChars="200"/>
      <w:jc w:val="both"/>
    </w:pPr>
    <w:rPr>
      <w:rFonts w:ascii="仿宋_GB2312" w:hAnsi="Times New Roman" w:eastAsia="仿宋_GB2312" w:cs="Times New Roman"/>
      <w:kern w:val="2"/>
      <w:sz w:val="32"/>
      <w:szCs w:val="32"/>
      <w:lang w:val="en-US" w:eastAsia="zh-CN" w:bidi="ar-SA"/>
    </w:rPr>
  </w:style>
  <w:style w:type="character" w:customStyle="1" w:styleId="76">
    <w:name w:val="font81"/>
    <w:qFormat/>
    <w:uiPriority w:val="0"/>
    <w:rPr>
      <w:rFonts w:hint="default" w:ascii="Times New Roman" w:hAnsi="Times New Roman" w:eastAsia="Times New Roman" w:cs="Times New Roman"/>
      <w:b/>
      <w:color w:val="000000"/>
      <w:kern w:val="0"/>
      <w:sz w:val="28"/>
      <w:szCs w:val="28"/>
      <w:u w:val="none"/>
      <w:lang w:eastAsia="en-US"/>
    </w:rPr>
  </w:style>
  <w:style w:type="character" w:customStyle="1" w:styleId="77">
    <w:name w:val="font11"/>
    <w:basedOn w:val="27"/>
    <w:qFormat/>
    <w:uiPriority w:val="0"/>
    <w:rPr>
      <w:rFonts w:hint="eastAsia" w:ascii="宋体" w:hAnsi="宋体" w:eastAsia="宋体" w:cs="宋体"/>
      <w:i/>
      <w:color w:val="000000"/>
      <w:sz w:val="24"/>
      <w:szCs w:val="24"/>
      <w:u w:val="none"/>
    </w:rPr>
  </w:style>
  <w:style w:type="character" w:customStyle="1" w:styleId="78">
    <w:name w:val="font22"/>
    <w:basedOn w:val="27"/>
    <w:qFormat/>
    <w:uiPriority w:val="0"/>
    <w:rPr>
      <w:rFonts w:hint="default" w:ascii="Times New Roman" w:hAnsi="Times New Roman" w:cs="Times New Roman"/>
      <w:color w:val="000000"/>
      <w:sz w:val="24"/>
      <w:szCs w:val="24"/>
      <w:u w:val="none"/>
    </w:rPr>
  </w:style>
  <w:style w:type="character" w:customStyle="1" w:styleId="79">
    <w:name w:val="font161"/>
    <w:basedOn w:val="27"/>
    <w:qFormat/>
    <w:uiPriority w:val="0"/>
    <w:rPr>
      <w:rFonts w:hint="eastAsia" w:ascii="宋体" w:hAnsi="宋体" w:eastAsia="宋体" w:cs="宋体"/>
      <w:color w:val="000000"/>
      <w:sz w:val="24"/>
      <w:szCs w:val="24"/>
      <w:u w:val="none"/>
    </w:rPr>
  </w:style>
  <w:style w:type="character" w:customStyle="1" w:styleId="80">
    <w:name w:val="font171"/>
    <w:basedOn w:val="27"/>
    <w:qFormat/>
    <w:uiPriority w:val="0"/>
    <w:rPr>
      <w:rFonts w:hint="default" w:ascii="Times New Roman" w:hAnsi="Times New Roman" w:cs="Times New Roman"/>
      <w:color w:val="000000"/>
      <w:sz w:val="24"/>
      <w:szCs w:val="24"/>
      <w:u w:val="none"/>
    </w:rPr>
  </w:style>
  <w:style w:type="character" w:customStyle="1" w:styleId="81">
    <w:name w:val="font211"/>
    <w:basedOn w:val="27"/>
    <w:qFormat/>
    <w:uiPriority w:val="0"/>
    <w:rPr>
      <w:rFonts w:hint="default" w:ascii="Times New Roman" w:hAnsi="Times New Roman" w:cs="Times New Roman"/>
      <w:color w:val="000000"/>
      <w:sz w:val="24"/>
      <w:szCs w:val="24"/>
      <w:u w:val="none"/>
      <w:vertAlign w:val="superscript"/>
    </w:rPr>
  </w:style>
  <w:style w:type="character" w:customStyle="1" w:styleId="82">
    <w:name w:val="font181"/>
    <w:basedOn w:val="27"/>
    <w:qFormat/>
    <w:uiPriority w:val="0"/>
    <w:rPr>
      <w:rFonts w:hint="default" w:ascii="Times New Roman" w:hAnsi="Times New Roman" w:cs="Times New Roman"/>
      <w:color w:val="000000"/>
      <w:sz w:val="24"/>
      <w:szCs w:val="24"/>
      <w:u w:val="none"/>
    </w:rPr>
  </w:style>
  <w:style w:type="character" w:customStyle="1" w:styleId="83">
    <w:name w:val="fontstyle01"/>
    <w:basedOn w:val="27"/>
    <w:qFormat/>
    <w:uiPriority w:val="0"/>
    <w:rPr>
      <w:rFonts w:ascii="黑体" w:hAnsi="宋体" w:eastAsia="黑体" w:cs="黑体"/>
      <w:color w:val="000000"/>
      <w:kern w:val="0"/>
      <w:sz w:val="32"/>
      <w:szCs w:val="32"/>
      <w:lang w:eastAsia="en-US"/>
    </w:rPr>
  </w:style>
  <w:style w:type="character" w:customStyle="1" w:styleId="84">
    <w:name w:val="font21"/>
    <w:basedOn w:val="27"/>
    <w:qFormat/>
    <w:uiPriority w:val="0"/>
    <w:rPr>
      <w:rFonts w:hint="eastAsia" w:ascii="仿宋_GB2312" w:eastAsia="仿宋_GB2312" w:cs="仿宋_GB2312"/>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customXml" Target="../customXml/item1.xml"/><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footnotes" Target="footnotes.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header" Target="header6.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C495FF-D530-4668-9AA7-AE8A0C1B22FE}">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150</Pages>
  <Words>68463</Words>
  <Characters>73496</Characters>
  <Lines>561</Lines>
  <Paragraphs>158</Paragraphs>
  <TotalTime>0</TotalTime>
  <ScaleCrop>false</ScaleCrop>
  <LinksUpToDate>false</LinksUpToDate>
  <CharactersWithSpaces>73644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2020-03-11T01:17:00Z</dcterms:created>
  <dc:creator>生态示范审核用户</dc:creator>
  <cp:lastModifiedBy>杜晓阳</cp:lastModifiedBy>
  <cp:lastPrinted>2020-02-17T07:52:00Z</cp:lastPrinted>
  <dcterms:modified xsi:type="dcterms:W3CDTF">2023-02-27T09:17:52Z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8119273585094318ABAC33323C96F4F8</vt:lpwstr>
  </property>
</Properties>
</file>