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p>
      <w:pPr>
        <w:spacing w:line="400" w:lineRule="exact"/>
        <w:ind w:left="1600" w:hanging="1050" w:hangingChars="50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含兴奋剂药品经营专项检查情况统计表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（零售药店）</w:t>
      </w: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填报单位（盖章）：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811"/>
        <w:gridCol w:w="3666"/>
        <w:gridCol w:w="898"/>
        <w:gridCol w:w="1936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/>
          <w:tblHeader/>
          <w:jc w:val="center"/>
        </w:trPr>
        <w:tc>
          <w:tcPr>
            <w:tcW w:w="56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</w:t>
            </w: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检查数量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/>
          <w:jc w:val="center"/>
        </w:trPr>
        <w:tc>
          <w:tcPr>
            <w:tcW w:w="5688" w:type="dxa"/>
            <w:gridSpan w:val="3"/>
            <w:vAlign w:val="center"/>
          </w:tcPr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一、检查药品经营企业情况</w:t>
            </w:r>
          </w:p>
        </w:tc>
        <w:tc>
          <w:tcPr>
            <w:tcW w:w="89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家次</w:t>
            </w:r>
          </w:p>
        </w:tc>
        <w:tc>
          <w:tcPr>
            <w:tcW w:w="193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/>
          <w:jc w:val="center"/>
        </w:trPr>
        <w:tc>
          <w:tcPr>
            <w:tcW w:w="5688" w:type="dxa"/>
            <w:gridSpan w:val="3"/>
            <w:vAlign w:val="center"/>
          </w:tcPr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出动执法人员</w:t>
            </w:r>
          </w:p>
        </w:tc>
        <w:tc>
          <w:tcPr>
            <w:tcW w:w="89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人次</w:t>
            </w:r>
          </w:p>
        </w:tc>
        <w:tc>
          <w:tcPr>
            <w:tcW w:w="193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/>
          <w:jc w:val="center"/>
        </w:trPr>
        <w:tc>
          <w:tcPr>
            <w:tcW w:w="1211" w:type="dxa"/>
            <w:vMerge w:val="restart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药品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零售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</w:t>
            </w:r>
          </w:p>
        </w:tc>
        <w:tc>
          <w:tcPr>
            <w:tcW w:w="4477" w:type="dxa"/>
            <w:gridSpan w:val="2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药品零售企业数</w:t>
            </w:r>
          </w:p>
        </w:tc>
        <w:tc>
          <w:tcPr>
            <w:tcW w:w="89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</w:t>
            </w:r>
          </w:p>
        </w:tc>
        <w:tc>
          <w:tcPr>
            <w:tcW w:w="193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/>
          <w:jc w:val="center"/>
        </w:trPr>
        <w:tc>
          <w:tcPr>
            <w:tcW w:w="1211" w:type="dxa"/>
            <w:vMerge/>
          </w:tcPr>
          <w:p/>
        </w:tc>
        <w:tc>
          <w:tcPr>
            <w:tcW w:w="4477" w:type="dxa"/>
            <w:gridSpan w:val="2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具有蛋肽经营资质企业数</w:t>
            </w:r>
          </w:p>
        </w:tc>
        <w:tc>
          <w:tcPr>
            <w:tcW w:w="89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</w:t>
            </w:r>
          </w:p>
        </w:tc>
        <w:tc>
          <w:tcPr>
            <w:tcW w:w="193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  <w:jc w:val="center"/>
        </w:trPr>
        <w:tc>
          <w:tcPr>
            <w:tcW w:w="1211" w:type="dxa"/>
            <w:vMerge/>
          </w:tcPr>
          <w:p/>
        </w:tc>
        <w:tc>
          <w:tcPr>
            <w:tcW w:w="811" w:type="dxa"/>
            <w:vMerge w:val="restart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4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检查情况</w:t>
            </w:r>
          </w:p>
        </w:tc>
        <w:tc>
          <w:tcPr>
            <w:tcW w:w="3666" w:type="dxa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检查企业数</w:t>
            </w:r>
          </w:p>
        </w:tc>
        <w:tc>
          <w:tcPr>
            <w:tcW w:w="89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家次</w:t>
            </w:r>
          </w:p>
        </w:tc>
        <w:tc>
          <w:tcPr>
            <w:tcW w:w="193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/>
          <w:jc w:val="center"/>
        </w:trPr>
        <w:tc>
          <w:tcPr>
            <w:tcW w:w="1211" w:type="dxa"/>
            <w:vMerge/>
          </w:tcPr>
          <w:p/>
        </w:tc>
        <w:tc>
          <w:tcPr>
            <w:tcW w:w="811" w:type="dxa"/>
            <w:vMerge/>
          </w:tcPr>
          <w:p/>
        </w:tc>
        <w:tc>
          <w:tcPr>
            <w:tcW w:w="3666" w:type="dxa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发现擅自经营蛋肽企业数</w:t>
            </w:r>
          </w:p>
        </w:tc>
        <w:tc>
          <w:tcPr>
            <w:tcW w:w="89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</w:t>
            </w:r>
          </w:p>
        </w:tc>
        <w:tc>
          <w:tcPr>
            <w:tcW w:w="193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/>
          <w:jc w:val="center"/>
        </w:trPr>
        <w:tc>
          <w:tcPr>
            <w:tcW w:w="1211" w:type="dxa"/>
            <w:vMerge/>
          </w:tcPr>
          <w:p/>
        </w:tc>
        <w:tc>
          <w:tcPr>
            <w:tcW w:w="811" w:type="dxa"/>
            <w:vMerge/>
          </w:tcPr>
          <w:p/>
        </w:tc>
        <w:tc>
          <w:tcPr>
            <w:tcW w:w="3666" w:type="dxa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抽查含兴奋剂药品品种数</w:t>
            </w:r>
          </w:p>
        </w:tc>
        <w:tc>
          <w:tcPr>
            <w:tcW w:w="89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93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/>
          <w:jc w:val="center"/>
        </w:trPr>
        <w:tc>
          <w:tcPr>
            <w:tcW w:w="1211" w:type="dxa"/>
            <w:vMerge/>
          </w:tcPr>
          <w:p/>
        </w:tc>
        <w:tc>
          <w:tcPr>
            <w:tcW w:w="811" w:type="dxa"/>
            <w:vMerge/>
          </w:tcPr>
          <w:p/>
        </w:tc>
        <w:tc>
          <w:tcPr>
            <w:tcW w:w="3666" w:type="dxa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发现未加注标识品种数</w:t>
            </w:r>
          </w:p>
        </w:tc>
        <w:tc>
          <w:tcPr>
            <w:tcW w:w="89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93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/>
          <w:jc w:val="center"/>
        </w:trPr>
        <w:tc>
          <w:tcPr>
            <w:tcW w:w="1211" w:type="dxa"/>
            <w:vMerge/>
          </w:tcPr>
          <w:p/>
        </w:tc>
        <w:tc>
          <w:tcPr>
            <w:tcW w:w="811" w:type="dxa"/>
            <w:vMerge/>
          </w:tcPr>
          <w:p/>
        </w:tc>
        <w:tc>
          <w:tcPr>
            <w:tcW w:w="3666" w:type="dxa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责令改正</w:t>
            </w:r>
          </w:p>
        </w:tc>
        <w:tc>
          <w:tcPr>
            <w:tcW w:w="89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</w:t>
            </w:r>
          </w:p>
        </w:tc>
        <w:tc>
          <w:tcPr>
            <w:tcW w:w="193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/>
          <w:jc w:val="center"/>
        </w:trPr>
        <w:tc>
          <w:tcPr>
            <w:tcW w:w="1211" w:type="dxa"/>
            <w:vMerge/>
          </w:tcPr>
          <w:p/>
        </w:tc>
        <w:tc>
          <w:tcPr>
            <w:tcW w:w="811" w:type="dxa"/>
            <w:vMerge/>
          </w:tcPr>
          <w:p/>
        </w:tc>
        <w:tc>
          <w:tcPr>
            <w:tcW w:w="3666" w:type="dxa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立案查处</w:t>
            </w:r>
          </w:p>
        </w:tc>
        <w:tc>
          <w:tcPr>
            <w:tcW w:w="89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</w:t>
            </w:r>
          </w:p>
        </w:tc>
        <w:tc>
          <w:tcPr>
            <w:tcW w:w="193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/>
          <w:jc w:val="center"/>
        </w:trPr>
        <w:tc>
          <w:tcPr>
            <w:tcW w:w="1211" w:type="dxa"/>
            <w:vMerge/>
          </w:tcPr>
          <w:p/>
        </w:tc>
        <w:tc>
          <w:tcPr>
            <w:tcW w:w="811" w:type="dxa"/>
            <w:vMerge/>
          </w:tcPr>
          <w:p/>
        </w:tc>
        <w:tc>
          <w:tcPr>
            <w:tcW w:w="3666" w:type="dxa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罚没款</w:t>
            </w:r>
          </w:p>
        </w:tc>
        <w:tc>
          <w:tcPr>
            <w:tcW w:w="89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193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/>
          <w:jc w:val="center"/>
        </w:trPr>
        <w:tc>
          <w:tcPr>
            <w:tcW w:w="1211" w:type="dxa"/>
            <w:vMerge/>
          </w:tcPr>
          <w:p/>
        </w:tc>
        <w:tc>
          <w:tcPr>
            <w:tcW w:w="811" w:type="dxa"/>
            <w:vMerge/>
          </w:tcPr>
          <w:p/>
        </w:tc>
        <w:tc>
          <w:tcPr>
            <w:tcW w:w="3666" w:type="dxa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吊销许可证</w:t>
            </w:r>
          </w:p>
        </w:tc>
        <w:tc>
          <w:tcPr>
            <w:tcW w:w="89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</w:t>
            </w:r>
          </w:p>
        </w:tc>
        <w:tc>
          <w:tcPr>
            <w:tcW w:w="193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  <w:jc w:val="center"/>
        </w:trPr>
        <w:tc>
          <w:tcPr>
            <w:tcW w:w="8522" w:type="dxa"/>
            <w:gridSpan w:val="5"/>
          </w:tcPr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二、网络治理情况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  <w:jc w:val="center"/>
        </w:trPr>
        <w:tc>
          <w:tcPr>
            <w:tcW w:w="5688" w:type="dxa"/>
            <w:gridSpan w:val="3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违规发布含兴奋剂药品信息网站处理数</w:t>
            </w:r>
          </w:p>
        </w:tc>
        <w:tc>
          <w:tcPr>
            <w:tcW w:w="89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93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  <w:jc w:val="center"/>
        </w:trPr>
        <w:tc>
          <w:tcPr>
            <w:tcW w:w="5688" w:type="dxa"/>
            <w:gridSpan w:val="3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违规进行含兴奋剂药品互联网交易处理数</w:t>
            </w:r>
          </w:p>
        </w:tc>
        <w:tc>
          <w:tcPr>
            <w:tcW w:w="89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93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三、案件线索移送情况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  <w:jc w:val="center"/>
        </w:trPr>
        <w:tc>
          <w:tcPr>
            <w:tcW w:w="5688" w:type="dxa"/>
            <w:gridSpan w:val="3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移送公安机关追究刑事责任</w:t>
            </w:r>
          </w:p>
        </w:tc>
        <w:tc>
          <w:tcPr>
            <w:tcW w:w="89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</w:t>
            </w:r>
          </w:p>
        </w:tc>
        <w:tc>
          <w:tcPr>
            <w:tcW w:w="193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  <w:jc w:val="center"/>
        </w:trPr>
        <w:tc>
          <w:tcPr>
            <w:tcW w:w="5688" w:type="dxa"/>
            <w:gridSpan w:val="3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移送其他部门</w:t>
            </w:r>
          </w:p>
        </w:tc>
        <w:tc>
          <w:tcPr>
            <w:tcW w:w="89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</w:t>
            </w:r>
          </w:p>
        </w:tc>
        <w:tc>
          <w:tcPr>
            <w:tcW w:w="193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3"/>
          <w:jc w:val="center"/>
        </w:trPr>
        <w:tc>
          <w:tcPr>
            <w:tcW w:w="121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检查发现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主要问题</w:t>
            </w:r>
          </w:p>
        </w:tc>
        <w:tc>
          <w:tcPr>
            <w:tcW w:w="7311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00" w:lineRule="exact"/>
        <w:ind w:left="1200" w:hanging="1050" w:hangingChars="50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填表人：              联系电话：            填报日期：    年   月   日</w:t>
      </w:r>
    </w:p>
    <w:p>
      <w:pPr>
        <w:spacing w:line="500" w:lineRule="exact"/>
        <w:ind w:left="1200" w:hanging="1050" w:hangingChars="500"/>
        <w:jc w:val="left"/>
        <w:rPr>
          <w:rFonts w:ascii="仿宋_GB2312" w:eastAsia="仿宋_GB2312"/>
          <w:sz w:val="24"/>
        </w:rPr>
      </w:pPr>
    </w:p>
    <w:p>
      <w:pPr>
        <w:spacing w:line="500" w:lineRule="exact"/>
        <w:ind w:left="1200" w:hanging="1050" w:hangingChars="50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</w:rPr>
        <w:t>填表说明：</w:t>
      </w:r>
      <w:r>
        <w:rPr>
          <w:rFonts w:ascii="仿宋_GB2312" w:eastAsia="仿宋_GB2312" w:hint="eastAsia"/>
          <w:sz w:val="24"/>
          <w:szCs w:val="24"/>
        </w:rPr>
        <w:t>此表由各</w:t>
      </w:r>
      <w:r>
        <w:rPr>
          <w:rFonts w:ascii="仿宋_GB2312" w:eastAsia="仿宋_GB2312" w:hint="eastAsia"/>
          <w:sz w:val="24"/>
          <w:szCs w:val="24"/>
          <w:lang w:eastAsia="zh-CN"/>
        </w:rPr>
        <w:t>县区局和派出机构</w:t>
      </w:r>
      <w:r>
        <w:rPr>
          <w:rFonts w:ascii="仿宋_GB2312" w:eastAsia="仿宋_GB2312" w:hint="eastAsia"/>
          <w:sz w:val="24"/>
          <w:szCs w:val="24"/>
        </w:rPr>
        <w:t>填报，于1</w:t>
      </w:r>
      <w:r>
        <w:rPr>
          <w:rFonts w:ascii="仿宋_GB2312" w:eastAsia="仿宋_GB2312"/>
          <w:sz w:val="24"/>
          <w:szCs w:val="24"/>
        </w:rPr>
        <w:t>2</w:t>
      </w:r>
      <w:r>
        <w:rPr>
          <w:rFonts w:ascii="仿宋_GB2312" w:eastAsia="仿宋_GB2312" w:hint="eastAsia"/>
          <w:sz w:val="24"/>
          <w:szCs w:val="24"/>
        </w:rPr>
        <w:t>月</w:t>
      </w:r>
      <w:r>
        <w:rPr>
          <w:rFonts w:ascii="仿宋_GB2312" w:eastAsia="仿宋_GB2312" w:hint="eastAsia"/>
          <w:sz w:val="24"/>
          <w:szCs w:val="24"/>
          <w:lang w:val="en-US" w:eastAsia="zh-CN"/>
        </w:rPr>
        <w:t>5</w:t>
      </w:r>
      <w:r>
        <w:rPr>
          <w:rFonts w:ascii="仿宋_GB2312" w:eastAsia="仿宋_GB2312" w:hint="eastAsia"/>
          <w:sz w:val="24"/>
          <w:szCs w:val="24"/>
        </w:rPr>
        <w:t>日前报送</w:t>
      </w:r>
      <w:r>
        <w:rPr>
          <w:rFonts w:ascii="仿宋_GB2312" w:eastAsia="仿宋_GB2312" w:hint="eastAsia"/>
          <w:sz w:val="24"/>
          <w:szCs w:val="24"/>
          <w:lang w:eastAsia="zh-CN"/>
        </w:rPr>
        <w:t>市局药品科汇总</w:t>
      </w:r>
      <w:r>
        <w:rPr>
          <w:rFonts w:ascii="仿宋_GB2312" w:eastAsia="仿宋_GB2312" w:hint="eastAsia"/>
          <w:sz w:val="24"/>
          <w:szCs w:val="24"/>
        </w:rPr>
        <w:t>，联系人及电话：</w:t>
      </w:r>
      <w:r>
        <w:rPr>
          <w:rFonts w:ascii="仿宋_GB2312" w:eastAsia="仿宋_GB2312" w:hAnsi="仿宋_GB2312" w:cs="仿宋_GB2312" w:hint="eastAsia"/>
          <w:sz w:val="24"/>
          <w:szCs w:val="24"/>
          <w:shd w:val="clear" w:color="auto" w:fill="auto"/>
          <w:lang w:eastAsia="zh-CN"/>
        </w:rPr>
        <w:t>韦悦银，</w:t>
      </w:r>
      <w:r>
        <w:rPr>
          <w:rFonts w:ascii="仿宋_GB2312" w:eastAsia="仿宋_GB2312" w:hAnsi="仿宋_GB2312" w:cs="仿宋_GB2312" w:hint="eastAsia"/>
          <w:sz w:val="24"/>
          <w:szCs w:val="24"/>
          <w:shd w:val="clear" w:color="auto" w:fill="auto"/>
        </w:rPr>
        <w:t>077</w:t>
      </w:r>
      <w:r>
        <w:rPr>
          <w:rFonts w:ascii="仿宋_GB2312" w:eastAsia="仿宋_GB2312" w:hAnsi="仿宋_GB2312" w:cs="仿宋_GB2312" w:hint="eastAsia"/>
          <w:sz w:val="24"/>
          <w:szCs w:val="24"/>
          <w:shd w:val="clear" w:color="auto" w:fill="auto"/>
          <w:lang w:val="en-US" w:eastAsia="zh-CN"/>
        </w:rPr>
        <w:t>2</w:t>
      </w:r>
      <w:r>
        <w:rPr>
          <w:rFonts w:ascii="仿宋_GB2312" w:eastAsia="仿宋_GB2312" w:hAnsi="仿宋_GB2312" w:cs="仿宋_GB2312" w:hint="eastAsia"/>
          <w:sz w:val="24"/>
          <w:szCs w:val="24"/>
          <w:shd w:val="clear" w:color="auto" w:fill="auto"/>
        </w:rPr>
        <w:t>-</w:t>
      </w:r>
      <w:r>
        <w:rPr>
          <w:rFonts w:ascii="仿宋_GB2312" w:eastAsia="仿宋_GB2312" w:hAnsi="仿宋_GB2312" w:cs="仿宋_GB2312" w:hint="eastAsia"/>
          <w:sz w:val="24"/>
          <w:szCs w:val="24"/>
          <w:shd w:val="clear" w:color="auto" w:fill="auto"/>
          <w:lang w:val="en-US" w:eastAsia="zh-CN"/>
        </w:rPr>
        <w:t>2628782</w:t>
      </w:r>
      <w:r>
        <w:rPr>
          <w:rFonts w:ascii="仿宋_GB2312" w:eastAsia="仿宋_GB2312" w:hint="eastAsia"/>
          <w:sz w:val="24"/>
          <w:szCs w:val="24"/>
        </w:rPr>
        <w:t>。</w:t>
      </w:r>
    </w:p>
    <w:p>
      <w:bookmarkStart w:id="0" w:name="_GoBack"/>
      <w:bookmarkEnd w:id="0"/>
    </w:p>
    <w:sectPr>
      <w:headerReference w:type="default" r:id="rId5"/>
      <w:pgSz w:w="11906" w:h="16838"/>
      <w:pgMar w:top="1701" w:right="1418" w:bottom="1701" w:left="1418" w:header="851" w:footer="992" w:gutter="0"/>
      <w:cols w:num="1" w:space="425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height:0;margin-left:0;margin-top:0;mso-position-horizontal-relative:page;mso-position-vertical-relative:page;position:absolute;width:0;z-index:251658240" filled="f" stroked="f">
          <v:path strokeok="f" textboxrect="0,0,21600,21600"/>
          <v:textbox>
            <w:txbxContent>
              <w:p>
                <w:r>
                  <w:t>ImpTraceLabel=PD94bWwgdmVyc2lvbj0nMS4wJyBlbmNvZGluZz0nVVRGLTgnPz48dHJhY2U+PGNvbnRlbnQ+PC9jb250ZW50PjxhY2NvdW50PjZia2gxeHJjZzliNjVjbnB4cHZpeTQ8L2FjY291bnQ+PG1hY2hpbmVDb2RlPkxDVDg5NkowMDk3MjAKPC9tYWNoaW5lQ29kZT48dGltZT4yMDIzLTEyLTA4IDE1OjQwOjE2PC90aW1lPjxzeXN0ZW0+TUI8c3lzdGVtPjwvdHJhY2U+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uppressAutoHyphens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ar-SA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  <w:lang w:eastAsia="ar-SA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吴文华</cp:lastModifiedBy>
  <cp:revision>7</cp:revision>
  <dcterms:created xsi:type="dcterms:W3CDTF">2022-12-29T17:35:00Z</dcterms:created>
  <dcterms:modified xsi:type="dcterms:W3CDTF">2023-03-08T09:54:31Z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