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0C263">
      <w:pPr>
        <w:spacing w:line="480" w:lineRule="exact"/>
        <w:jc w:val="center"/>
        <w:rPr>
          <w:rFonts w:ascii="黑体" w:hAnsi="黑体" w:eastAsia="黑体"/>
          <w:sz w:val="32"/>
          <w:szCs w:val="32"/>
        </w:rPr>
      </w:pPr>
      <w:bookmarkStart w:id="1" w:name="_GoBack"/>
      <w:r>
        <w:rPr>
          <w:rFonts w:hint="eastAsia" w:ascii="黑体" w:hAnsi="黑体" w:eastAsia="黑体"/>
          <w:sz w:val="32"/>
          <w:szCs w:val="32"/>
        </w:rPr>
        <w:t>2025年</w:t>
      </w:r>
      <w:r>
        <w:rPr>
          <w:rFonts w:hint="eastAsia" w:ascii="黑体" w:hAnsi="黑体" w:eastAsia="黑体"/>
          <w:sz w:val="32"/>
          <w:szCs w:val="32"/>
          <w:lang w:eastAsia="zh-CN"/>
        </w:rPr>
        <w:t>一次性可降解餐饮具</w:t>
      </w:r>
      <w:r>
        <w:rPr>
          <w:rFonts w:hint="eastAsia" w:ascii="黑体" w:hAnsi="黑体" w:eastAsia="黑体"/>
          <w:sz w:val="32"/>
          <w:szCs w:val="32"/>
        </w:rPr>
        <w:t>产品质量柳州市监督抽查实施细则</w:t>
      </w:r>
    </w:p>
    <w:bookmarkEnd w:id="1"/>
    <w:p w14:paraId="1166DE1C">
      <w:pPr>
        <w:pStyle w:val="68"/>
        <w:numPr>
          <w:ilvl w:val="0"/>
          <w:numId w:val="0"/>
        </w:numPr>
        <w:spacing w:beforeLines="0" w:afterLines="0" w:line="480" w:lineRule="exact"/>
      </w:pPr>
      <w:bookmarkStart w:id="0" w:name="_Toc179596492"/>
    </w:p>
    <w:p w14:paraId="69079D9F">
      <w:pPr>
        <w:pStyle w:val="68"/>
        <w:numPr>
          <w:ilvl w:val="0"/>
          <w:numId w:val="0"/>
        </w:numPr>
        <w:spacing w:beforeLines="0" w:afterLines="0" w:line="480" w:lineRule="exact"/>
        <w:rPr>
          <w:color w:val="FF0000"/>
        </w:rPr>
      </w:pPr>
      <w:r>
        <w:rPr>
          <w:rFonts w:hint="eastAsia"/>
        </w:rPr>
        <w:t>1 范围</w:t>
      </w:r>
      <w:bookmarkEnd w:id="0"/>
    </w:p>
    <w:p w14:paraId="0CCF7393">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一次性可降解餐饮具</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eastAsia="zh-CN"/>
        </w:rPr>
        <w:t>一次性可降解餐饮具（</w:t>
      </w:r>
      <w:r>
        <w:rPr>
          <w:rFonts w:hint="eastAsia" w:ascii="宋体" w:hAnsi="宋体" w:cs="Sim Sun"/>
          <w:kern w:val="0"/>
          <w:szCs w:val="21"/>
          <w:lang w:val="en-US" w:eastAsia="zh-CN"/>
        </w:rPr>
        <w:t>杯、碗</w:t>
      </w:r>
      <w:r>
        <w:rPr>
          <w:rFonts w:hint="eastAsia" w:ascii="宋体" w:hAnsi="宋体" w:cs="Sim Sun"/>
          <w:kern w:val="0"/>
          <w:szCs w:val="21"/>
          <w:lang w:eastAsia="zh-CN"/>
        </w:rPr>
        <w:t>）</w:t>
      </w:r>
      <w:r>
        <w:rPr>
          <w:rFonts w:hint="eastAsia" w:ascii="宋体" w:hAnsi="宋体" w:cs="Sim Sun"/>
          <w:kern w:val="0"/>
          <w:szCs w:val="21"/>
          <w:lang w:val="en-US" w:eastAsia="zh-CN"/>
        </w:rPr>
        <w:t>等</w:t>
      </w:r>
      <w:r>
        <w:rPr>
          <w:rFonts w:hint="eastAsia" w:ascii="宋体" w:hAnsi="宋体" w:cs="Sim Sun"/>
          <w:kern w:val="0"/>
          <w:szCs w:val="21"/>
        </w:rPr>
        <w:t>。本细则内容包括产品种类、术语和定义、检验依据、抽样、检验要求、判定原则及异议处理。</w:t>
      </w:r>
    </w:p>
    <w:p w14:paraId="03A87BC8">
      <w:pPr>
        <w:spacing w:line="480" w:lineRule="exact"/>
        <w:ind w:firstLine="420" w:firstLineChars="200"/>
        <w:rPr>
          <w:rFonts w:ascii="宋体" w:hAnsi="宋体" w:cs="Sim Sun"/>
          <w:kern w:val="0"/>
          <w:szCs w:val="21"/>
        </w:rPr>
      </w:pPr>
    </w:p>
    <w:p w14:paraId="023C9765">
      <w:pPr>
        <w:pStyle w:val="68"/>
        <w:numPr>
          <w:ilvl w:val="0"/>
          <w:numId w:val="0"/>
        </w:numPr>
        <w:spacing w:beforeLines="0" w:afterLines="0" w:line="480" w:lineRule="exact"/>
      </w:pPr>
      <w:r>
        <w:rPr>
          <w:rFonts w:hint="eastAsia"/>
        </w:rPr>
        <w:t>2 产品种类</w:t>
      </w:r>
    </w:p>
    <w:p w14:paraId="01B96D8C">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一次性可降解餐饮具：</w:t>
      </w:r>
      <w:r>
        <w:rPr>
          <w:rFonts w:hint="eastAsia" w:ascii="宋体" w:hAnsi="宋体" w:cs="Sim Sun"/>
          <w:kern w:val="0"/>
          <w:szCs w:val="21"/>
          <w:lang w:eastAsia="zh-CN"/>
        </w:rPr>
        <w:t>一次性可降解餐饮具（</w:t>
      </w:r>
      <w:r>
        <w:rPr>
          <w:rFonts w:hint="eastAsia" w:ascii="宋体" w:hAnsi="宋体" w:cs="Sim Sun"/>
          <w:kern w:val="0"/>
          <w:szCs w:val="21"/>
          <w:lang w:val="en-US" w:eastAsia="zh-CN"/>
        </w:rPr>
        <w:t>杯、碗</w:t>
      </w:r>
      <w:r>
        <w:rPr>
          <w:rFonts w:hint="eastAsia" w:ascii="宋体" w:hAnsi="宋体" w:cs="Sim Sun"/>
          <w:kern w:val="0"/>
          <w:szCs w:val="21"/>
          <w:lang w:eastAsia="zh-CN"/>
        </w:rPr>
        <w:t>）</w:t>
      </w:r>
      <w:r>
        <w:rPr>
          <w:rFonts w:hint="eastAsia" w:ascii="宋体" w:hAnsi="宋体" w:cs="Sim Sun"/>
          <w:kern w:val="0"/>
          <w:szCs w:val="21"/>
          <w:lang w:val="en-US" w:eastAsia="zh-CN"/>
        </w:rPr>
        <w:t>等</w:t>
      </w:r>
    </w:p>
    <w:p w14:paraId="1C1D0CE4">
      <w:pPr>
        <w:pStyle w:val="68"/>
        <w:numPr>
          <w:ilvl w:val="0"/>
          <w:numId w:val="0"/>
        </w:numPr>
        <w:spacing w:beforeLines="0" w:afterLines="0" w:line="480" w:lineRule="exact"/>
      </w:pPr>
    </w:p>
    <w:p w14:paraId="5EFA1AFC">
      <w:pPr>
        <w:pStyle w:val="68"/>
        <w:numPr>
          <w:ilvl w:val="0"/>
          <w:numId w:val="0"/>
        </w:numPr>
        <w:spacing w:beforeLines="0" w:afterLines="0" w:line="480" w:lineRule="exact"/>
      </w:pPr>
      <w:r>
        <w:rPr>
          <w:rFonts w:hint="eastAsia"/>
        </w:rPr>
        <w:t>3 术语和定义</w:t>
      </w:r>
    </w:p>
    <w:p w14:paraId="7D3D9C01">
      <w:pPr>
        <w:pStyle w:val="16"/>
        <w:spacing w:line="480" w:lineRule="exact"/>
      </w:pPr>
      <w:r>
        <w:rPr>
          <w:rFonts w:hint="eastAsia"/>
        </w:rPr>
        <w:t>本细则中未列出的术语和定义同相关引用标准。</w:t>
      </w:r>
    </w:p>
    <w:p w14:paraId="1D4AAD50">
      <w:pPr>
        <w:pStyle w:val="16"/>
        <w:spacing w:line="480" w:lineRule="exact"/>
      </w:pPr>
    </w:p>
    <w:p w14:paraId="0ED7DF2A">
      <w:pPr>
        <w:pStyle w:val="68"/>
        <w:numPr>
          <w:ilvl w:val="0"/>
          <w:numId w:val="0"/>
        </w:numPr>
        <w:spacing w:beforeLines="0" w:afterLines="0" w:line="480" w:lineRule="exact"/>
        <w:rPr>
          <w:rFonts w:ascii="宋体"/>
        </w:rPr>
      </w:pPr>
      <w:r>
        <w:rPr>
          <w:rFonts w:hint="eastAsia"/>
        </w:rPr>
        <w:t>4 检验依据</w:t>
      </w:r>
    </w:p>
    <w:p w14:paraId="2287306D">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0B214EE8">
      <w:pPr>
        <w:spacing w:line="480" w:lineRule="exact"/>
        <w:ind w:firstLine="420" w:firstLineChars="200"/>
        <w:rPr>
          <w:rFonts w:hint="eastAsia" w:ascii="宋体" w:hAnsi="宋体" w:eastAsia="宋体" w:cs="Sim Sun"/>
          <w:kern w:val="0"/>
          <w:szCs w:val="21"/>
        </w:rPr>
      </w:pPr>
      <w:r>
        <w:rPr>
          <w:rFonts w:hint="eastAsia" w:ascii="宋体" w:hAnsi="宋体" w:eastAsia="宋体" w:cs="Sim Sun"/>
          <w:kern w:val="0"/>
          <w:szCs w:val="21"/>
        </w:rPr>
        <w:t>GB4806.8-2022食品安全国家标准食品接触用纸和纸板材料及制品</w:t>
      </w:r>
    </w:p>
    <w:p w14:paraId="17DA0AFF">
      <w:pPr>
        <w:spacing w:line="480" w:lineRule="exact"/>
        <w:ind w:firstLine="420" w:firstLineChars="200"/>
        <w:rPr>
          <w:rFonts w:hint="eastAsia" w:ascii="宋体" w:hAnsi="宋体" w:eastAsia="宋体" w:cs="Sim Sun"/>
          <w:kern w:val="0"/>
          <w:szCs w:val="21"/>
        </w:rPr>
      </w:pPr>
      <w:r>
        <w:rPr>
          <w:rFonts w:hint="eastAsia" w:ascii="宋体" w:hAnsi="宋体" w:eastAsia="宋体" w:cs="Sim Sun"/>
          <w:kern w:val="0"/>
          <w:szCs w:val="21"/>
        </w:rPr>
        <w:t>GB4806.7-2023食品安全国家标准食品接触用塑料材料及制品</w:t>
      </w:r>
    </w:p>
    <w:p w14:paraId="0BA84896">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682E0E9D">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047A8562">
      <w:pPr>
        <w:spacing w:line="480" w:lineRule="exact"/>
        <w:ind w:firstLine="420" w:firstLineChars="200"/>
        <w:rPr>
          <w:rFonts w:ascii="宋体" w:hAnsi="宋体" w:cs="Sim Sun"/>
          <w:kern w:val="0"/>
          <w:szCs w:val="21"/>
        </w:rPr>
      </w:pPr>
    </w:p>
    <w:p w14:paraId="1CFB145F">
      <w:pPr>
        <w:pStyle w:val="68"/>
        <w:numPr>
          <w:ilvl w:val="0"/>
          <w:numId w:val="0"/>
        </w:numPr>
        <w:spacing w:beforeLines="0" w:afterLines="0" w:line="480" w:lineRule="exact"/>
      </w:pPr>
      <w:r>
        <w:rPr>
          <w:rFonts w:hint="eastAsia"/>
        </w:rPr>
        <w:t>5 抽样</w:t>
      </w:r>
    </w:p>
    <w:p w14:paraId="7D5B0024">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567FB737">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42D15239">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4A8EB3F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220ED3AD">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217CBA09">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132760D4">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2A7ACA03">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35CE4CE9">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01BC43C3">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3154423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48AABAC1">
      <w:pPr>
        <w:spacing w:line="480" w:lineRule="exact"/>
        <w:ind w:firstLine="420" w:firstLineChars="200"/>
        <w:rPr>
          <w:rFonts w:hint="default"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w:t>
      </w:r>
      <w:r>
        <w:rPr>
          <w:rFonts w:hint="eastAsia" w:ascii="宋体" w:hAnsi="宋体" w:cs="宋体"/>
          <w:kern w:val="0"/>
          <w:szCs w:val="21"/>
        </w:rPr>
        <w:t>：随机抽取</w:t>
      </w:r>
      <w:r>
        <w:rPr>
          <w:rFonts w:hint="eastAsia" w:ascii="宋体" w:hAnsi="宋体" w:cs="宋体"/>
          <w:kern w:val="0"/>
          <w:szCs w:val="21"/>
          <w:lang w:val="en-US" w:eastAsia="zh-CN"/>
        </w:rPr>
        <w:t>100个</w:t>
      </w:r>
      <w:r>
        <w:rPr>
          <w:rFonts w:hint="eastAsia" w:ascii="宋体" w:hAnsi="宋体" w:cs="宋体"/>
          <w:kern w:val="0"/>
          <w:szCs w:val="21"/>
        </w:rPr>
        <w:t>样品</w:t>
      </w:r>
      <w:r>
        <w:rPr>
          <w:rFonts w:hint="eastAsia" w:ascii="宋体" w:hAnsi="宋体" w:cs="宋体"/>
          <w:kern w:val="0"/>
          <w:szCs w:val="21"/>
          <w:lang w:eastAsia="zh-CN"/>
        </w:rPr>
        <w:t>（</w:t>
      </w:r>
      <w:r>
        <w:rPr>
          <w:rFonts w:hint="eastAsia" w:ascii="宋体" w:hAnsi="宋体" w:cs="宋体"/>
          <w:kern w:val="0"/>
          <w:szCs w:val="21"/>
          <w:lang w:val="en-US" w:eastAsia="zh-CN"/>
        </w:rPr>
        <w:t>至少6个独立包装</w:t>
      </w:r>
      <w:r>
        <w:rPr>
          <w:rFonts w:hint="eastAsia" w:ascii="宋体" w:hAnsi="宋体" w:cs="宋体"/>
          <w:kern w:val="0"/>
          <w:szCs w:val="21"/>
          <w:lang w:eastAsia="zh-CN"/>
        </w:rPr>
        <w:t>）</w:t>
      </w:r>
      <w:r>
        <w:rPr>
          <w:rFonts w:hint="eastAsia" w:ascii="宋体" w:hAnsi="宋体" w:cs="宋体"/>
          <w:kern w:val="0"/>
          <w:szCs w:val="21"/>
        </w:rPr>
        <w:t>，</w:t>
      </w:r>
      <w:r>
        <w:rPr>
          <w:rFonts w:hint="eastAsia" w:ascii="宋体" w:hAnsi="宋体" w:cs="宋体"/>
          <w:kern w:val="0"/>
          <w:szCs w:val="21"/>
          <w:lang w:val="en-US" w:eastAsia="zh-CN"/>
        </w:rPr>
        <w:t>50个</w:t>
      </w:r>
      <w:r>
        <w:rPr>
          <w:rFonts w:hint="eastAsia" w:ascii="宋体" w:hAnsi="宋体" w:cs="宋体"/>
          <w:kern w:val="0"/>
          <w:szCs w:val="21"/>
          <w:lang w:eastAsia="zh-CN"/>
        </w:rPr>
        <w:t>（</w:t>
      </w:r>
      <w:r>
        <w:rPr>
          <w:rFonts w:hint="eastAsia" w:ascii="宋体" w:hAnsi="宋体" w:cs="宋体"/>
          <w:kern w:val="0"/>
          <w:szCs w:val="21"/>
          <w:lang w:val="en-US" w:eastAsia="zh-CN"/>
        </w:rPr>
        <w:t>至少3个独立包装</w:t>
      </w:r>
      <w:r>
        <w:rPr>
          <w:rFonts w:hint="eastAsia" w:ascii="宋体" w:hAnsi="宋体" w:cs="宋体"/>
          <w:kern w:val="0"/>
          <w:szCs w:val="21"/>
          <w:lang w:eastAsia="zh-CN"/>
        </w:rPr>
        <w:t>）</w:t>
      </w:r>
      <w:r>
        <w:rPr>
          <w:rFonts w:hint="eastAsia" w:ascii="宋体" w:hAnsi="宋体" w:cs="宋体"/>
          <w:kern w:val="0"/>
          <w:szCs w:val="21"/>
        </w:rPr>
        <w:t>作为检验样品带回承检机构，</w:t>
      </w:r>
      <w:r>
        <w:rPr>
          <w:rFonts w:hint="eastAsia" w:ascii="宋体" w:hAnsi="宋体" w:cs="宋体"/>
          <w:kern w:val="0"/>
          <w:szCs w:val="21"/>
          <w:lang w:val="en-US" w:eastAsia="zh-CN"/>
        </w:rPr>
        <w:t>50个</w:t>
      </w:r>
      <w:r>
        <w:rPr>
          <w:rFonts w:hint="eastAsia" w:ascii="宋体" w:hAnsi="宋体" w:cs="宋体"/>
          <w:kern w:val="0"/>
          <w:szCs w:val="21"/>
          <w:lang w:eastAsia="zh-CN"/>
        </w:rPr>
        <w:t>（</w:t>
      </w:r>
      <w:r>
        <w:rPr>
          <w:rFonts w:hint="eastAsia" w:ascii="宋体" w:hAnsi="宋体" w:cs="宋体"/>
          <w:kern w:val="0"/>
          <w:szCs w:val="21"/>
          <w:lang w:val="en-US" w:eastAsia="zh-CN"/>
        </w:rPr>
        <w:t>至少3个独立包装</w:t>
      </w:r>
      <w:r>
        <w:rPr>
          <w:rFonts w:hint="eastAsia" w:ascii="宋体" w:hAnsi="宋体" w:cs="宋体"/>
          <w:kern w:val="0"/>
          <w:szCs w:val="21"/>
          <w:lang w:eastAsia="zh-CN"/>
        </w:rPr>
        <w:t>）</w:t>
      </w:r>
      <w:r>
        <w:rPr>
          <w:rFonts w:hint="eastAsia" w:ascii="宋体" w:hAnsi="宋体" w:cs="宋体"/>
          <w:kern w:val="0"/>
          <w:szCs w:val="21"/>
        </w:rPr>
        <w:t>作为备用样品封存于受检单位</w:t>
      </w:r>
      <w:r>
        <w:rPr>
          <w:rFonts w:hint="eastAsia" w:ascii="宋体" w:hAnsi="宋体" w:cs="宋体"/>
          <w:kern w:val="0"/>
          <w:szCs w:val="21"/>
          <w:lang w:eastAsia="zh-CN"/>
        </w:rPr>
        <w:t>（</w:t>
      </w:r>
      <w:r>
        <w:rPr>
          <w:rFonts w:hint="eastAsia" w:ascii="宋体" w:hAnsi="宋体" w:cs="宋体"/>
          <w:kern w:val="0"/>
          <w:szCs w:val="21"/>
          <w:lang w:val="en-US" w:eastAsia="zh-CN"/>
        </w:rPr>
        <w:t>电商领域需封存在检验机构</w:t>
      </w:r>
      <w:r>
        <w:rPr>
          <w:rFonts w:hint="eastAsia" w:ascii="宋体" w:hAnsi="宋体" w:cs="宋体"/>
          <w:kern w:val="0"/>
          <w:szCs w:val="21"/>
          <w:lang w:eastAsia="zh-CN"/>
        </w:rPr>
        <w:t>）</w:t>
      </w:r>
      <w:r>
        <w:rPr>
          <w:rFonts w:hint="eastAsia" w:ascii="宋体" w:hAnsi="宋体" w:cs="宋体"/>
          <w:kern w:val="0"/>
          <w:szCs w:val="21"/>
          <w:lang w:val="en-US" w:eastAsia="zh-CN"/>
        </w:rPr>
        <w:t>。</w:t>
      </w:r>
    </w:p>
    <w:p w14:paraId="5933C8F7">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14:paraId="04A4ABD9">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71DAD11A">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282DE7E7">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3B786491">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7CD9AFE4">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675CDE6A">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724F7026">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6051B3F4">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7B0EE7F1">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45030659">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12D5579A">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3B0DF10D">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337179D1">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4DD1582D">
      <w:pPr>
        <w:pStyle w:val="68"/>
        <w:numPr>
          <w:ilvl w:val="0"/>
          <w:numId w:val="0"/>
        </w:numPr>
        <w:spacing w:beforeLines="0" w:afterLines="0" w:line="480" w:lineRule="exact"/>
      </w:pPr>
    </w:p>
    <w:p w14:paraId="77070517">
      <w:pPr>
        <w:pStyle w:val="68"/>
        <w:numPr>
          <w:ilvl w:val="0"/>
          <w:numId w:val="0"/>
        </w:numPr>
        <w:spacing w:beforeLines="0" w:afterLines="0" w:line="480" w:lineRule="exact"/>
      </w:pPr>
      <w:r>
        <w:rPr>
          <w:rFonts w:hint="eastAsia"/>
        </w:rPr>
        <w:t>6 检验要求</w:t>
      </w:r>
    </w:p>
    <w:p w14:paraId="19574901">
      <w:pPr>
        <w:pStyle w:val="16"/>
        <w:spacing w:line="480" w:lineRule="exact"/>
      </w:pPr>
      <w:r>
        <w:rPr>
          <w:rFonts w:hint="eastAsia"/>
          <w:lang w:eastAsia="zh-CN"/>
        </w:rPr>
        <w:t>一次性可降解餐饮具</w:t>
      </w:r>
      <w:r>
        <w:rPr>
          <w:rFonts w:hint="eastAsia"/>
        </w:rPr>
        <w:t>的检验项目见表1。</w:t>
      </w:r>
    </w:p>
    <w:p w14:paraId="36B4E487">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一次性可降解餐饮具</w:t>
      </w:r>
      <w:r>
        <w:rPr>
          <w:rFonts w:hint="eastAsia" w:ascii="宋体" w:hAnsi="宋体"/>
          <w:szCs w:val="21"/>
        </w:rPr>
        <w:t>的检验项目、依据及方法等要求</w:t>
      </w:r>
    </w:p>
    <w:tbl>
      <w:tblPr>
        <w:tblStyle w:val="22"/>
        <w:tblW w:w="49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4"/>
        <w:gridCol w:w="3386"/>
        <w:gridCol w:w="2221"/>
        <w:gridCol w:w="2518"/>
      </w:tblGrid>
      <w:tr w14:paraId="24B7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 w:hRule="atLeast"/>
          <w:jc w:val="center"/>
        </w:trPr>
        <w:tc>
          <w:tcPr>
            <w:tcW w:w="520" w:type="pct"/>
            <w:tcBorders>
              <w:top w:val="single" w:color="auto" w:sz="4" w:space="0"/>
              <w:left w:val="single" w:color="auto" w:sz="4" w:space="0"/>
              <w:right w:val="single" w:color="auto" w:sz="4" w:space="0"/>
            </w:tcBorders>
            <w:vAlign w:val="center"/>
          </w:tcPr>
          <w:p w14:paraId="4C9B92C9">
            <w:pPr>
              <w:jc w:val="center"/>
            </w:pPr>
            <w:r>
              <w:rPr>
                <w:rFonts w:hint="eastAsia"/>
              </w:rPr>
              <w:t>序号</w:t>
            </w:r>
          </w:p>
        </w:tc>
        <w:tc>
          <w:tcPr>
            <w:tcW w:w="1866" w:type="pct"/>
            <w:tcBorders>
              <w:top w:val="single" w:color="auto" w:sz="4" w:space="0"/>
              <w:left w:val="single" w:color="auto" w:sz="4" w:space="0"/>
              <w:right w:val="single" w:color="auto" w:sz="4" w:space="0"/>
            </w:tcBorders>
            <w:vAlign w:val="center"/>
          </w:tcPr>
          <w:p w14:paraId="32666FD1">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14:paraId="3FA5AC8A">
            <w:pPr>
              <w:jc w:val="center"/>
            </w:pPr>
            <w:r>
              <w:rPr>
                <w:rFonts w:hint="eastAsia"/>
              </w:rPr>
              <w:t>检验依据</w:t>
            </w:r>
          </w:p>
        </w:tc>
        <w:tc>
          <w:tcPr>
            <w:tcW w:w="1387" w:type="pct"/>
            <w:tcBorders>
              <w:top w:val="single" w:color="auto" w:sz="4" w:space="0"/>
              <w:left w:val="single" w:color="auto" w:sz="4" w:space="0"/>
              <w:right w:val="single" w:color="auto" w:sz="4" w:space="0"/>
            </w:tcBorders>
            <w:vAlign w:val="center"/>
          </w:tcPr>
          <w:p w14:paraId="0D224921">
            <w:pPr>
              <w:jc w:val="center"/>
            </w:pPr>
            <w:r>
              <w:rPr>
                <w:rFonts w:hint="eastAsia"/>
              </w:rPr>
              <w:t>检验方法</w:t>
            </w:r>
          </w:p>
        </w:tc>
      </w:tr>
      <w:tr w14:paraId="5FBC5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exact"/>
          <w:jc w:val="center"/>
        </w:trPr>
        <w:tc>
          <w:tcPr>
            <w:tcW w:w="520" w:type="pct"/>
            <w:tcBorders>
              <w:top w:val="single" w:color="auto" w:sz="4" w:space="0"/>
              <w:left w:val="single" w:color="auto" w:sz="4" w:space="0"/>
              <w:right w:val="single" w:color="auto" w:sz="4" w:space="0"/>
            </w:tcBorders>
            <w:vAlign w:val="center"/>
          </w:tcPr>
          <w:p w14:paraId="171A37FF">
            <w:pPr>
              <w:jc w:val="center"/>
            </w:pPr>
            <w:r>
              <w:rPr>
                <w:rFonts w:hint="eastAsia"/>
              </w:rPr>
              <w:t>1</w:t>
            </w:r>
          </w:p>
        </w:tc>
        <w:tc>
          <w:tcPr>
            <w:tcW w:w="1866" w:type="pct"/>
            <w:tcBorders>
              <w:top w:val="single" w:color="auto" w:sz="4" w:space="0"/>
              <w:left w:val="single" w:color="auto" w:sz="4" w:space="0"/>
              <w:bottom w:val="single" w:color="auto" w:sz="4" w:space="0"/>
              <w:right w:val="single" w:color="auto" w:sz="4" w:space="0"/>
            </w:tcBorders>
            <w:vAlign w:val="center"/>
          </w:tcPr>
          <w:p w14:paraId="35FE35A6">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感官</w:t>
            </w:r>
          </w:p>
        </w:tc>
        <w:tc>
          <w:tcPr>
            <w:tcW w:w="1224" w:type="pct"/>
            <w:vMerge w:val="restart"/>
            <w:tcBorders>
              <w:top w:val="single" w:color="auto" w:sz="4" w:space="0"/>
              <w:left w:val="single" w:color="auto" w:sz="4" w:space="0"/>
              <w:right w:val="single" w:color="auto" w:sz="4" w:space="0"/>
            </w:tcBorders>
            <w:vAlign w:val="center"/>
          </w:tcPr>
          <w:p w14:paraId="0FB8A1CA">
            <w:pPr>
              <w:jc w:val="center"/>
              <w:rPr>
                <w:rFonts w:hint="eastAsia" w:ascii="Times New Roman" w:hAnsi="Times New Roman" w:eastAsia="宋体" w:cs="Times New Roman"/>
              </w:rPr>
            </w:pPr>
            <w:r>
              <w:rPr>
                <w:rFonts w:hint="eastAsia" w:ascii="Times New Roman" w:hAnsi="Times New Roman" w:eastAsia="宋体" w:cs="Times New Roman"/>
              </w:rPr>
              <w:t>GB4806.8-2022</w:t>
            </w:r>
          </w:p>
          <w:p w14:paraId="45957BB4">
            <w:pPr>
              <w:jc w:val="center"/>
              <w:rPr>
                <w:rFonts w:hint="eastAsia" w:ascii="Times New Roman" w:hAnsi="Times New Roman" w:eastAsia="宋体" w:cs="Times New Roman"/>
              </w:rPr>
            </w:pPr>
            <w:r>
              <w:rPr>
                <w:rFonts w:hint="eastAsia" w:ascii="Times New Roman" w:hAnsi="Times New Roman" w:eastAsia="宋体" w:cs="Times New Roman"/>
              </w:rPr>
              <w:t>GB4806.7-2023</w:t>
            </w:r>
          </w:p>
          <w:p w14:paraId="4E52A4E8">
            <w:pPr>
              <w:jc w:val="both"/>
              <w:rPr>
                <w:rFonts w:hint="eastAsia" w:ascii="Times New Roman" w:hAnsi="Times New Roman" w:eastAsia="宋体" w:cs="Times New Roman"/>
              </w:rPr>
            </w:pPr>
          </w:p>
        </w:tc>
        <w:tc>
          <w:tcPr>
            <w:tcW w:w="1387" w:type="pct"/>
            <w:tcBorders>
              <w:top w:val="single" w:color="auto" w:sz="4" w:space="0"/>
              <w:left w:val="single" w:color="auto" w:sz="4" w:space="0"/>
              <w:right w:val="single" w:color="auto" w:sz="4" w:space="0"/>
            </w:tcBorders>
            <w:vAlign w:val="center"/>
          </w:tcPr>
          <w:p w14:paraId="0D5D159E">
            <w:pPr>
              <w:jc w:val="center"/>
              <w:rPr>
                <w:rFonts w:hint="eastAsia" w:ascii="Times New Roman" w:hAnsi="Times New Roman" w:eastAsia="宋体" w:cs="Times New Roman"/>
              </w:rPr>
            </w:pPr>
            <w:r>
              <w:rPr>
                <w:rFonts w:hint="eastAsia" w:ascii="Times New Roman" w:hAnsi="Times New Roman" w:eastAsia="宋体" w:cs="Times New Roman"/>
              </w:rPr>
              <w:t>GB 4806.8-2022</w:t>
            </w:r>
          </w:p>
        </w:tc>
      </w:tr>
      <w:tr w14:paraId="28E4B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1A0BAF94">
            <w:pPr>
              <w:jc w:val="center"/>
            </w:pPr>
            <w:r>
              <w:rPr>
                <w:rFonts w:hint="eastAsia"/>
              </w:rPr>
              <w:t>2</w:t>
            </w:r>
          </w:p>
        </w:tc>
        <w:tc>
          <w:tcPr>
            <w:tcW w:w="1866" w:type="pct"/>
            <w:tcBorders>
              <w:top w:val="single" w:color="auto" w:sz="4" w:space="0"/>
              <w:left w:val="single" w:color="auto" w:sz="4" w:space="0"/>
              <w:bottom w:val="single" w:color="auto" w:sz="4" w:space="0"/>
              <w:right w:val="single" w:color="auto" w:sz="4" w:space="0"/>
            </w:tcBorders>
            <w:vAlign w:val="center"/>
          </w:tcPr>
          <w:p w14:paraId="7FB8E454">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浸泡液</w:t>
            </w:r>
          </w:p>
        </w:tc>
        <w:tc>
          <w:tcPr>
            <w:tcW w:w="1224" w:type="pct"/>
            <w:vMerge w:val="continue"/>
            <w:tcBorders>
              <w:left w:val="single" w:color="auto" w:sz="4" w:space="0"/>
              <w:right w:val="single" w:color="auto" w:sz="4" w:space="0"/>
            </w:tcBorders>
            <w:vAlign w:val="center"/>
          </w:tcPr>
          <w:p w14:paraId="613C70FD">
            <w:pPr>
              <w:jc w:val="center"/>
              <w:rPr>
                <w:rFonts w:hint="eastAsia" w:ascii="Times New Roman" w:hAnsi="Times New Roman" w:eastAsia="宋体" w:cs="Times New Roman"/>
              </w:rPr>
            </w:pPr>
          </w:p>
        </w:tc>
        <w:tc>
          <w:tcPr>
            <w:tcW w:w="1387" w:type="pct"/>
            <w:tcBorders>
              <w:left w:val="single" w:color="auto" w:sz="4" w:space="0"/>
              <w:right w:val="single" w:color="auto" w:sz="4" w:space="0"/>
            </w:tcBorders>
            <w:vAlign w:val="center"/>
          </w:tcPr>
          <w:p w14:paraId="15F4D32F">
            <w:pPr>
              <w:jc w:val="center"/>
              <w:rPr>
                <w:rFonts w:hint="eastAsia" w:ascii="Times New Roman" w:hAnsi="Times New Roman" w:eastAsia="宋体" w:cs="Times New Roman"/>
              </w:rPr>
            </w:pPr>
            <w:r>
              <w:rPr>
                <w:rFonts w:hint="eastAsia" w:ascii="Times New Roman" w:hAnsi="Times New Roman" w:eastAsia="宋体" w:cs="Times New Roman"/>
              </w:rPr>
              <w:t>GB 4806.8-2022</w:t>
            </w:r>
          </w:p>
        </w:tc>
      </w:tr>
      <w:tr w14:paraId="7EC21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55F1A0B6">
            <w:pPr>
              <w:jc w:val="center"/>
            </w:pPr>
            <w:r>
              <w:rPr>
                <w:rFonts w:hint="eastAsia"/>
              </w:rPr>
              <w:t>3</w:t>
            </w:r>
          </w:p>
        </w:tc>
        <w:tc>
          <w:tcPr>
            <w:tcW w:w="1866" w:type="pct"/>
            <w:tcBorders>
              <w:top w:val="single" w:color="auto" w:sz="4" w:space="0"/>
              <w:left w:val="single" w:color="auto" w:sz="4" w:space="0"/>
              <w:bottom w:val="single" w:color="auto" w:sz="4" w:space="0"/>
              <w:right w:val="single" w:color="auto" w:sz="4" w:space="0"/>
            </w:tcBorders>
            <w:vAlign w:val="center"/>
          </w:tcPr>
          <w:p w14:paraId="67E106DE">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铅</w:t>
            </w:r>
          </w:p>
        </w:tc>
        <w:tc>
          <w:tcPr>
            <w:tcW w:w="1224" w:type="pct"/>
            <w:vMerge w:val="continue"/>
            <w:tcBorders>
              <w:left w:val="single" w:color="auto" w:sz="4" w:space="0"/>
              <w:right w:val="single" w:color="auto" w:sz="4" w:space="0"/>
            </w:tcBorders>
            <w:vAlign w:val="center"/>
          </w:tcPr>
          <w:p w14:paraId="02C870CC">
            <w:pPr>
              <w:jc w:val="center"/>
              <w:rPr>
                <w:rFonts w:hint="eastAsia" w:ascii="Times New Roman" w:hAnsi="Times New Roman" w:eastAsia="宋体" w:cs="Times New Roman"/>
              </w:rPr>
            </w:pPr>
          </w:p>
        </w:tc>
        <w:tc>
          <w:tcPr>
            <w:tcW w:w="2518" w:type="dxa"/>
            <w:tcBorders>
              <w:left w:val="single" w:color="auto" w:sz="4" w:space="0"/>
              <w:right w:val="single" w:color="auto" w:sz="4" w:space="0"/>
            </w:tcBorders>
            <w:vAlign w:val="center"/>
          </w:tcPr>
          <w:p w14:paraId="295C11FD">
            <w:pPr>
              <w:jc w:val="center"/>
              <w:rPr>
                <w:rFonts w:hint="eastAsia" w:ascii="Times New Roman" w:hAnsi="Times New Roman" w:eastAsia="宋体" w:cs="Times New Roman"/>
              </w:rPr>
            </w:pPr>
            <w:r>
              <w:rPr>
                <w:rFonts w:hint="eastAsia" w:ascii="Times New Roman" w:hAnsi="Times New Roman" w:eastAsia="宋体" w:cs="Times New Roman"/>
                <w:lang w:val="en-US" w:eastAsia="zh-CN"/>
              </w:rPr>
              <w:t>GB 31604.34-2016</w:t>
            </w:r>
            <w:r>
              <w:rPr>
                <w:rFonts w:hint="eastAsia"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GB 31604.49-2023</w:t>
            </w:r>
          </w:p>
        </w:tc>
      </w:tr>
      <w:tr w14:paraId="3FD7C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464EAE60">
            <w:pPr>
              <w:jc w:val="center"/>
            </w:pPr>
            <w:r>
              <w:rPr>
                <w:rFonts w:hint="eastAsia"/>
              </w:rPr>
              <w:t>4</w:t>
            </w:r>
          </w:p>
        </w:tc>
        <w:tc>
          <w:tcPr>
            <w:tcW w:w="1866" w:type="pct"/>
            <w:tcBorders>
              <w:top w:val="single" w:color="auto" w:sz="4" w:space="0"/>
              <w:left w:val="single" w:color="auto" w:sz="4" w:space="0"/>
              <w:bottom w:val="single" w:color="auto" w:sz="4" w:space="0"/>
              <w:right w:val="single" w:color="auto" w:sz="4" w:space="0"/>
            </w:tcBorders>
            <w:vAlign w:val="center"/>
          </w:tcPr>
          <w:p w14:paraId="6CC55721">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砷</w:t>
            </w:r>
          </w:p>
        </w:tc>
        <w:tc>
          <w:tcPr>
            <w:tcW w:w="1224" w:type="pct"/>
            <w:vMerge w:val="continue"/>
            <w:tcBorders>
              <w:left w:val="single" w:color="auto" w:sz="4" w:space="0"/>
              <w:right w:val="single" w:color="auto" w:sz="4" w:space="0"/>
            </w:tcBorders>
            <w:vAlign w:val="center"/>
          </w:tcPr>
          <w:p w14:paraId="0FA31F15">
            <w:pPr>
              <w:jc w:val="center"/>
              <w:rPr>
                <w:rFonts w:hint="eastAsia" w:ascii="Times New Roman" w:hAnsi="Times New Roman" w:eastAsia="宋体" w:cs="Times New Roman"/>
              </w:rPr>
            </w:pPr>
          </w:p>
        </w:tc>
        <w:tc>
          <w:tcPr>
            <w:tcW w:w="2518" w:type="dxa"/>
            <w:tcBorders>
              <w:left w:val="single" w:color="auto" w:sz="4" w:space="0"/>
              <w:right w:val="single" w:color="auto" w:sz="4" w:space="0"/>
            </w:tcBorders>
            <w:vAlign w:val="center"/>
          </w:tcPr>
          <w:p w14:paraId="0A0D0CAD">
            <w:pPr>
              <w:jc w:val="center"/>
              <w:rPr>
                <w:rFonts w:hint="eastAsia" w:ascii="Times New Roman" w:hAnsi="Times New Roman" w:eastAsia="宋体" w:cs="Times New Roman"/>
              </w:rPr>
            </w:pPr>
            <w:r>
              <w:rPr>
                <w:rFonts w:hint="eastAsia" w:ascii="Times New Roman" w:hAnsi="Times New Roman" w:eastAsia="宋体" w:cs="Times New Roman"/>
                <w:lang w:val="en-US" w:eastAsia="zh-CN"/>
              </w:rPr>
              <w:t>GB 31604.38-2016</w:t>
            </w:r>
            <w:r>
              <w:rPr>
                <w:rFonts w:hint="eastAsia"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GB 31604.49-2023</w:t>
            </w:r>
          </w:p>
        </w:tc>
      </w:tr>
      <w:tr w14:paraId="6A431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190709D6">
            <w:pPr>
              <w:jc w:val="center"/>
            </w:pPr>
            <w:r>
              <w:rPr>
                <w:rFonts w:hint="eastAsia"/>
              </w:rPr>
              <w:t>5</w:t>
            </w:r>
          </w:p>
        </w:tc>
        <w:tc>
          <w:tcPr>
            <w:tcW w:w="1866" w:type="pct"/>
            <w:tcBorders>
              <w:top w:val="single" w:color="auto" w:sz="4" w:space="0"/>
              <w:left w:val="single" w:color="auto" w:sz="4" w:space="0"/>
              <w:bottom w:val="single" w:color="auto" w:sz="4" w:space="0"/>
              <w:right w:val="single" w:color="auto" w:sz="4" w:space="0"/>
            </w:tcBorders>
            <w:vAlign w:val="center"/>
          </w:tcPr>
          <w:p w14:paraId="5BE9543D">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甲醛</w:t>
            </w:r>
          </w:p>
        </w:tc>
        <w:tc>
          <w:tcPr>
            <w:tcW w:w="1224" w:type="pct"/>
            <w:vMerge w:val="continue"/>
            <w:tcBorders>
              <w:left w:val="single" w:color="auto" w:sz="4" w:space="0"/>
              <w:right w:val="single" w:color="auto" w:sz="4" w:space="0"/>
            </w:tcBorders>
            <w:vAlign w:val="center"/>
          </w:tcPr>
          <w:p w14:paraId="3B57258A">
            <w:pPr>
              <w:jc w:val="center"/>
              <w:rPr>
                <w:rFonts w:hint="eastAsia" w:ascii="Times New Roman" w:hAnsi="Times New Roman" w:eastAsia="宋体" w:cs="Times New Roman"/>
              </w:rPr>
            </w:pPr>
          </w:p>
        </w:tc>
        <w:tc>
          <w:tcPr>
            <w:tcW w:w="1387" w:type="pct"/>
            <w:tcBorders>
              <w:left w:val="single" w:color="auto" w:sz="4" w:space="0"/>
              <w:right w:val="single" w:color="auto" w:sz="4" w:space="0"/>
            </w:tcBorders>
            <w:vAlign w:val="center"/>
          </w:tcPr>
          <w:p w14:paraId="6DB07096">
            <w:pPr>
              <w:jc w:val="center"/>
              <w:rPr>
                <w:rFonts w:hint="eastAsia" w:ascii="Times New Roman" w:hAnsi="Times New Roman" w:eastAsia="宋体" w:cs="Times New Roman"/>
              </w:rPr>
            </w:pPr>
            <w:r>
              <w:rPr>
                <w:rFonts w:hint="eastAsia" w:ascii="Times New Roman" w:hAnsi="Times New Roman" w:eastAsia="宋体" w:cs="Times New Roman"/>
              </w:rPr>
              <w:t>GB 31604.48-2016</w:t>
            </w:r>
          </w:p>
        </w:tc>
      </w:tr>
      <w:tr w14:paraId="18A0A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16B4C331">
            <w:pPr>
              <w:jc w:val="center"/>
            </w:pPr>
            <w:r>
              <w:rPr>
                <w:rFonts w:hint="eastAsia"/>
              </w:rPr>
              <w:t>6</w:t>
            </w:r>
          </w:p>
        </w:tc>
        <w:tc>
          <w:tcPr>
            <w:tcW w:w="1866" w:type="pct"/>
            <w:tcBorders>
              <w:top w:val="single" w:color="auto" w:sz="4" w:space="0"/>
              <w:left w:val="single" w:color="auto" w:sz="4" w:space="0"/>
              <w:bottom w:val="single" w:color="auto" w:sz="4" w:space="0"/>
              <w:right w:val="single" w:color="auto" w:sz="4" w:space="0"/>
            </w:tcBorders>
            <w:vAlign w:val="center"/>
          </w:tcPr>
          <w:p w14:paraId="487C7EB0">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荧光性物质</w:t>
            </w:r>
          </w:p>
        </w:tc>
        <w:tc>
          <w:tcPr>
            <w:tcW w:w="1224" w:type="pct"/>
            <w:vMerge w:val="continue"/>
            <w:tcBorders>
              <w:left w:val="single" w:color="auto" w:sz="4" w:space="0"/>
              <w:right w:val="single" w:color="auto" w:sz="4" w:space="0"/>
            </w:tcBorders>
            <w:vAlign w:val="center"/>
          </w:tcPr>
          <w:p w14:paraId="28F41BAD">
            <w:pPr>
              <w:jc w:val="center"/>
              <w:rPr>
                <w:rFonts w:hint="eastAsia" w:ascii="Times New Roman" w:hAnsi="Times New Roman" w:eastAsia="宋体" w:cs="Times New Roman"/>
              </w:rPr>
            </w:pPr>
          </w:p>
        </w:tc>
        <w:tc>
          <w:tcPr>
            <w:tcW w:w="1387" w:type="pct"/>
            <w:tcBorders>
              <w:left w:val="single" w:color="auto" w:sz="4" w:space="0"/>
              <w:right w:val="single" w:color="auto" w:sz="4" w:space="0"/>
            </w:tcBorders>
            <w:vAlign w:val="center"/>
          </w:tcPr>
          <w:p w14:paraId="0EFCF00A">
            <w:pPr>
              <w:jc w:val="center"/>
              <w:rPr>
                <w:rFonts w:hint="eastAsia" w:ascii="Times New Roman" w:hAnsi="Times New Roman" w:eastAsia="宋体" w:cs="Times New Roman"/>
              </w:rPr>
            </w:pPr>
            <w:r>
              <w:rPr>
                <w:rFonts w:hint="eastAsia" w:ascii="Times New Roman" w:hAnsi="Times New Roman" w:eastAsia="宋体" w:cs="Times New Roman"/>
              </w:rPr>
              <w:t>GB 31604.47-2023</w:t>
            </w:r>
          </w:p>
        </w:tc>
      </w:tr>
      <w:tr w14:paraId="29D3D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4CEF5150">
            <w:pPr>
              <w:jc w:val="center"/>
            </w:pPr>
            <w:r>
              <w:rPr>
                <w:rFonts w:hint="eastAsia"/>
              </w:rPr>
              <w:t>7</w:t>
            </w:r>
          </w:p>
        </w:tc>
        <w:tc>
          <w:tcPr>
            <w:tcW w:w="1866" w:type="pct"/>
            <w:tcBorders>
              <w:top w:val="single" w:color="auto" w:sz="4" w:space="0"/>
              <w:left w:val="single" w:color="auto" w:sz="4" w:space="0"/>
              <w:bottom w:val="single" w:color="auto" w:sz="4" w:space="0"/>
              <w:right w:val="single" w:color="auto" w:sz="4" w:space="0"/>
            </w:tcBorders>
            <w:vAlign w:val="center"/>
          </w:tcPr>
          <w:p w14:paraId="0CE43375">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总迁移量</w:t>
            </w:r>
          </w:p>
        </w:tc>
        <w:tc>
          <w:tcPr>
            <w:tcW w:w="1224" w:type="pct"/>
            <w:vMerge w:val="continue"/>
            <w:tcBorders>
              <w:left w:val="single" w:color="auto" w:sz="4" w:space="0"/>
              <w:right w:val="single" w:color="auto" w:sz="4" w:space="0"/>
            </w:tcBorders>
            <w:vAlign w:val="center"/>
          </w:tcPr>
          <w:p w14:paraId="48E8254C">
            <w:pPr>
              <w:jc w:val="center"/>
              <w:rPr>
                <w:rFonts w:hint="eastAsia" w:ascii="Times New Roman" w:hAnsi="Times New Roman" w:eastAsia="宋体" w:cs="Times New Roman"/>
              </w:rPr>
            </w:pPr>
          </w:p>
        </w:tc>
        <w:tc>
          <w:tcPr>
            <w:tcW w:w="1387" w:type="pct"/>
            <w:tcBorders>
              <w:left w:val="single" w:color="auto" w:sz="4" w:space="0"/>
              <w:right w:val="single" w:color="auto" w:sz="4" w:space="0"/>
            </w:tcBorders>
            <w:vAlign w:val="center"/>
          </w:tcPr>
          <w:p w14:paraId="5D582974">
            <w:pPr>
              <w:jc w:val="center"/>
              <w:rPr>
                <w:rFonts w:hint="eastAsia" w:ascii="Times New Roman" w:hAnsi="Times New Roman" w:eastAsia="宋体" w:cs="Times New Roman"/>
              </w:rPr>
            </w:pPr>
            <w:r>
              <w:rPr>
                <w:rFonts w:hint="eastAsia" w:ascii="Times New Roman" w:hAnsi="Times New Roman" w:eastAsia="宋体" w:cs="Times New Roman"/>
              </w:rPr>
              <w:t>GB 31604.8-2021</w:t>
            </w:r>
          </w:p>
        </w:tc>
      </w:tr>
      <w:tr w14:paraId="30865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20D5BECF">
            <w:pPr>
              <w:jc w:val="center"/>
              <w:rPr>
                <w:rFonts w:hint="eastAsia"/>
                <w:lang w:val="en-US" w:eastAsia="zh-CN"/>
              </w:rPr>
            </w:pPr>
            <w:r>
              <w:rPr>
                <w:rFonts w:hint="eastAsia"/>
                <w:lang w:val="en-US" w:eastAsia="zh-CN"/>
              </w:rPr>
              <w:t>8</w:t>
            </w:r>
          </w:p>
        </w:tc>
        <w:tc>
          <w:tcPr>
            <w:tcW w:w="1866" w:type="pct"/>
            <w:tcBorders>
              <w:top w:val="single" w:color="auto" w:sz="4" w:space="0"/>
              <w:left w:val="single" w:color="auto" w:sz="4" w:space="0"/>
              <w:bottom w:val="single" w:color="auto" w:sz="4" w:space="0"/>
              <w:right w:val="single" w:color="auto" w:sz="4" w:space="0"/>
            </w:tcBorders>
            <w:vAlign w:val="center"/>
          </w:tcPr>
          <w:p w14:paraId="07F0F305">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高锰酸钾消耗量</w:t>
            </w:r>
          </w:p>
        </w:tc>
        <w:tc>
          <w:tcPr>
            <w:tcW w:w="1224" w:type="pct"/>
            <w:vMerge w:val="continue"/>
            <w:tcBorders>
              <w:left w:val="single" w:color="auto" w:sz="4" w:space="0"/>
              <w:right w:val="single" w:color="auto" w:sz="4" w:space="0"/>
            </w:tcBorders>
            <w:vAlign w:val="center"/>
          </w:tcPr>
          <w:p w14:paraId="3D8CB7B8">
            <w:pPr>
              <w:jc w:val="center"/>
              <w:rPr>
                <w:rFonts w:hint="eastAsia" w:ascii="Times New Roman" w:hAnsi="Times New Roman" w:eastAsia="宋体" w:cs="Times New Roman"/>
              </w:rPr>
            </w:pPr>
          </w:p>
        </w:tc>
        <w:tc>
          <w:tcPr>
            <w:tcW w:w="1387" w:type="pct"/>
            <w:tcBorders>
              <w:left w:val="single" w:color="auto" w:sz="4" w:space="0"/>
              <w:right w:val="single" w:color="auto" w:sz="4" w:space="0"/>
            </w:tcBorders>
            <w:vAlign w:val="center"/>
          </w:tcPr>
          <w:p w14:paraId="7F977957">
            <w:pPr>
              <w:jc w:val="center"/>
              <w:rPr>
                <w:rFonts w:hint="eastAsia" w:ascii="Times New Roman" w:hAnsi="Times New Roman" w:eastAsia="宋体" w:cs="Times New Roman"/>
              </w:rPr>
            </w:pPr>
            <w:r>
              <w:rPr>
                <w:rFonts w:hint="eastAsia" w:ascii="Times New Roman" w:hAnsi="Times New Roman" w:eastAsia="宋体" w:cs="Times New Roman"/>
              </w:rPr>
              <w:t>GB 31604.2-2016</w:t>
            </w:r>
          </w:p>
        </w:tc>
      </w:tr>
      <w:tr w14:paraId="701A8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1553E429">
            <w:pPr>
              <w:jc w:val="center"/>
              <w:rPr>
                <w:rFonts w:hint="eastAsia"/>
                <w:lang w:val="en-US" w:eastAsia="zh-CN"/>
              </w:rPr>
            </w:pPr>
            <w:r>
              <w:rPr>
                <w:rFonts w:hint="eastAsia"/>
                <w:lang w:val="en-US" w:eastAsia="zh-CN"/>
              </w:rPr>
              <w:t>9</w:t>
            </w:r>
          </w:p>
        </w:tc>
        <w:tc>
          <w:tcPr>
            <w:tcW w:w="1866" w:type="pct"/>
            <w:tcBorders>
              <w:top w:val="single" w:color="auto" w:sz="4" w:space="0"/>
              <w:left w:val="single" w:color="auto" w:sz="4" w:space="0"/>
              <w:bottom w:val="single" w:color="auto" w:sz="4" w:space="0"/>
              <w:right w:val="single" w:color="auto" w:sz="4" w:space="0"/>
            </w:tcBorders>
            <w:vAlign w:val="center"/>
          </w:tcPr>
          <w:p w14:paraId="7234E707">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重金属</w:t>
            </w:r>
          </w:p>
        </w:tc>
        <w:tc>
          <w:tcPr>
            <w:tcW w:w="1224" w:type="pct"/>
            <w:vMerge w:val="continue"/>
            <w:tcBorders>
              <w:left w:val="single" w:color="auto" w:sz="4" w:space="0"/>
              <w:right w:val="single" w:color="auto" w:sz="4" w:space="0"/>
            </w:tcBorders>
            <w:vAlign w:val="center"/>
          </w:tcPr>
          <w:p w14:paraId="43DEED60">
            <w:pPr>
              <w:jc w:val="center"/>
              <w:rPr>
                <w:rFonts w:hint="eastAsia" w:ascii="Times New Roman" w:hAnsi="Times New Roman" w:eastAsia="宋体" w:cs="Times New Roman"/>
              </w:rPr>
            </w:pPr>
          </w:p>
        </w:tc>
        <w:tc>
          <w:tcPr>
            <w:tcW w:w="1387" w:type="pct"/>
            <w:tcBorders>
              <w:left w:val="single" w:color="auto" w:sz="4" w:space="0"/>
              <w:right w:val="single" w:color="auto" w:sz="4" w:space="0"/>
            </w:tcBorders>
            <w:vAlign w:val="center"/>
          </w:tcPr>
          <w:p w14:paraId="3BE246E9">
            <w:pPr>
              <w:jc w:val="center"/>
              <w:rPr>
                <w:rFonts w:hint="eastAsia" w:ascii="Times New Roman" w:hAnsi="Times New Roman" w:eastAsia="宋体" w:cs="Times New Roman"/>
              </w:rPr>
            </w:pPr>
            <w:r>
              <w:rPr>
                <w:rFonts w:hint="eastAsia" w:ascii="Times New Roman" w:hAnsi="Times New Roman" w:eastAsia="宋体" w:cs="Times New Roman"/>
              </w:rPr>
              <w:t>GB 31604.9-2016</w:t>
            </w:r>
          </w:p>
        </w:tc>
      </w:tr>
      <w:tr w14:paraId="64911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4C557DED">
            <w:pPr>
              <w:jc w:val="center"/>
              <w:rPr>
                <w:rFonts w:hint="default"/>
                <w:lang w:val="en-US" w:eastAsia="zh-CN"/>
              </w:rPr>
            </w:pPr>
            <w:r>
              <w:rPr>
                <w:rFonts w:hint="eastAsia"/>
                <w:lang w:val="en-US" w:eastAsia="zh-CN"/>
              </w:rPr>
              <w:t>10</w:t>
            </w:r>
          </w:p>
        </w:tc>
        <w:tc>
          <w:tcPr>
            <w:tcW w:w="1866" w:type="pct"/>
            <w:tcBorders>
              <w:top w:val="single" w:color="auto" w:sz="4" w:space="0"/>
              <w:left w:val="single" w:color="auto" w:sz="4" w:space="0"/>
              <w:bottom w:val="single" w:color="auto" w:sz="4" w:space="0"/>
              <w:right w:val="single" w:color="auto" w:sz="4" w:space="0"/>
            </w:tcBorders>
            <w:vAlign w:val="center"/>
          </w:tcPr>
          <w:p w14:paraId="27883D05">
            <w:pPr>
              <w:jc w:val="center"/>
              <w:rPr>
                <w:rFonts w:hint="eastAsia"/>
              </w:rPr>
            </w:pPr>
            <w:r>
              <w:rPr>
                <w:rFonts w:hint="eastAsia" w:ascii="仿宋" w:hAnsi="仿宋" w:eastAsia="仿宋" w:cs="仿宋"/>
                <w:b w:val="0"/>
                <w:spacing w:val="0"/>
                <w:position w:val="0"/>
                <w:sz w:val="24"/>
                <w:szCs w:val="24"/>
              </w:rPr>
              <w:t>脱色试验</w:t>
            </w:r>
          </w:p>
        </w:tc>
        <w:tc>
          <w:tcPr>
            <w:tcW w:w="1224" w:type="pct"/>
            <w:vMerge w:val="continue"/>
            <w:tcBorders>
              <w:left w:val="single" w:color="auto" w:sz="4" w:space="0"/>
              <w:right w:val="single" w:color="auto" w:sz="4" w:space="0"/>
            </w:tcBorders>
            <w:vAlign w:val="center"/>
          </w:tcPr>
          <w:p w14:paraId="315CCA35">
            <w:pPr>
              <w:jc w:val="center"/>
              <w:rPr>
                <w:rFonts w:hint="eastAsia"/>
              </w:rPr>
            </w:pPr>
          </w:p>
        </w:tc>
        <w:tc>
          <w:tcPr>
            <w:tcW w:w="1387" w:type="pct"/>
            <w:tcBorders>
              <w:left w:val="single" w:color="auto" w:sz="4" w:space="0"/>
              <w:right w:val="single" w:color="auto" w:sz="4" w:space="0"/>
            </w:tcBorders>
            <w:vAlign w:val="center"/>
          </w:tcPr>
          <w:p w14:paraId="7146589B">
            <w:pPr>
              <w:jc w:val="center"/>
              <w:rPr>
                <w:rFonts w:hint="eastAsia" w:ascii="Times New Roman" w:hAnsi="Times New Roman" w:eastAsia="宋体" w:cs="Times New Roman"/>
              </w:rPr>
            </w:pPr>
            <w:r>
              <w:rPr>
                <w:rFonts w:hint="eastAsia" w:ascii="Times New Roman" w:hAnsi="Times New Roman" w:eastAsia="宋体" w:cs="Times New Roman"/>
              </w:rPr>
              <w:t>GB 31604.7-2023</w:t>
            </w:r>
          </w:p>
        </w:tc>
      </w:tr>
      <w:tr w14:paraId="7CFC6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3CCD1C9D">
            <w:pPr>
              <w:jc w:val="center"/>
              <w:rPr>
                <w:rFonts w:hint="default"/>
                <w:lang w:val="en-US" w:eastAsia="zh-CN"/>
              </w:rPr>
            </w:pPr>
            <w:r>
              <w:rPr>
                <w:rFonts w:hint="eastAsia"/>
                <w:lang w:val="en-US" w:eastAsia="zh-CN"/>
              </w:rPr>
              <w:t>11</w:t>
            </w:r>
          </w:p>
        </w:tc>
        <w:tc>
          <w:tcPr>
            <w:tcW w:w="1866" w:type="pct"/>
            <w:tcBorders>
              <w:top w:val="single" w:color="auto" w:sz="4" w:space="0"/>
              <w:left w:val="single" w:color="auto" w:sz="4" w:space="0"/>
              <w:bottom w:val="single" w:color="auto" w:sz="4" w:space="0"/>
              <w:right w:val="single" w:color="auto" w:sz="4" w:space="0"/>
            </w:tcBorders>
            <w:vAlign w:val="center"/>
          </w:tcPr>
          <w:p w14:paraId="25B0D158">
            <w:pPr>
              <w:jc w:val="center"/>
              <w:rPr>
                <w:rFonts w:hint="eastAsia"/>
              </w:rPr>
            </w:pPr>
            <w:r>
              <w:rPr>
                <w:rFonts w:hint="eastAsia" w:ascii="仿宋" w:hAnsi="仿宋" w:eastAsia="仿宋" w:cs="仿宋"/>
                <w:b w:val="0"/>
                <w:spacing w:val="0"/>
                <w:position w:val="0"/>
                <w:sz w:val="24"/>
                <w:szCs w:val="24"/>
              </w:rPr>
              <w:t>大肠菌群</w:t>
            </w:r>
          </w:p>
        </w:tc>
        <w:tc>
          <w:tcPr>
            <w:tcW w:w="1224" w:type="pct"/>
            <w:vMerge w:val="continue"/>
            <w:tcBorders>
              <w:left w:val="single" w:color="auto" w:sz="4" w:space="0"/>
              <w:right w:val="single" w:color="auto" w:sz="4" w:space="0"/>
            </w:tcBorders>
            <w:vAlign w:val="center"/>
          </w:tcPr>
          <w:p w14:paraId="7193970E">
            <w:pPr>
              <w:jc w:val="center"/>
              <w:rPr>
                <w:rFonts w:hint="eastAsia"/>
              </w:rPr>
            </w:pPr>
          </w:p>
        </w:tc>
        <w:tc>
          <w:tcPr>
            <w:tcW w:w="2518" w:type="dxa"/>
            <w:tcBorders>
              <w:left w:val="single" w:color="auto" w:sz="4" w:space="0"/>
              <w:right w:val="single" w:color="auto" w:sz="4" w:space="0"/>
            </w:tcBorders>
            <w:vAlign w:val="center"/>
          </w:tcPr>
          <w:p w14:paraId="6FC9A9CE">
            <w:pPr>
              <w:jc w:val="center"/>
              <w:rPr>
                <w:rFonts w:hint="eastAsia" w:ascii="Times New Roman" w:hAnsi="Times New Roman" w:eastAsia="宋体" w:cs="Times New Roman"/>
              </w:rPr>
            </w:pPr>
            <w:r>
              <w:rPr>
                <w:rFonts w:hint="eastAsia" w:ascii="Times New Roman" w:hAnsi="Times New Roman" w:eastAsia="宋体" w:cs="Times New Roman"/>
                <w:lang w:val="en-US" w:eastAsia="zh-CN"/>
              </w:rPr>
              <w:t>GB 14934-2016</w:t>
            </w:r>
          </w:p>
        </w:tc>
      </w:tr>
      <w:tr w14:paraId="53E21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24D377E3">
            <w:pPr>
              <w:jc w:val="center"/>
              <w:rPr>
                <w:rFonts w:hint="default"/>
                <w:lang w:val="en-US" w:eastAsia="zh-CN"/>
              </w:rPr>
            </w:pPr>
            <w:r>
              <w:rPr>
                <w:rFonts w:hint="eastAsia"/>
                <w:lang w:val="en-US" w:eastAsia="zh-CN"/>
              </w:rPr>
              <w:t>12</w:t>
            </w:r>
          </w:p>
        </w:tc>
        <w:tc>
          <w:tcPr>
            <w:tcW w:w="1866" w:type="pct"/>
            <w:tcBorders>
              <w:top w:val="single" w:color="auto" w:sz="4" w:space="0"/>
              <w:left w:val="single" w:color="auto" w:sz="4" w:space="0"/>
              <w:bottom w:val="single" w:color="auto" w:sz="4" w:space="0"/>
              <w:right w:val="single" w:color="auto" w:sz="4" w:space="0"/>
            </w:tcBorders>
            <w:vAlign w:val="center"/>
          </w:tcPr>
          <w:p w14:paraId="59F3AB46">
            <w:pPr>
              <w:jc w:val="center"/>
              <w:rPr>
                <w:rFonts w:hint="eastAsia"/>
              </w:rPr>
            </w:pPr>
            <w:r>
              <w:rPr>
                <w:rFonts w:hint="eastAsia" w:ascii="仿宋" w:hAnsi="仿宋" w:eastAsia="仿宋" w:cs="仿宋"/>
                <w:b w:val="0"/>
                <w:spacing w:val="0"/>
                <w:position w:val="0"/>
                <w:sz w:val="24"/>
                <w:szCs w:val="24"/>
              </w:rPr>
              <w:t>沙门氏菌</w:t>
            </w:r>
          </w:p>
        </w:tc>
        <w:tc>
          <w:tcPr>
            <w:tcW w:w="1224" w:type="pct"/>
            <w:vMerge w:val="continue"/>
            <w:tcBorders>
              <w:left w:val="single" w:color="auto" w:sz="4" w:space="0"/>
              <w:right w:val="single" w:color="auto" w:sz="4" w:space="0"/>
            </w:tcBorders>
            <w:vAlign w:val="center"/>
          </w:tcPr>
          <w:p w14:paraId="36907767">
            <w:pPr>
              <w:jc w:val="center"/>
              <w:rPr>
                <w:rFonts w:hint="eastAsia"/>
              </w:rPr>
            </w:pPr>
          </w:p>
        </w:tc>
        <w:tc>
          <w:tcPr>
            <w:tcW w:w="2518" w:type="dxa"/>
            <w:tcBorders>
              <w:left w:val="single" w:color="auto" w:sz="4" w:space="0"/>
              <w:right w:val="single" w:color="auto" w:sz="4" w:space="0"/>
            </w:tcBorders>
            <w:vAlign w:val="center"/>
          </w:tcPr>
          <w:p w14:paraId="21B609C1">
            <w:pPr>
              <w:jc w:val="center"/>
              <w:rPr>
                <w:rFonts w:hint="eastAsia" w:ascii="Times New Roman" w:hAnsi="Times New Roman" w:eastAsia="宋体" w:cs="Times New Roman"/>
              </w:rPr>
            </w:pPr>
            <w:r>
              <w:rPr>
                <w:rFonts w:hint="eastAsia" w:ascii="Times New Roman" w:hAnsi="Times New Roman" w:eastAsia="宋体" w:cs="Times New Roman"/>
                <w:lang w:val="en-US" w:eastAsia="zh-CN"/>
              </w:rPr>
              <w:t>GB 14934-2016</w:t>
            </w:r>
          </w:p>
        </w:tc>
      </w:tr>
      <w:tr w14:paraId="31F80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5E56E239">
            <w:pPr>
              <w:jc w:val="center"/>
              <w:rPr>
                <w:rFonts w:hint="default"/>
                <w:lang w:val="en-US" w:eastAsia="zh-CN"/>
              </w:rPr>
            </w:pPr>
            <w:r>
              <w:rPr>
                <w:rFonts w:hint="eastAsia"/>
                <w:lang w:val="en-US" w:eastAsia="zh-CN"/>
              </w:rPr>
              <w:t>13</w:t>
            </w:r>
          </w:p>
        </w:tc>
        <w:tc>
          <w:tcPr>
            <w:tcW w:w="1866" w:type="pct"/>
            <w:tcBorders>
              <w:top w:val="single" w:color="auto" w:sz="4" w:space="0"/>
              <w:left w:val="single" w:color="auto" w:sz="4" w:space="0"/>
              <w:bottom w:val="single" w:color="auto" w:sz="4" w:space="0"/>
              <w:right w:val="single" w:color="auto" w:sz="4" w:space="0"/>
            </w:tcBorders>
            <w:vAlign w:val="center"/>
          </w:tcPr>
          <w:p w14:paraId="1C67368D">
            <w:pPr>
              <w:jc w:val="center"/>
              <w:rPr>
                <w:rFonts w:hint="eastAsia"/>
              </w:rPr>
            </w:pPr>
            <w:r>
              <w:rPr>
                <w:rFonts w:hint="eastAsia" w:ascii="仿宋" w:hAnsi="仿宋" w:eastAsia="仿宋" w:cs="仿宋"/>
                <w:b w:val="0"/>
                <w:spacing w:val="0"/>
                <w:position w:val="0"/>
                <w:sz w:val="24"/>
                <w:szCs w:val="24"/>
              </w:rPr>
              <w:t>霉菌</w:t>
            </w:r>
          </w:p>
        </w:tc>
        <w:tc>
          <w:tcPr>
            <w:tcW w:w="1224" w:type="pct"/>
            <w:vMerge w:val="continue"/>
            <w:tcBorders>
              <w:left w:val="single" w:color="auto" w:sz="4" w:space="0"/>
              <w:right w:val="single" w:color="auto" w:sz="4" w:space="0"/>
            </w:tcBorders>
            <w:vAlign w:val="center"/>
          </w:tcPr>
          <w:p w14:paraId="5897B018">
            <w:pPr>
              <w:jc w:val="center"/>
              <w:rPr>
                <w:rFonts w:hint="eastAsia"/>
              </w:rPr>
            </w:pPr>
          </w:p>
        </w:tc>
        <w:tc>
          <w:tcPr>
            <w:tcW w:w="2518" w:type="dxa"/>
            <w:tcBorders>
              <w:left w:val="single" w:color="auto" w:sz="4" w:space="0"/>
              <w:right w:val="single" w:color="auto" w:sz="4" w:space="0"/>
            </w:tcBorders>
            <w:vAlign w:val="center"/>
          </w:tcPr>
          <w:p w14:paraId="3EA9F904">
            <w:pPr>
              <w:jc w:val="center"/>
              <w:rPr>
                <w:rFonts w:hint="eastAsia" w:ascii="Times New Roman" w:hAnsi="Times New Roman" w:eastAsia="宋体" w:cs="Times New Roman"/>
              </w:rPr>
            </w:pPr>
            <w:r>
              <w:rPr>
                <w:rFonts w:hint="eastAsia" w:ascii="Times New Roman" w:hAnsi="Times New Roman" w:eastAsia="宋体" w:cs="Times New Roman"/>
                <w:lang w:val="en-US" w:eastAsia="zh-CN"/>
              </w:rPr>
              <w:t>GB 4789.15-2016</w:t>
            </w:r>
          </w:p>
        </w:tc>
      </w:tr>
    </w:tbl>
    <w:p w14:paraId="21166673">
      <w:pPr>
        <w:pStyle w:val="68"/>
        <w:numPr>
          <w:ilvl w:val="0"/>
          <w:numId w:val="0"/>
        </w:numPr>
        <w:spacing w:beforeLines="0" w:afterLines="0" w:line="480" w:lineRule="exact"/>
      </w:pPr>
    </w:p>
    <w:p w14:paraId="138D2D24">
      <w:pPr>
        <w:pStyle w:val="68"/>
        <w:numPr>
          <w:ilvl w:val="0"/>
          <w:numId w:val="0"/>
        </w:numPr>
        <w:spacing w:beforeLines="0" w:afterLines="0" w:line="480" w:lineRule="exact"/>
      </w:pPr>
      <w:r>
        <w:rPr>
          <w:rFonts w:hint="eastAsia"/>
        </w:rPr>
        <w:t>7 判定原则</w:t>
      </w:r>
    </w:p>
    <w:p w14:paraId="6246FDF0">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14D7EDAE">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622E94C1">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640084BE">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4FE43560">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6719C832">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一次性可降解餐饮具</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5C88BD37">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一次性可降解餐饮具</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6D7763E5">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45064C9A">
      <w:pPr>
        <w:snapToGrid w:val="0"/>
        <w:spacing w:line="480" w:lineRule="exact"/>
        <w:rPr>
          <w:rFonts w:ascii="黑体" w:hAnsi="宋体" w:eastAsia="黑体"/>
          <w:szCs w:val="21"/>
        </w:rPr>
      </w:pPr>
    </w:p>
    <w:p w14:paraId="06FED15C">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724FDB54">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576583DC">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5CBFD7F0">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14:paraId="51455049">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PMingLiU">
    <w:altName w:val="Microsoft JhengHei UI"/>
    <w:panose1 w:val="02010601000101010101"/>
    <w:charset w:val="88"/>
    <w:family w:val="auto"/>
    <w:pitch w:val="default"/>
    <w:sig w:usb0="00000000" w:usb1="00000000" w:usb2="00000010" w:usb3="00000000" w:csb0="00100000" w:csb1="00000000"/>
  </w:font>
  <w:font w:name="Arial Unicode MS">
    <w:altName w:val="Arial"/>
    <w:panose1 w:val="00000000000000000000"/>
    <w:charset w:val="00"/>
    <w:family w:val="auto"/>
    <w:pitch w:val="default"/>
    <w:sig w:usb0="00000000" w:usb1="00000000" w:usb2="00000000" w:usb3="00000000" w:csb0="00000000"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A7970">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149384E1">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DCFCA">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42BDD">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zYzAxOGExZGYxYTJhN2VhYmU3OWM0ZmQ0M2JmNWI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36A730B"/>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604B0B"/>
    <w:rsid w:val="38747B68"/>
    <w:rsid w:val="3A761F7B"/>
    <w:rsid w:val="3AD43624"/>
    <w:rsid w:val="3BFD066E"/>
    <w:rsid w:val="3CD45671"/>
    <w:rsid w:val="3D98177F"/>
    <w:rsid w:val="3ED226D8"/>
    <w:rsid w:val="3F640A8C"/>
    <w:rsid w:val="42604847"/>
    <w:rsid w:val="42BE6BA7"/>
    <w:rsid w:val="43D15B56"/>
    <w:rsid w:val="43DB7E46"/>
    <w:rsid w:val="43E74455"/>
    <w:rsid w:val="45702117"/>
    <w:rsid w:val="46537FFE"/>
    <w:rsid w:val="47537398"/>
    <w:rsid w:val="48B55D2C"/>
    <w:rsid w:val="492369AA"/>
    <w:rsid w:val="49D11719"/>
    <w:rsid w:val="4ADD0C10"/>
    <w:rsid w:val="4AF9536E"/>
    <w:rsid w:val="4D0E5421"/>
    <w:rsid w:val="4D830187"/>
    <w:rsid w:val="4D9B2362"/>
    <w:rsid w:val="4DBF1C1A"/>
    <w:rsid w:val="4FC76304"/>
    <w:rsid w:val="51C81EA6"/>
    <w:rsid w:val="531102E5"/>
    <w:rsid w:val="57F87DF2"/>
    <w:rsid w:val="5A3D262A"/>
    <w:rsid w:val="5B903CC7"/>
    <w:rsid w:val="5B9F2D73"/>
    <w:rsid w:val="5BB72435"/>
    <w:rsid w:val="5C2B76EA"/>
    <w:rsid w:val="5C5C653B"/>
    <w:rsid w:val="5E135BA1"/>
    <w:rsid w:val="5EA6278E"/>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7E15F71"/>
    <w:rsid w:val="79F006ED"/>
    <w:rsid w:val="7A3DE724"/>
    <w:rsid w:val="7ACD1D04"/>
    <w:rsid w:val="7BAE7BF7"/>
    <w:rsid w:val="7CB02F14"/>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uiPriority w:val="0"/>
    <w:pPr>
      <w:tabs>
        <w:tab w:val="left" w:pos="360"/>
      </w:tabs>
      <w:spacing w:beforeLines="0" w:afterLines="0"/>
    </w:pPr>
    <w:rPr>
      <w:rFonts w:ascii="宋体" w:eastAsia="宋体"/>
      <w:szCs w:val="21"/>
    </w:rPr>
  </w:style>
  <w:style w:type="paragraph" w:customStyle="1" w:styleId="58">
    <w:name w:val="附录三级条标题"/>
    <w:basedOn w:val="59"/>
    <w:next w:val="16"/>
    <w:uiPriority w:val="0"/>
    <w:pPr>
      <w:numPr>
        <w:ilvl w:val="0"/>
        <w:numId w:val="0"/>
      </w:numPr>
      <w:tabs>
        <w:tab w:val="left" w:pos="360"/>
      </w:tabs>
      <w:outlineLvl w:val="4"/>
    </w:pPr>
  </w:style>
  <w:style w:type="paragraph" w:customStyle="1" w:styleId="59">
    <w:name w:val="附录二级条标题"/>
    <w:basedOn w:val="1"/>
    <w:next w:val="16"/>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uiPriority w:val="0"/>
    <w:pPr>
      <w:numPr>
        <w:ilvl w:val="2"/>
      </w:numPr>
      <w:tabs>
        <w:tab w:val="left" w:pos="360"/>
      </w:tabs>
      <w:autoSpaceDN w:val="0"/>
      <w:spacing w:beforeLines="50" w:afterLines="50"/>
      <w:outlineLvl w:val="2"/>
    </w:pPr>
  </w:style>
  <w:style w:type="paragraph" w:customStyle="1" w:styleId="62">
    <w:name w:val="附录章标题"/>
    <w:next w:val="16"/>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uiPriority w:val="0"/>
    <w:pPr>
      <w:framePr w:wrap="around" w:y="15310"/>
      <w:spacing w:line="0" w:lineRule="atLeast"/>
    </w:pPr>
    <w:rPr>
      <w:rFonts w:ascii="黑体" w:eastAsia="黑体"/>
      <w:b w:val="0"/>
    </w:rPr>
  </w:style>
  <w:style w:type="paragraph" w:customStyle="1" w:styleId="127">
    <w:name w:val="字母编号列项（一级）"/>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uiPriority w:val="0"/>
    <w:pPr>
      <w:tabs>
        <w:tab w:val="clear" w:pos="360"/>
      </w:tabs>
      <w:spacing w:beforeLines="0" w:afterLines="0"/>
    </w:pPr>
    <w:rPr>
      <w:rFonts w:ascii="宋体" w:eastAsia="宋体"/>
      <w:szCs w:val="21"/>
    </w:rPr>
  </w:style>
  <w:style w:type="paragraph" w:customStyle="1" w:styleId="131">
    <w:name w:val="封面标准名称2"/>
    <w:basedOn w:val="80"/>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5</Pages>
  <Words>2877</Words>
  <Characters>3122</Characters>
  <Lines>23</Lines>
  <Paragraphs>6</Paragraphs>
  <TotalTime>6</TotalTime>
  <ScaleCrop>false</ScaleCrop>
  <LinksUpToDate>false</LinksUpToDate>
  <CharactersWithSpaces>3164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李松岩</cp:lastModifiedBy>
  <cp:lastPrinted>2024-12-03T06:16:00Z</cp:lastPrinted>
  <dcterms:modified xsi:type="dcterms:W3CDTF">2025-06-17T06:36:12Z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8CDCE5D9D08F4084A79064F85EAB3B90_13</vt:lpwstr>
  </property>
  <property fmtid="{D5CDD505-2E9C-101B-9397-08002B2CF9AE}" pid="4" name="KSOTemplateDocerSaveRecord">
    <vt:lpwstr>eyJoZGlkIjoiNWNkZGY4NTNkYTNlZDAyNmJkNzQwY2RmNmEzMmE2NDAiLCJ1c2VySWQiOiIxNDQ1NjU1MDYxIn0=</vt:lpwstr>
  </property>
</Properties>
</file>