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手洗餐具用洗涤剂</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手洗餐具用洗涤剂</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手洗餐具用洗涤剂</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ascii="宋体" w:hAnsi="宋体" w:cs="Sim Sun"/>
          <w:kern w:val="0"/>
          <w:szCs w:val="21"/>
        </w:rPr>
      </w:pPr>
      <w:r>
        <w:rPr>
          <w:rFonts w:hint="eastAsia" w:ascii="宋体" w:hAnsi="宋体" w:cs="Sim Sun"/>
          <w:kern w:val="0"/>
          <w:szCs w:val="21"/>
          <w:lang w:eastAsia="zh-CN"/>
        </w:rPr>
        <w:t>手洗餐具用洗涤剂</w:t>
      </w:r>
      <w:r>
        <w:rPr>
          <w:rFonts w:hint="eastAsia" w:ascii="宋体" w:hAnsi="宋体" w:cs="Sim Sun"/>
          <w:kern w:val="0"/>
          <w:szCs w:val="21"/>
        </w:rPr>
        <w:t>。</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56DD1CBC">
      <w:pPr>
        <w:snapToGrid w:val="0"/>
        <w:spacing w:line="480" w:lineRule="exact"/>
        <w:ind w:firstLine="420" w:firstLineChars="200"/>
        <w:rPr>
          <w:rFonts w:ascii="宋体" w:hAnsi="宋体"/>
          <w:bCs/>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17D6054C">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GB14930.1—2022食品安全国家标准洗涤剂</w:t>
      </w:r>
    </w:p>
    <w:p w14:paraId="4FF03FC4">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GB/T9985—2000手洗餐具用洗涤剂</w:t>
      </w:r>
    </w:p>
    <w:p w14:paraId="50906FFC">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GB/T9985—2022手洗餐具用洗涤剂</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ascii="宋体" w:hAnsi="宋体" w:cs="宋体"/>
          <w:kern w:val="0"/>
          <w:szCs w:val="21"/>
        </w:rPr>
      </w:pPr>
      <w:r>
        <w:rPr>
          <w:rFonts w:hint="eastAsia" w:ascii="宋体" w:hAnsi="宋体" w:cs="宋体"/>
          <w:kern w:val="0"/>
          <w:szCs w:val="21"/>
        </w:rPr>
        <w:t>生产领域：随机抽取</w:t>
      </w:r>
      <w:r>
        <w:rPr>
          <w:rFonts w:hint="eastAsia" w:ascii="宋体" w:hAnsi="宋体" w:cs="宋体"/>
          <w:kern w:val="0"/>
          <w:szCs w:val="21"/>
          <w:lang w:val="en-US" w:eastAsia="zh-CN"/>
        </w:rPr>
        <w:t>4瓶</w:t>
      </w:r>
      <w:r>
        <w:rPr>
          <w:rFonts w:hint="eastAsia" w:ascii="宋体" w:hAnsi="宋体" w:cs="宋体"/>
          <w:kern w:val="0"/>
          <w:szCs w:val="21"/>
        </w:rPr>
        <w:t>样品，</w:t>
      </w:r>
      <w:r>
        <w:rPr>
          <w:rFonts w:hint="eastAsia" w:ascii="宋体" w:hAnsi="宋体" w:cs="宋体"/>
          <w:kern w:val="0"/>
          <w:szCs w:val="21"/>
          <w:lang w:val="en-US" w:eastAsia="zh-CN"/>
        </w:rPr>
        <w:t>2瓶</w:t>
      </w:r>
      <w:r>
        <w:rPr>
          <w:rFonts w:hint="eastAsia" w:ascii="宋体" w:hAnsi="宋体" w:cs="宋体"/>
          <w:kern w:val="0"/>
          <w:szCs w:val="21"/>
        </w:rPr>
        <w:t>作为检验样品带回承检机构，</w:t>
      </w:r>
      <w:r>
        <w:rPr>
          <w:rFonts w:hint="eastAsia" w:ascii="宋体" w:hAnsi="宋体" w:cs="宋体"/>
          <w:kern w:val="0"/>
          <w:szCs w:val="21"/>
          <w:lang w:val="en-US" w:eastAsia="zh-CN"/>
        </w:rPr>
        <w:t>2瓶</w:t>
      </w:r>
      <w:r>
        <w:rPr>
          <w:rFonts w:hint="eastAsia" w:ascii="宋体" w:hAnsi="宋体" w:cs="宋体"/>
          <w:kern w:val="0"/>
          <w:szCs w:val="21"/>
        </w:rPr>
        <w:t>作为备用样品封存于受检单位。</w:t>
      </w:r>
    </w:p>
    <w:p w14:paraId="2911D437">
      <w:pPr>
        <w:spacing w:line="480" w:lineRule="exact"/>
        <w:ind w:firstLine="420" w:firstLineChars="200"/>
        <w:rPr>
          <w:rFonts w:ascii="宋体" w:hAnsi="宋体" w:cs="宋体"/>
          <w:kern w:val="0"/>
          <w:szCs w:val="21"/>
        </w:rPr>
      </w:pPr>
      <w:r>
        <w:rPr>
          <w:rFonts w:hint="eastAsia" w:ascii="宋体" w:hAnsi="宋体" w:cs="宋体"/>
          <w:kern w:val="0"/>
          <w:szCs w:val="21"/>
        </w:rPr>
        <w:t>流通领域（实体店）：</w:t>
      </w:r>
      <w:r>
        <w:rPr>
          <w:rFonts w:hint="eastAsia" w:ascii="宋体" w:hAnsi="宋体" w:cs="宋体"/>
          <w:kern w:val="0"/>
          <w:szCs w:val="21"/>
        </w:rPr>
        <w:t>随机抽取</w:t>
      </w:r>
      <w:r>
        <w:rPr>
          <w:rFonts w:hint="eastAsia" w:ascii="宋体" w:hAnsi="宋体" w:cs="宋体"/>
          <w:kern w:val="0"/>
          <w:szCs w:val="21"/>
          <w:lang w:val="en-US" w:eastAsia="zh-CN"/>
        </w:rPr>
        <w:t>4瓶</w:t>
      </w:r>
      <w:r>
        <w:rPr>
          <w:rFonts w:hint="eastAsia" w:ascii="宋体" w:hAnsi="宋体" w:cs="宋体"/>
          <w:kern w:val="0"/>
          <w:szCs w:val="21"/>
        </w:rPr>
        <w:t>样品，</w:t>
      </w:r>
      <w:r>
        <w:rPr>
          <w:rFonts w:hint="eastAsia" w:ascii="宋体" w:hAnsi="宋体" w:cs="宋体"/>
          <w:kern w:val="0"/>
          <w:szCs w:val="21"/>
          <w:lang w:val="en-US" w:eastAsia="zh-CN"/>
        </w:rPr>
        <w:t>2瓶</w:t>
      </w:r>
      <w:r>
        <w:rPr>
          <w:rFonts w:hint="eastAsia" w:ascii="宋体" w:hAnsi="宋体" w:cs="宋体"/>
          <w:kern w:val="0"/>
          <w:szCs w:val="21"/>
        </w:rPr>
        <w:t>作为检验样品带回承检机构，</w:t>
      </w:r>
      <w:r>
        <w:rPr>
          <w:rFonts w:hint="eastAsia" w:ascii="宋体" w:hAnsi="宋体" w:cs="宋体"/>
          <w:kern w:val="0"/>
          <w:szCs w:val="21"/>
          <w:lang w:val="en-US" w:eastAsia="zh-CN"/>
        </w:rPr>
        <w:t>2瓶</w:t>
      </w:r>
      <w:r>
        <w:rPr>
          <w:rFonts w:hint="eastAsia" w:ascii="宋体" w:hAnsi="宋体" w:cs="宋体"/>
          <w:kern w:val="0"/>
          <w:szCs w:val="21"/>
        </w:rPr>
        <w:t>作为备用样品封存于受检单位。</w:t>
      </w:r>
    </w:p>
    <w:p w14:paraId="23611784">
      <w:pPr>
        <w:spacing w:line="480" w:lineRule="exact"/>
        <w:ind w:firstLine="420" w:firstLineChars="200"/>
        <w:rPr>
          <w:rFonts w:ascii="宋体" w:hAnsi="宋体" w:cs="宋体"/>
          <w:kern w:val="0"/>
          <w:szCs w:val="21"/>
        </w:rPr>
      </w:pPr>
      <w:r>
        <w:rPr>
          <w:rFonts w:hint="eastAsia" w:ascii="宋体" w:hAnsi="宋体" w:cs="宋体"/>
          <w:kern w:val="0"/>
          <w:szCs w:val="21"/>
        </w:rPr>
        <w:t>流通领域（网络交易平台）：随机抽取</w:t>
      </w:r>
      <w:r>
        <w:rPr>
          <w:rFonts w:hint="eastAsia" w:ascii="宋体" w:hAnsi="宋体" w:cs="宋体"/>
          <w:kern w:val="0"/>
          <w:szCs w:val="21"/>
          <w:lang w:val="en-US" w:eastAsia="zh-CN"/>
        </w:rPr>
        <w:t>4瓶</w:t>
      </w:r>
      <w:r>
        <w:rPr>
          <w:rFonts w:hint="eastAsia" w:ascii="宋体" w:hAnsi="宋体" w:cs="宋体"/>
          <w:kern w:val="0"/>
          <w:szCs w:val="21"/>
        </w:rPr>
        <w:t>样品，</w:t>
      </w:r>
      <w:r>
        <w:rPr>
          <w:rFonts w:hint="eastAsia" w:ascii="宋体" w:hAnsi="宋体" w:cs="宋体"/>
          <w:kern w:val="0"/>
          <w:szCs w:val="21"/>
          <w:lang w:val="en-US" w:eastAsia="zh-CN"/>
        </w:rPr>
        <w:t>2瓶</w:t>
      </w:r>
      <w:r>
        <w:rPr>
          <w:rFonts w:hint="eastAsia" w:ascii="宋体" w:hAnsi="宋体" w:cs="宋体"/>
          <w:kern w:val="0"/>
          <w:szCs w:val="21"/>
        </w:rPr>
        <w:t>作为检验样品带回承检机构，</w:t>
      </w:r>
      <w:r>
        <w:rPr>
          <w:rFonts w:hint="eastAsia" w:ascii="宋体" w:hAnsi="宋体" w:cs="宋体"/>
          <w:kern w:val="0"/>
          <w:szCs w:val="21"/>
          <w:lang w:val="en-US" w:eastAsia="zh-CN"/>
        </w:rPr>
        <w:t>2瓶</w:t>
      </w:r>
      <w:r>
        <w:rPr>
          <w:rFonts w:hint="eastAsia" w:ascii="宋体" w:hAnsi="宋体" w:cs="宋体"/>
          <w:kern w:val="0"/>
          <w:szCs w:val="21"/>
        </w:rPr>
        <w:t>作为备用样品封存于承检机构。</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手洗餐具用洗涤剂</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手洗餐具用洗涤剂</w:t>
      </w:r>
      <w:r>
        <w:rPr>
          <w:rFonts w:hint="eastAsia" w:ascii="宋体" w:hAnsi="宋体"/>
          <w:szCs w:val="21"/>
        </w:rPr>
        <w:t>的检验项目、依据及方法等要求</w:t>
      </w:r>
    </w:p>
    <w:tbl>
      <w:tblPr>
        <w:tblStyle w:val="2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3387"/>
        <w:gridCol w:w="2222"/>
        <w:gridCol w:w="2517"/>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21" w:type="pct"/>
            <w:tcBorders>
              <w:top w:val="single" w:color="auto" w:sz="4" w:space="0"/>
              <w:left w:val="single" w:color="auto" w:sz="4" w:space="0"/>
              <w:right w:val="single" w:color="auto" w:sz="4" w:space="0"/>
            </w:tcBorders>
            <w:vAlign w:val="center"/>
          </w:tcPr>
          <w:p w14:paraId="4C9B92C9">
            <w:pPr>
              <w:snapToGrid w:val="0"/>
              <w:jc w:val="center"/>
              <w:rPr>
                <w:rFonts w:ascii="宋体" w:hAnsi="宋体"/>
                <w:szCs w:val="21"/>
              </w:rPr>
            </w:pPr>
            <w:r>
              <w:rPr>
                <w:rFonts w:hint="eastAsia" w:ascii="宋体" w:hAnsi="宋体"/>
                <w:szCs w:val="21"/>
              </w:rPr>
              <w:t>序号</w:t>
            </w:r>
          </w:p>
        </w:tc>
        <w:tc>
          <w:tcPr>
            <w:tcW w:w="1866" w:type="pct"/>
            <w:tcBorders>
              <w:top w:val="single" w:color="auto" w:sz="4" w:space="0"/>
              <w:left w:val="single" w:color="auto" w:sz="4" w:space="0"/>
              <w:right w:val="single" w:color="auto" w:sz="4" w:space="0"/>
            </w:tcBorders>
            <w:vAlign w:val="center"/>
          </w:tcPr>
          <w:p w14:paraId="32666FD1">
            <w:pPr>
              <w:snapToGrid w:val="0"/>
              <w:jc w:val="center"/>
              <w:rPr>
                <w:rFonts w:ascii="宋体" w:hAnsi="宋体"/>
                <w:szCs w:val="21"/>
              </w:rPr>
            </w:pPr>
            <w:r>
              <w:rPr>
                <w:rFonts w:hint="eastAsia" w:ascii="宋体" w:hAnsi="宋体"/>
                <w:szCs w:val="21"/>
              </w:rPr>
              <w:t>检验项目</w:t>
            </w:r>
          </w:p>
        </w:tc>
        <w:tc>
          <w:tcPr>
            <w:tcW w:w="1224" w:type="pct"/>
            <w:tcBorders>
              <w:top w:val="single" w:color="auto" w:sz="4" w:space="0"/>
              <w:left w:val="single" w:color="auto" w:sz="4" w:space="0"/>
              <w:right w:val="single" w:color="auto" w:sz="4" w:space="0"/>
            </w:tcBorders>
            <w:vAlign w:val="center"/>
          </w:tcPr>
          <w:p w14:paraId="3FA5AC8A">
            <w:pPr>
              <w:snapToGrid w:val="0"/>
              <w:jc w:val="center"/>
              <w:rPr>
                <w:rFonts w:ascii="宋体" w:hAnsi="宋体"/>
                <w:szCs w:val="21"/>
              </w:rPr>
            </w:pPr>
            <w:r>
              <w:rPr>
                <w:rFonts w:hint="eastAsia" w:ascii="宋体" w:hAnsi="宋体"/>
                <w:szCs w:val="21"/>
              </w:rPr>
              <w:t>检验依据</w:t>
            </w:r>
          </w:p>
        </w:tc>
        <w:tc>
          <w:tcPr>
            <w:tcW w:w="1387" w:type="pct"/>
            <w:tcBorders>
              <w:top w:val="single" w:color="auto" w:sz="4" w:space="0"/>
              <w:left w:val="single" w:color="auto" w:sz="4" w:space="0"/>
              <w:right w:val="single" w:color="auto" w:sz="4" w:space="0"/>
            </w:tcBorders>
            <w:vAlign w:val="center"/>
          </w:tcPr>
          <w:p w14:paraId="0D224921">
            <w:pPr>
              <w:snapToGrid w:val="0"/>
              <w:jc w:val="center"/>
              <w:rPr>
                <w:rFonts w:ascii="宋体" w:hAnsi="宋体"/>
                <w:szCs w:val="21"/>
              </w:rPr>
            </w:pPr>
            <w:r>
              <w:rPr>
                <w:rFonts w:hint="eastAsia" w:ascii="宋体" w:hAnsi="宋体"/>
                <w:szCs w:val="21"/>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521" w:type="pct"/>
            <w:tcBorders>
              <w:top w:val="single" w:color="auto" w:sz="4" w:space="0"/>
              <w:left w:val="single" w:color="auto" w:sz="4" w:space="0"/>
              <w:right w:val="single" w:color="auto" w:sz="4" w:space="0"/>
            </w:tcBorders>
            <w:vAlign w:val="center"/>
          </w:tcPr>
          <w:p w14:paraId="171A37FF">
            <w:pPr>
              <w:snapToGrid w:val="0"/>
              <w:jc w:val="center"/>
              <w:rPr>
                <w:rFonts w:ascii="宋体" w:hAnsi="宋体"/>
                <w:szCs w:val="21"/>
              </w:rPr>
            </w:pPr>
            <w:r>
              <w:rPr>
                <w:rFonts w:hint="eastAsia" w:ascii="宋体" w:hAnsi="宋体"/>
                <w:szCs w:val="21"/>
              </w:rPr>
              <w:t>1</w:t>
            </w:r>
          </w:p>
        </w:tc>
        <w:tc>
          <w:tcPr>
            <w:tcW w:w="1866" w:type="pct"/>
            <w:tcBorders>
              <w:top w:val="single" w:color="auto" w:sz="4" w:space="0"/>
              <w:left w:val="single" w:color="auto" w:sz="4" w:space="0"/>
              <w:bottom w:val="single" w:color="auto" w:sz="4" w:space="0"/>
              <w:right w:val="single" w:color="auto" w:sz="4" w:space="0"/>
            </w:tcBorders>
            <w:vAlign w:val="center"/>
          </w:tcPr>
          <w:p w14:paraId="35FE35A6">
            <w:pPr>
              <w:snapToGrid w:val="0"/>
              <w:jc w:val="center"/>
              <w:rPr>
                <w:rFonts w:hint="eastAsia" w:ascii="宋体" w:hAnsi="宋体" w:eastAsia="宋体" w:cs="Times New Roman"/>
                <w:szCs w:val="21"/>
              </w:rPr>
            </w:pPr>
            <w:r>
              <w:rPr>
                <w:rFonts w:hint="eastAsia" w:ascii="宋体" w:hAnsi="宋体" w:eastAsia="宋体" w:cs="Times New Roman"/>
                <w:szCs w:val="21"/>
              </w:rPr>
              <w:t>总砷（以As计）</w:t>
            </w:r>
          </w:p>
        </w:tc>
        <w:tc>
          <w:tcPr>
            <w:tcW w:w="1224" w:type="pct"/>
            <w:vMerge w:val="restart"/>
            <w:tcBorders>
              <w:top w:val="single" w:color="auto" w:sz="4" w:space="0"/>
              <w:left w:val="single" w:color="auto" w:sz="4" w:space="0"/>
              <w:right w:val="single" w:color="auto" w:sz="4" w:space="0"/>
            </w:tcBorders>
            <w:vAlign w:val="center"/>
          </w:tcPr>
          <w:p w14:paraId="3AD6219E">
            <w:pPr>
              <w:snapToGrid w:val="0"/>
              <w:jc w:val="center"/>
              <w:rPr>
                <w:rFonts w:hint="eastAsia" w:ascii="宋体" w:hAnsi="宋体" w:eastAsia="宋体" w:cs="Times New Roman"/>
                <w:szCs w:val="21"/>
              </w:rPr>
            </w:pPr>
            <w:r>
              <w:rPr>
                <w:rFonts w:hint="eastAsia" w:ascii="宋体" w:hAnsi="宋体" w:eastAsia="宋体" w:cs="Times New Roman"/>
                <w:szCs w:val="21"/>
              </w:rPr>
              <w:t>GB14930.1—2022</w:t>
            </w:r>
          </w:p>
          <w:p w14:paraId="2D03004D">
            <w:pPr>
              <w:snapToGrid w:val="0"/>
              <w:jc w:val="center"/>
              <w:rPr>
                <w:rFonts w:hint="eastAsia" w:ascii="宋体" w:hAnsi="宋体" w:eastAsia="宋体" w:cs="Times New Roman"/>
                <w:szCs w:val="21"/>
              </w:rPr>
            </w:pPr>
            <w:r>
              <w:rPr>
                <w:rFonts w:hint="eastAsia" w:ascii="宋体" w:hAnsi="宋体" w:eastAsia="宋体" w:cs="Times New Roman"/>
                <w:szCs w:val="21"/>
              </w:rPr>
              <w:t>GB/T9985—2000</w:t>
            </w:r>
          </w:p>
          <w:p w14:paraId="4E52A4E8">
            <w:pPr>
              <w:snapToGrid w:val="0"/>
              <w:jc w:val="center"/>
              <w:rPr>
                <w:rFonts w:hint="eastAsia" w:ascii="宋体" w:hAnsi="宋体" w:eastAsia="宋体" w:cs="Times New Roman"/>
                <w:szCs w:val="21"/>
              </w:rPr>
            </w:pPr>
            <w:r>
              <w:rPr>
                <w:rFonts w:hint="eastAsia" w:ascii="宋体" w:hAnsi="宋体" w:eastAsia="宋体" w:cs="Times New Roman"/>
                <w:szCs w:val="21"/>
              </w:rPr>
              <w:t>GB/T9985—2022</w:t>
            </w:r>
          </w:p>
        </w:tc>
        <w:tc>
          <w:tcPr>
            <w:tcW w:w="1387" w:type="pct"/>
            <w:tcBorders>
              <w:top w:val="single" w:color="auto" w:sz="4" w:space="0"/>
              <w:left w:val="single" w:color="auto" w:sz="4" w:space="0"/>
              <w:right w:val="single" w:color="auto" w:sz="4" w:space="0"/>
            </w:tcBorders>
            <w:vAlign w:val="center"/>
          </w:tcPr>
          <w:p w14:paraId="44433D7A">
            <w:pPr>
              <w:snapToGrid w:val="0"/>
              <w:jc w:val="center"/>
              <w:rPr>
                <w:rFonts w:hint="eastAsia" w:ascii="宋体" w:hAnsi="宋体" w:eastAsia="宋体" w:cs="Times New Roman"/>
                <w:szCs w:val="21"/>
              </w:rPr>
            </w:pPr>
            <w:r>
              <w:rPr>
                <w:rFonts w:hint="eastAsia" w:ascii="宋体" w:hAnsi="宋体" w:eastAsia="宋体" w:cs="Times New Roman"/>
                <w:szCs w:val="21"/>
              </w:rPr>
              <w:t>GB/T 30797-2014</w:t>
            </w:r>
          </w:p>
        </w:tc>
      </w:tr>
      <w:tr w14:paraId="28E4B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1A0BAF94">
            <w:pPr>
              <w:snapToGrid w:val="0"/>
              <w:jc w:val="center"/>
              <w:rPr>
                <w:rFonts w:ascii="宋体" w:hAnsi="宋体"/>
                <w:szCs w:val="21"/>
              </w:rPr>
            </w:pPr>
            <w:r>
              <w:rPr>
                <w:rFonts w:hint="eastAsia" w:ascii="宋体" w:hAnsi="宋体"/>
                <w:szCs w:val="21"/>
              </w:rPr>
              <w:t>2</w:t>
            </w:r>
          </w:p>
        </w:tc>
        <w:tc>
          <w:tcPr>
            <w:tcW w:w="1866" w:type="pct"/>
            <w:tcBorders>
              <w:top w:val="single" w:color="auto" w:sz="4" w:space="0"/>
              <w:left w:val="single" w:color="auto" w:sz="4" w:space="0"/>
              <w:bottom w:val="single" w:color="auto" w:sz="4" w:space="0"/>
              <w:right w:val="single" w:color="auto" w:sz="4" w:space="0"/>
            </w:tcBorders>
            <w:vAlign w:val="center"/>
          </w:tcPr>
          <w:p w14:paraId="7FB8E454">
            <w:pPr>
              <w:snapToGrid w:val="0"/>
              <w:jc w:val="center"/>
              <w:rPr>
                <w:rFonts w:hint="eastAsia" w:ascii="宋体" w:hAnsi="宋体" w:eastAsia="宋体" w:cs="Times New Roman"/>
                <w:szCs w:val="21"/>
              </w:rPr>
            </w:pPr>
            <w:r>
              <w:rPr>
                <w:rFonts w:hint="eastAsia" w:ascii="宋体" w:hAnsi="宋体" w:eastAsia="宋体" w:cs="Times New Roman"/>
                <w:szCs w:val="21"/>
              </w:rPr>
              <w:t>重金属（以Pb计）</w:t>
            </w:r>
          </w:p>
        </w:tc>
        <w:tc>
          <w:tcPr>
            <w:tcW w:w="1224" w:type="pct"/>
            <w:vMerge w:val="continue"/>
            <w:tcBorders>
              <w:left w:val="single" w:color="auto" w:sz="4" w:space="0"/>
              <w:right w:val="single" w:color="auto" w:sz="4" w:space="0"/>
            </w:tcBorders>
            <w:vAlign w:val="center"/>
          </w:tcPr>
          <w:p w14:paraId="613C70FD">
            <w:pPr>
              <w:snapToGrid w:val="0"/>
              <w:jc w:val="center"/>
              <w:rPr>
                <w:rFonts w:hint="eastAsia" w:ascii="宋体" w:hAnsi="宋体" w:eastAsia="宋体" w:cs="Times New Roman"/>
                <w:szCs w:val="21"/>
              </w:rPr>
            </w:pPr>
          </w:p>
        </w:tc>
        <w:tc>
          <w:tcPr>
            <w:tcW w:w="1387" w:type="pct"/>
            <w:tcBorders>
              <w:left w:val="single" w:color="auto" w:sz="4" w:space="0"/>
              <w:right w:val="single" w:color="auto" w:sz="4" w:space="0"/>
            </w:tcBorders>
            <w:vAlign w:val="center"/>
          </w:tcPr>
          <w:p w14:paraId="5ACE86D5">
            <w:pPr>
              <w:snapToGrid w:val="0"/>
              <w:jc w:val="center"/>
              <w:rPr>
                <w:rFonts w:hint="eastAsia" w:ascii="宋体" w:hAnsi="宋体" w:eastAsia="宋体" w:cs="Times New Roman"/>
                <w:szCs w:val="21"/>
              </w:rPr>
            </w:pPr>
            <w:r>
              <w:rPr>
                <w:rFonts w:hint="eastAsia" w:ascii="宋体" w:hAnsi="宋体" w:eastAsia="宋体" w:cs="Times New Roman"/>
                <w:szCs w:val="21"/>
              </w:rPr>
              <w:t>GB/T 30799-2014</w:t>
            </w:r>
          </w:p>
        </w:tc>
      </w:tr>
      <w:tr w14:paraId="7EC2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55F1A0B6">
            <w:pPr>
              <w:snapToGrid w:val="0"/>
              <w:jc w:val="center"/>
              <w:rPr>
                <w:rFonts w:ascii="宋体" w:hAnsi="宋体"/>
                <w:szCs w:val="21"/>
              </w:rPr>
            </w:pPr>
            <w:r>
              <w:rPr>
                <w:rFonts w:hint="eastAsia" w:ascii="宋体" w:hAnsi="宋体"/>
                <w:szCs w:val="21"/>
              </w:rPr>
              <w:t>3</w:t>
            </w:r>
          </w:p>
        </w:tc>
        <w:tc>
          <w:tcPr>
            <w:tcW w:w="1866" w:type="pct"/>
            <w:tcBorders>
              <w:top w:val="single" w:color="auto" w:sz="4" w:space="0"/>
              <w:left w:val="single" w:color="auto" w:sz="4" w:space="0"/>
              <w:bottom w:val="single" w:color="auto" w:sz="4" w:space="0"/>
              <w:right w:val="single" w:color="auto" w:sz="4" w:space="0"/>
            </w:tcBorders>
            <w:vAlign w:val="center"/>
          </w:tcPr>
          <w:p w14:paraId="67E106DE">
            <w:pPr>
              <w:snapToGrid w:val="0"/>
              <w:jc w:val="center"/>
              <w:rPr>
                <w:rFonts w:hint="eastAsia" w:ascii="宋体" w:hAnsi="宋体" w:eastAsia="宋体" w:cs="Times New Roman"/>
                <w:szCs w:val="21"/>
              </w:rPr>
            </w:pPr>
            <w:r>
              <w:rPr>
                <w:rFonts w:hint="eastAsia" w:ascii="宋体" w:hAnsi="宋体" w:eastAsia="宋体" w:cs="Times New Roman"/>
                <w:szCs w:val="21"/>
              </w:rPr>
              <w:t>甲醇</w:t>
            </w:r>
          </w:p>
        </w:tc>
        <w:tc>
          <w:tcPr>
            <w:tcW w:w="1224" w:type="pct"/>
            <w:vMerge w:val="continue"/>
            <w:tcBorders>
              <w:left w:val="single" w:color="auto" w:sz="4" w:space="0"/>
              <w:right w:val="single" w:color="auto" w:sz="4" w:space="0"/>
            </w:tcBorders>
            <w:vAlign w:val="center"/>
          </w:tcPr>
          <w:p w14:paraId="02C870CC">
            <w:pPr>
              <w:snapToGrid w:val="0"/>
              <w:jc w:val="center"/>
              <w:rPr>
                <w:rFonts w:hint="eastAsia" w:ascii="宋体" w:hAnsi="宋体" w:eastAsia="宋体" w:cs="Times New Roman"/>
                <w:szCs w:val="21"/>
              </w:rPr>
            </w:pPr>
          </w:p>
        </w:tc>
        <w:tc>
          <w:tcPr>
            <w:tcW w:w="2517" w:type="dxa"/>
            <w:tcBorders>
              <w:left w:val="single" w:color="auto" w:sz="4" w:space="0"/>
              <w:right w:val="single" w:color="auto" w:sz="4" w:space="0"/>
            </w:tcBorders>
            <w:vAlign w:val="center"/>
          </w:tcPr>
          <w:p w14:paraId="295C11FD">
            <w:pPr>
              <w:snapToGrid w:val="0"/>
              <w:jc w:val="center"/>
              <w:rPr>
                <w:rFonts w:hint="eastAsia" w:ascii="宋体" w:hAnsi="宋体" w:eastAsia="宋体" w:cs="Times New Roman"/>
                <w:szCs w:val="21"/>
              </w:rPr>
            </w:pPr>
            <w:r>
              <w:rPr>
                <w:rFonts w:hint="eastAsia" w:ascii="宋体" w:hAnsi="宋体" w:eastAsia="宋体" w:cs="Times New Roman"/>
                <w:szCs w:val="21"/>
                <w:lang w:val="en-US" w:eastAsia="zh-CN"/>
              </w:rPr>
              <w:t>GB/T 30795-2014</w:t>
            </w:r>
          </w:p>
        </w:tc>
      </w:tr>
      <w:tr w14:paraId="3FD7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464EAE60">
            <w:pPr>
              <w:snapToGrid w:val="0"/>
              <w:jc w:val="center"/>
              <w:rPr>
                <w:rFonts w:ascii="宋体" w:hAnsi="宋体"/>
                <w:szCs w:val="21"/>
              </w:rPr>
            </w:pPr>
            <w:r>
              <w:rPr>
                <w:rFonts w:hint="eastAsia" w:ascii="宋体" w:hAnsi="宋体"/>
                <w:szCs w:val="21"/>
              </w:rPr>
              <w:t>4</w:t>
            </w:r>
          </w:p>
        </w:tc>
        <w:tc>
          <w:tcPr>
            <w:tcW w:w="1866" w:type="pct"/>
            <w:tcBorders>
              <w:top w:val="single" w:color="auto" w:sz="4" w:space="0"/>
              <w:left w:val="single" w:color="auto" w:sz="4" w:space="0"/>
              <w:bottom w:val="single" w:color="auto" w:sz="4" w:space="0"/>
              <w:right w:val="single" w:color="auto" w:sz="4" w:space="0"/>
            </w:tcBorders>
            <w:vAlign w:val="center"/>
          </w:tcPr>
          <w:p w14:paraId="6CC55721">
            <w:pPr>
              <w:snapToGrid w:val="0"/>
              <w:jc w:val="center"/>
              <w:rPr>
                <w:rFonts w:hint="eastAsia" w:ascii="宋体" w:hAnsi="宋体" w:eastAsia="宋体" w:cs="Times New Roman"/>
                <w:szCs w:val="21"/>
              </w:rPr>
            </w:pPr>
            <w:r>
              <w:rPr>
                <w:rFonts w:hint="eastAsia" w:ascii="宋体" w:hAnsi="宋体" w:eastAsia="宋体" w:cs="Times New Roman"/>
                <w:szCs w:val="21"/>
              </w:rPr>
              <w:t>甲醛</w:t>
            </w:r>
          </w:p>
        </w:tc>
        <w:tc>
          <w:tcPr>
            <w:tcW w:w="1224" w:type="pct"/>
            <w:vMerge w:val="continue"/>
            <w:tcBorders>
              <w:left w:val="single" w:color="auto" w:sz="4" w:space="0"/>
              <w:right w:val="single" w:color="auto" w:sz="4" w:space="0"/>
            </w:tcBorders>
            <w:vAlign w:val="center"/>
          </w:tcPr>
          <w:p w14:paraId="0FA31F15">
            <w:pPr>
              <w:snapToGrid w:val="0"/>
              <w:jc w:val="center"/>
              <w:rPr>
                <w:rFonts w:hint="eastAsia" w:ascii="宋体" w:hAnsi="宋体" w:eastAsia="宋体" w:cs="Times New Roman"/>
                <w:szCs w:val="21"/>
              </w:rPr>
            </w:pPr>
          </w:p>
        </w:tc>
        <w:tc>
          <w:tcPr>
            <w:tcW w:w="2517" w:type="dxa"/>
            <w:tcBorders>
              <w:left w:val="single" w:color="auto" w:sz="4" w:space="0"/>
              <w:right w:val="single" w:color="auto" w:sz="4" w:space="0"/>
            </w:tcBorders>
            <w:vAlign w:val="center"/>
          </w:tcPr>
          <w:p w14:paraId="0A0D0CAD">
            <w:pPr>
              <w:snapToGrid w:val="0"/>
              <w:jc w:val="center"/>
              <w:rPr>
                <w:rFonts w:hint="eastAsia" w:ascii="宋体" w:hAnsi="宋体" w:eastAsia="宋体" w:cs="Times New Roman"/>
                <w:szCs w:val="21"/>
              </w:rPr>
            </w:pPr>
            <w:r>
              <w:rPr>
                <w:rFonts w:hint="eastAsia" w:ascii="宋体" w:hAnsi="宋体" w:eastAsia="宋体" w:cs="Times New Roman"/>
                <w:szCs w:val="21"/>
                <w:lang w:val="en-US" w:eastAsia="zh-CN"/>
              </w:rPr>
              <w:t>GB/T 30796-2014</w:t>
            </w:r>
          </w:p>
        </w:tc>
      </w:tr>
      <w:tr w14:paraId="6A43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190709D6">
            <w:pPr>
              <w:snapToGrid w:val="0"/>
              <w:jc w:val="center"/>
              <w:rPr>
                <w:rFonts w:ascii="宋体" w:hAnsi="宋体"/>
                <w:szCs w:val="21"/>
              </w:rPr>
            </w:pPr>
            <w:r>
              <w:rPr>
                <w:rFonts w:hint="eastAsia" w:ascii="宋体" w:hAnsi="宋体"/>
                <w:szCs w:val="21"/>
              </w:rPr>
              <w:t>5</w:t>
            </w:r>
          </w:p>
        </w:tc>
        <w:tc>
          <w:tcPr>
            <w:tcW w:w="1866" w:type="pct"/>
            <w:tcBorders>
              <w:top w:val="single" w:color="auto" w:sz="4" w:space="0"/>
              <w:left w:val="single" w:color="auto" w:sz="4" w:space="0"/>
              <w:bottom w:val="single" w:color="auto" w:sz="4" w:space="0"/>
              <w:right w:val="single" w:color="auto" w:sz="4" w:space="0"/>
            </w:tcBorders>
            <w:vAlign w:val="center"/>
          </w:tcPr>
          <w:p w14:paraId="5BE9543D">
            <w:pPr>
              <w:snapToGrid w:val="0"/>
              <w:jc w:val="center"/>
              <w:rPr>
                <w:rFonts w:hint="eastAsia"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lang w:eastAsia="zh-CN"/>
              </w:rPr>
              <w:t>，</w:t>
            </w:r>
            <w:r>
              <w:rPr>
                <w:rFonts w:hint="eastAsia" w:ascii="宋体" w:hAnsi="宋体" w:eastAsia="宋体" w:cs="Times New Roman"/>
                <w:szCs w:val="21"/>
              </w:rPr>
              <w:t>4-二噁烷</w:t>
            </w:r>
          </w:p>
        </w:tc>
        <w:tc>
          <w:tcPr>
            <w:tcW w:w="1224" w:type="pct"/>
            <w:vMerge w:val="continue"/>
            <w:tcBorders>
              <w:left w:val="single" w:color="auto" w:sz="4" w:space="0"/>
              <w:right w:val="single" w:color="auto" w:sz="4" w:space="0"/>
            </w:tcBorders>
            <w:vAlign w:val="center"/>
          </w:tcPr>
          <w:p w14:paraId="3B57258A">
            <w:pPr>
              <w:snapToGrid w:val="0"/>
              <w:jc w:val="center"/>
              <w:rPr>
                <w:rFonts w:hint="eastAsia" w:ascii="宋体" w:hAnsi="宋体" w:eastAsia="宋体" w:cs="Times New Roman"/>
                <w:szCs w:val="21"/>
              </w:rPr>
            </w:pPr>
          </w:p>
        </w:tc>
        <w:tc>
          <w:tcPr>
            <w:tcW w:w="1387" w:type="pct"/>
            <w:tcBorders>
              <w:left w:val="single" w:color="auto" w:sz="4" w:space="0"/>
              <w:right w:val="single" w:color="auto" w:sz="4" w:space="0"/>
            </w:tcBorders>
            <w:vAlign w:val="center"/>
          </w:tcPr>
          <w:p w14:paraId="6DB07096">
            <w:pPr>
              <w:snapToGrid w:val="0"/>
              <w:jc w:val="center"/>
              <w:rPr>
                <w:rFonts w:hint="eastAsia" w:ascii="宋体" w:hAnsi="宋体" w:eastAsia="宋体" w:cs="Times New Roman"/>
                <w:szCs w:val="21"/>
              </w:rPr>
            </w:pPr>
            <w:r>
              <w:rPr>
                <w:rFonts w:hint="eastAsia" w:ascii="宋体" w:hAnsi="宋体" w:eastAsia="宋体" w:cs="Times New Roman"/>
                <w:szCs w:val="21"/>
              </w:rPr>
              <w:t>GB/T 26388-2011</w:t>
            </w:r>
          </w:p>
        </w:tc>
      </w:tr>
      <w:tr w14:paraId="18A0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16B4C331">
            <w:pPr>
              <w:snapToGrid w:val="0"/>
              <w:jc w:val="center"/>
              <w:rPr>
                <w:rFonts w:ascii="宋体" w:hAnsi="宋体"/>
                <w:szCs w:val="21"/>
              </w:rPr>
            </w:pPr>
            <w:r>
              <w:rPr>
                <w:rFonts w:hint="eastAsia" w:ascii="宋体" w:hAnsi="宋体"/>
                <w:szCs w:val="21"/>
              </w:rPr>
              <w:t>6</w:t>
            </w:r>
          </w:p>
        </w:tc>
        <w:tc>
          <w:tcPr>
            <w:tcW w:w="1866" w:type="pct"/>
            <w:tcBorders>
              <w:top w:val="single" w:color="auto" w:sz="4" w:space="0"/>
              <w:left w:val="single" w:color="auto" w:sz="4" w:space="0"/>
              <w:bottom w:val="single" w:color="auto" w:sz="4" w:space="0"/>
              <w:right w:val="single" w:color="auto" w:sz="4" w:space="0"/>
            </w:tcBorders>
            <w:vAlign w:val="center"/>
          </w:tcPr>
          <w:p w14:paraId="487C7EB0">
            <w:pPr>
              <w:snapToGrid w:val="0"/>
              <w:jc w:val="center"/>
              <w:rPr>
                <w:rFonts w:hint="eastAsia" w:ascii="宋体" w:hAnsi="宋体" w:eastAsia="宋体" w:cs="Times New Roman"/>
                <w:szCs w:val="21"/>
              </w:rPr>
            </w:pPr>
            <w:r>
              <w:rPr>
                <w:rFonts w:hint="eastAsia" w:ascii="宋体" w:hAnsi="宋体" w:eastAsia="宋体" w:cs="Times New Roman"/>
                <w:szCs w:val="21"/>
              </w:rPr>
              <w:t>菌落总数</w:t>
            </w:r>
          </w:p>
        </w:tc>
        <w:tc>
          <w:tcPr>
            <w:tcW w:w="1224" w:type="pct"/>
            <w:vMerge w:val="continue"/>
            <w:tcBorders>
              <w:left w:val="single" w:color="auto" w:sz="4" w:space="0"/>
              <w:right w:val="single" w:color="auto" w:sz="4" w:space="0"/>
            </w:tcBorders>
            <w:vAlign w:val="center"/>
          </w:tcPr>
          <w:p w14:paraId="28F41BAD">
            <w:pPr>
              <w:snapToGrid w:val="0"/>
              <w:jc w:val="center"/>
              <w:rPr>
                <w:rFonts w:hint="eastAsia" w:ascii="宋体" w:hAnsi="宋体" w:eastAsia="宋体" w:cs="Times New Roman"/>
                <w:szCs w:val="21"/>
              </w:rPr>
            </w:pPr>
          </w:p>
        </w:tc>
        <w:tc>
          <w:tcPr>
            <w:tcW w:w="1387" w:type="pct"/>
            <w:tcBorders>
              <w:left w:val="single" w:color="auto" w:sz="4" w:space="0"/>
              <w:right w:val="single" w:color="auto" w:sz="4" w:space="0"/>
            </w:tcBorders>
            <w:vAlign w:val="center"/>
          </w:tcPr>
          <w:p w14:paraId="0EFCF00A">
            <w:pPr>
              <w:snapToGrid w:val="0"/>
              <w:jc w:val="center"/>
              <w:rPr>
                <w:rFonts w:hint="eastAsia" w:ascii="宋体" w:hAnsi="宋体" w:eastAsia="宋体" w:cs="Times New Roman"/>
                <w:szCs w:val="21"/>
              </w:rPr>
            </w:pPr>
            <w:r>
              <w:rPr>
                <w:rFonts w:hint="eastAsia" w:ascii="宋体" w:hAnsi="宋体" w:eastAsia="宋体" w:cs="Times New Roman"/>
                <w:szCs w:val="21"/>
              </w:rPr>
              <w:t>GB/T 26388-2011</w:t>
            </w:r>
          </w:p>
        </w:tc>
      </w:tr>
      <w:tr w14:paraId="29D3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4CEF5150">
            <w:pPr>
              <w:snapToGrid w:val="0"/>
              <w:jc w:val="center"/>
              <w:rPr>
                <w:rFonts w:ascii="宋体" w:hAnsi="宋体"/>
                <w:szCs w:val="21"/>
              </w:rPr>
            </w:pPr>
            <w:r>
              <w:rPr>
                <w:rFonts w:hint="eastAsia" w:ascii="宋体" w:hAnsi="宋体"/>
                <w:szCs w:val="21"/>
              </w:rPr>
              <w:t>7</w:t>
            </w:r>
          </w:p>
        </w:tc>
        <w:tc>
          <w:tcPr>
            <w:tcW w:w="1866" w:type="pct"/>
            <w:tcBorders>
              <w:top w:val="single" w:color="auto" w:sz="4" w:space="0"/>
              <w:left w:val="single" w:color="auto" w:sz="4" w:space="0"/>
              <w:bottom w:val="single" w:color="auto" w:sz="4" w:space="0"/>
              <w:right w:val="single" w:color="auto" w:sz="4" w:space="0"/>
            </w:tcBorders>
            <w:vAlign w:val="center"/>
          </w:tcPr>
          <w:p w14:paraId="0CE43375">
            <w:pPr>
              <w:snapToGrid w:val="0"/>
              <w:jc w:val="center"/>
              <w:rPr>
                <w:rFonts w:hint="eastAsia" w:ascii="宋体" w:hAnsi="宋体" w:eastAsia="宋体" w:cs="Times New Roman"/>
                <w:szCs w:val="21"/>
              </w:rPr>
            </w:pPr>
            <w:r>
              <w:rPr>
                <w:rFonts w:hint="eastAsia" w:ascii="宋体" w:hAnsi="宋体" w:eastAsia="宋体" w:cs="Times New Roman"/>
                <w:szCs w:val="21"/>
              </w:rPr>
              <w:t>大肠菌群</w:t>
            </w:r>
          </w:p>
        </w:tc>
        <w:tc>
          <w:tcPr>
            <w:tcW w:w="1224" w:type="pct"/>
            <w:vMerge w:val="continue"/>
            <w:tcBorders>
              <w:left w:val="single" w:color="auto" w:sz="4" w:space="0"/>
              <w:right w:val="single" w:color="auto" w:sz="4" w:space="0"/>
            </w:tcBorders>
            <w:vAlign w:val="center"/>
          </w:tcPr>
          <w:p w14:paraId="48E8254C">
            <w:pPr>
              <w:snapToGrid w:val="0"/>
              <w:jc w:val="center"/>
              <w:rPr>
                <w:rFonts w:hint="eastAsia" w:ascii="宋体" w:hAnsi="宋体" w:eastAsia="宋体" w:cs="Times New Roman"/>
                <w:szCs w:val="21"/>
              </w:rPr>
            </w:pPr>
          </w:p>
        </w:tc>
        <w:tc>
          <w:tcPr>
            <w:tcW w:w="1387" w:type="pct"/>
            <w:tcBorders>
              <w:left w:val="single" w:color="auto" w:sz="4" w:space="0"/>
              <w:right w:val="single" w:color="auto" w:sz="4" w:space="0"/>
            </w:tcBorders>
            <w:vAlign w:val="center"/>
          </w:tcPr>
          <w:p w14:paraId="5D582974">
            <w:pPr>
              <w:snapToGrid w:val="0"/>
              <w:jc w:val="center"/>
              <w:rPr>
                <w:rFonts w:hint="eastAsia" w:ascii="宋体" w:hAnsi="宋体" w:eastAsia="宋体" w:cs="Times New Roman"/>
                <w:szCs w:val="21"/>
              </w:rPr>
            </w:pPr>
            <w:r>
              <w:rPr>
                <w:rFonts w:hint="eastAsia" w:ascii="宋体" w:hAnsi="宋体" w:eastAsia="宋体" w:cs="Times New Roman"/>
                <w:szCs w:val="21"/>
              </w:rPr>
              <w:t>GB/T 26388-2011</w:t>
            </w:r>
          </w:p>
        </w:tc>
      </w:tr>
      <w:tr w14:paraId="3086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20D5BECF">
            <w:pPr>
              <w:snapToGrid w:val="0"/>
              <w:jc w:val="center"/>
              <w:rPr>
                <w:rFonts w:hint="eastAsia" w:ascii="宋体" w:hAnsi="宋体" w:eastAsia="宋体"/>
                <w:szCs w:val="21"/>
                <w:lang w:val="en-US" w:eastAsia="zh-CN"/>
              </w:rPr>
            </w:pPr>
            <w:r>
              <w:rPr>
                <w:rFonts w:hint="eastAsia" w:ascii="宋体" w:hAnsi="宋体"/>
                <w:szCs w:val="21"/>
                <w:lang w:val="en-US" w:eastAsia="zh-CN"/>
              </w:rPr>
              <w:t>8</w:t>
            </w:r>
          </w:p>
        </w:tc>
        <w:tc>
          <w:tcPr>
            <w:tcW w:w="1866" w:type="pct"/>
            <w:tcBorders>
              <w:top w:val="single" w:color="auto" w:sz="4" w:space="0"/>
              <w:left w:val="single" w:color="auto" w:sz="4" w:space="0"/>
              <w:bottom w:val="single" w:color="auto" w:sz="4" w:space="0"/>
              <w:right w:val="single" w:color="auto" w:sz="4" w:space="0"/>
            </w:tcBorders>
            <w:vAlign w:val="center"/>
          </w:tcPr>
          <w:p w14:paraId="07F0F305">
            <w:pPr>
              <w:snapToGrid w:val="0"/>
              <w:jc w:val="center"/>
              <w:rPr>
                <w:rFonts w:hint="eastAsia" w:ascii="宋体" w:hAnsi="宋体" w:eastAsia="宋体" w:cs="Times New Roman"/>
                <w:szCs w:val="21"/>
              </w:rPr>
            </w:pPr>
            <w:r>
              <w:rPr>
                <w:rFonts w:hint="eastAsia" w:ascii="宋体" w:hAnsi="宋体" w:eastAsia="宋体" w:cs="Times New Roman"/>
                <w:szCs w:val="21"/>
              </w:rPr>
              <w:t>pH</w:t>
            </w:r>
          </w:p>
        </w:tc>
        <w:tc>
          <w:tcPr>
            <w:tcW w:w="1224" w:type="pct"/>
            <w:vMerge w:val="continue"/>
            <w:tcBorders>
              <w:left w:val="single" w:color="auto" w:sz="4" w:space="0"/>
              <w:right w:val="single" w:color="auto" w:sz="4" w:space="0"/>
            </w:tcBorders>
            <w:vAlign w:val="center"/>
          </w:tcPr>
          <w:p w14:paraId="3D8CB7B8">
            <w:pPr>
              <w:snapToGrid w:val="0"/>
              <w:jc w:val="center"/>
              <w:rPr>
                <w:rFonts w:hint="eastAsia" w:ascii="宋体" w:hAnsi="宋体" w:eastAsia="宋体" w:cs="Times New Roman"/>
                <w:szCs w:val="21"/>
              </w:rPr>
            </w:pPr>
          </w:p>
        </w:tc>
        <w:tc>
          <w:tcPr>
            <w:tcW w:w="1387" w:type="pct"/>
            <w:tcBorders>
              <w:left w:val="single" w:color="auto" w:sz="4" w:space="0"/>
              <w:right w:val="single" w:color="auto" w:sz="4" w:space="0"/>
            </w:tcBorders>
            <w:vAlign w:val="center"/>
          </w:tcPr>
          <w:p w14:paraId="7F977957">
            <w:pPr>
              <w:snapToGrid w:val="0"/>
              <w:jc w:val="center"/>
              <w:rPr>
                <w:rFonts w:hint="eastAsia" w:ascii="宋体" w:hAnsi="宋体" w:eastAsia="宋体" w:cs="Times New Roman"/>
                <w:szCs w:val="21"/>
              </w:rPr>
            </w:pPr>
            <w:r>
              <w:rPr>
                <w:rFonts w:hint="eastAsia" w:ascii="宋体" w:hAnsi="宋体" w:eastAsia="宋体" w:cs="Times New Roman"/>
                <w:szCs w:val="21"/>
              </w:rPr>
              <w:t>GB/T 6368-2008</w:t>
            </w:r>
          </w:p>
        </w:tc>
      </w:tr>
      <w:tr w14:paraId="701A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1" w:type="pct"/>
            <w:tcBorders>
              <w:top w:val="single" w:color="auto" w:sz="4" w:space="0"/>
              <w:left w:val="single" w:color="auto" w:sz="4" w:space="0"/>
              <w:bottom w:val="single" w:color="auto" w:sz="4" w:space="0"/>
              <w:right w:val="single" w:color="auto" w:sz="4" w:space="0"/>
            </w:tcBorders>
            <w:vAlign w:val="center"/>
          </w:tcPr>
          <w:p w14:paraId="1553E429">
            <w:pPr>
              <w:snapToGrid w:val="0"/>
              <w:jc w:val="center"/>
              <w:rPr>
                <w:rFonts w:hint="eastAsia" w:ascii="宋体" w:hAnsi="宋体" w:eastAsia="宋体"/>
                <w:szCs w:val="21"/>
                <w:lang w:val="en-US" w:eastAsia="zh-CN"/>
              </w:rPr>
            </w:pPr>
            <w:r>
              <w:rPr>
                <w:rFonts w:hint="eastAsia" w:ascii="宋体" w:hAnsi="宋体"/>
                <w:szCs w:val="21"/>
                <w:lang w:val="en-US" w:eastAsia="zh-CN"/>
              </w:rPr>
              <w:t>9</w:t>
            </w:r>
          </w:p>
        </w:tc>
        <w:tc>
          <w:tcPr>
            <w:tcW w:w="1866" w:type="pct"/>
            <w:tcBorders>
              <w:top w:val="single" w:color="auto" w:sz="4" w:space="0"/>
              <w:left w:val="single" w:color="auto" w:sz="4" w:space="0"/>
              <w:bottom w:val="single" w:color="auto" w:sz="4" w:space="0"/>
              <w:right w:val="single" w:color="auto" w:sz="4" w:space="0"/>
            </w:tcBorders>
            <w:vAlign w:val="center"/>
          </w:tcPr>
          <w:p w14:paraId="7234E707">
            <w:pPr>
              <w:snapToGrid w:val="0"/>
              <w:jc w:val="center"/>
              <w:rPr>
                <w:rFonts w:hint="eastAsia" w:ascii="宋体" w:hAnsi="宋体" w:eastAsia="宋体" w:cs="Times New Roman"/>
                <w:szCs w:val="21"/>
              </w:rPr>
            </w:pPr>
            <w:r>
              <w:rPr>
                <w:rFonts w:hint="eastAsia" w:ascii="宋体" w:hAnsi="宋体" w:eastAsia="宋体" w:cs="Times New Roman"/>
                <w:szCs w:val="21"/>
              </w:rPr>
              <w:t>总有效物含量</w:t>
            </w:r>
          </w:p>
        </w:tc>
        <w:tc>
          <w:tcPr>
            <w:tcW w:w="1224" w:type="pct"/>
            <w:vMerge w:val="continue"/>
            <w:tcBorders>
              <w:left w:val="single" w:color="auto" w:sz="4" w:space="0"/>
              <w:right w:val="single" w:color="auto" w:sz="4" w:space="0"/>
            </w:tcBorders>
            <w:vAlign w:val="center"/>
          </w:tcPr>
          <w:p w14:paraId="43DEED60">
            <w:pPr>
              <w:snapToGrid w:val="0"/>
              <w:jc w:val="center"/>
              <w:rPr>
                <w:rFonts w:hint="eastAsia" w:ascii="宋体" w:hAnsi="宋体" w:eastAsia="宋体" w:cs="Times New Roman"/>
                <w:szCs w:val="21"/>
              </w:rPr>
            </w:pPr>
          </w:p>
        </w:tc>
        <w:tc>
          <w:tcPr>
            <w:tcW w:w="1387" w:type="pct"/>
            <w:tcBorders>
              <w:left w:val="single" w:color="auto" w:sz="4" w:space="0"/>
              <w:right w:val="single" w:color="auto" w:sz="4" w:space="0"/>
            </w:tcBorders>
            <w:vAlign w:val="center"/>
          </w:tcPr>
          <w:p w14:paraId="3BE246E9">
            <w:pPr>
              <w:snapToGrid w:val="0"/>
              <w:jc w:val="center"/>
              <w:rPr>
                <w:rFonts w:hint="eastAsia" w:ascii="宋体" w:hAnsi="宋体" w:eastAsia="宋体" w:cs="Times New Roman"/>
                <w:szCs w:val="21"/>
              </w:rPr>
            </w:pPr>
            <w:r>
              <w:rPr>
                <w:rFonts w:hint="eastAsia" w:ascii="宋体" w:hAnsi="宋体" w:eastAsia="宋体" w:cs="Times New Roman"/>
                <w:szCs w:val="21"/>
              </w:rPr>
              <w:t>GB/T 13173-2021</w:t>
            </w:r>
          </w:p>
        </w:tc>
      </w:tr>
    </w:tbl>
    <w:p w14:paraId="4F1981A0">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手洗餐具用洗涤剂</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手洗餐具用洗涤剂</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132355AA">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747B68"/>
    <w:rsid w:val="3A761F7B"/>
    <w:rsid w:val="3AD43624"/>
    <w:rsid w:val="3BFD066E"/>
    <w:rsid w:val="3CD45671"/>
    <w:rsid w:val="3D98177F"/>
    <w:rsid w:val="3ED226D8"/>
    <w:rsid w:val="3F640A8C"/>
    <w:rsid w:val="42604847"/>
    <w:rsid w:val="42BE6BA7"/>
    <w:rsid w:val="43D15B56"/>
    <w:rsid w:val="43DB7E46"/>
    <w:rsid w:val="43E74455"/>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7F87DF2"/>
    <w:rsid w:val="5A3D262A"/>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2877</Words>
  <Characters>3122</Characters>
  <Lines>23</Lines>
  <Paragraphs>6</Paragraphs>
  <TotalTime>2</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2025-06-17T06:12:57Z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457777350C774EF5A21C03A2E521BED8_13</vt:lpwstr>
  </property>
  <property fmtid="{D5CDD505-2E9C-101B-9397-08002B2CF9AE}" pid="4" name="KSOTemplateDocerSaveRecord">
    <vt:lpwstr>eyJoZGlkIjoiNWNkZGY4NTNkYTNlZDAyNmJkNzQwY2RmNmEzMmE2NDAiLCJ1c2VySWQiOiIxNDQ1NjU1MDYxIn0=</vt:lpwstr>
  </property>
</Properties>
</file>