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6706159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柳州市知识产权保护中心专利预审服务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分类号表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（报批版）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IPC分类号表</w:t>
      </w:r>
    </w:p>
    <w:tbl>
      <w:tblPr>
        <w:tblStyle w:val="1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21"/>
        <w:gridCol w:w="6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IPC主分类小类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IPC释义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种植；播种；施肥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收获；割草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园艺；蔬菜、花卉、稻、果树、葡萄、啤酒花或海菜的栽培；林业；浇水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畜牧业；养鸟业；养蜂业；养鱼业；捕鱼业；饲养或养殖其他类不包含的动物；动物的新品种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咖啡；茶；其代用品；它们的制造、配制或泡制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A47J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厨房用具；咖啡磨；香料磨；饮料制备装置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诊断；外科；鉴定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可植入血管内的滤器；假体；为人体管状结构提供开口、或防止其塌陷的装置，例如支架；整形外科、护理或避孕装置；热敷；眼或耳的治疗或保护；绷带、敷料或吸收垫；急救箱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A61M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将介质输入人体内或输到人体上的器械；为转移人体介质或为从人体内取出介质的器械；用于产生或结束睡眠或昏迷的器械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混合，例如，溶解、乳化或分散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B01J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化学或物理方法，例如，催化作用或胶体化学；其有关设备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B01L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通用化学或物理实验室设备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B02C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一般破碎、研磨或粉碎；碾磨谷物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用细筛、粗筛、筛分或用气流将固体从固体中分离；适用于散装物料的干式分离法，如适于像散装物料那样处理的松散物品的分离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邮件分拣；单件物品的分选，或适于一件一件地分选的散装材料的分选，如拣选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一般清洁；一般污垢的防除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金属的轧制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金属板或管、棒或型材的基本无切削加工或处理；冲压金属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B22D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金属铸造；用相同工艺或设备的其他物质的铸造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车削；镗削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刨削；插削；剪切；拉削；锯；锉削；刮削；其他类目不包括的用切除材料方式对金属加工的类似操作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B23P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未包含在其他位置的金属加工；组合加工；万能机床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B23Q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机床的零件、部件或附件，如仿形装置或控制装置；以特殊零件或部件的结构为特征的通用机床；不针对某一特殊金属加工用途的金属加工机床的组合或联合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用于磨削或抛光的机床、装置或工艺；磨具磨损表面的修理或调节；磨削，抛光剂或研磨剂的进给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不包含在其他类目中的用于紧固、连接、拆卸或夹持的工具或台式设备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车间设备，例如用于工件划线；车间储存设备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B25J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机械手；装有操纵装置的容器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B26D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切割；用于打孔、冲孔、切割、冲裁或切断的机器的通用零件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加工单板或胶合板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黏土或其他陶瓷成分的成型；熔渣的成型；含有水泥材料的混合物的成型，例如灰浆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制造黏土；制造含有黏土或水泥材料的混合料，例如灰浆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B29C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塑料的成型连接；塑性状态材或料的成型，不包含在其他类目中的；已成型产品的后处理，例如修整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B29L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涉及特殊制品、与小类B29C联合使用的引得表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B30B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一般压力机；不包含在其他类目中的压力机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B62B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手动车辆，例如手推车或摇篮车；雪橇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包装物件或物料的机械，装置或设备，或方法；启封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搬运薄的或细丝状材料，如薄板、条材、缆索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B66C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起重机；用于起重机、绞盘、绞车或滑车的载荷吊挂元件或装置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B66F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不包含在其他类目中的卷扬、提升、牵引或推动，如把提升力或推动力直接作用于载荷表面的装置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水、废水、污水或污泥的处理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石灰；氧化镁；矿渣；水泥；其组合物，例如：砂浆、混凝土或类似的建筑材料；人造石；陶瓷；耐火材料；天然石的处理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铁或钢的冶炼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生铁的加工处理，例如精炼、熟铁或钢的冶炼；熔融态下铁类合金的处理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改变黑色金属的物理结构；黑色或有色金属或合金热处理用的一般设备；使金属具有韧性，例如通过脱碳或回火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C22B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金属的生产或精炼；原材料的预处理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道路、体育场或类似工程的修建或其铺面；修建和修复用的机械和附属工具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附属工程，例如，道路设备和月台、直升机降落台、标志、防雪栅等的修建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街道清洗；轨道清洗；海滩清洗；陆地清洗；一般驱雾法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基础；挖方；填方；地下或水下结构物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挖掘；疏浚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E04B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一般建筑物构造；墙，例如，间壁墙；屋顶；楼板；顶棚；建筑物的隔绝或其他防护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E04C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结构构件；建筑材料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E04F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建筑物的装修工程，例如，楼梯，楼面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E04G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脚手架、模壳；模板；施工用具或辅助设备，或其应用；建筑材料的现场处理；原有建筑物的修理，拆除或其他工作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E04H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专门用途的建筑物或类似的构筑物；游泳或喷水浴槽或池；桅杆；围栏；一般帐篷或天篷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F02M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一般燃烧发动机可燃混合物的供给或其组成部分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F15B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一般流体工作系统；流体压力执行机构，如伺服马达；不包含在其他类目中的流体压力系统的零部件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轴；软轴；在挠性护套中传递运动的机械装置；曲轴机构的元件；枢轴；枢轴连接；除传动装置、联轴器、离合器或制动器元件以外的转动工程元件；轴承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弹簧；减震器；减振装置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F16L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管子；管接头或管件；管子、电缆或护管的支撑；一般的绝热方法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F21V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照明装置或其系统的功能特征或零部件；不包含在其他类目中的照明装置和其他物品的结构组合物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其他相关子类目不包括的冰箱、冷库、冰柜、冷冻设备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F26B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从固体材料或制品中消除液体的干燥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F27D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一种以上的炉通用的炉、窑、烘烤炉或蒸馏炉的零部件或附件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长度、厚度或类似线性尺寸的计量；角度的计量；面积的计量；不规则的表面或轮廓的计量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测量距离、水准或者方位；勘测；导航；陀螺仪；摄影测量学或视频测量学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非专用于特定变量的测量；不包含在其他单独小类中的测量两个或多个变量的装置；计费设备；非专用于特定变量的传输或转换装置；未列入其他类目的测量或测试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G01N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借助于测定材料的化学或物理性质来测试或分析材料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G01S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无线电定向；无线电导航；采用无线电波测距或测速；采用无线电波的反射或再辐射的定位或存在检测；采用其他波的类似装置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G05B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一般的控制或调节系统；这种系统的功能单元；用于这种系统或单元的监视或测试装置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G05D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非电变量的控制或调节系统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G07C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时间登记器或出勤登记器；登记或指示机器的运行；产生随机数；投票或彩票设备；未列入其他类目的核算装置、系统或设备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G08G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G09B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教育或演示用具；用于教学或与盲人、聋人或哑人通信的用具；模型；天象仪；地球仪；地图；图表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H02B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供电或配电用的配电盘、变电站或开关装置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H02G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电缆或电线的安装，或光电组合电缆或电线的安装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H04W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专门适用于病人或残疾人的运输工具、专用运输工具或起居设施；手术台或手术椅子；牙科椅子；丧葬用具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喷射装置；雾化装置；喷嘴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一般对表面涂布流体的装置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钎焊或脱焊；焊接；用钎焊或焊接方法包覆或镀敷；局部加热切割，如火焰切割；用激光束加工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B32B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层状产品，即由扁平的或非扁平的薄层，例如泡沫状的、蜂窝状的薄层构成的产品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车轮；脚轮；用于脚轮或车轮的车轴；车轮附着力的提高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车辆悬架装置的配置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特别适用于车辆客室或货室的加热、冷却、通风或其他空气处理设备的布置或装置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B60J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车辆的窗、挡风玻璃、非固定车顶、门或类似装置；专门适用于车辆的可移动的外部护套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车辆动力装置或传动装置的布置或安装；两个以上不同的车辆原动机的布置或安装；车辆辅助驱动装置；车辆用仪表或仪表板；与车辆动力装置的冷却、进气、排气或燃料供给结合的布置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B60L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电动车辆动力装置；车辆辅助装备的供电；一般车辆的电力制动系统；车辆的磁悬置或悬浮；电动车辆的监控操作变量;电力牵引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B60N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用于车辆的特殊位置；不包含在其他类目中的车辆乘客用设备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B60P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适用于货运或运输、装载或包容特殊货物或物体的车辆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B60Q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一般车辆照明或信号装置的布置，及其安装或支承或其电路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B60R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不包含在其他类目中的车辆、车辆配件或车辆部件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B60S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不包含在其他类目中的车辆保养、清洗、修理、支承、举升或调试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B60T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车辆制动控制系统或其部件；一般制动控制系统或其部件；一般制动元件在车辆上的布置；用于防止车辆发生不希望的运动的便携装置；便于冷却制动器的车辆的改进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B60W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不同类型或不同功能的车辆子系统的联合控制；专门适用于混合动力车辆的控制系统；不与某一特定子系统的控制相关联的道路车辆驾驶控制系统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B62D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机动车；挂车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用于物件或物料贮存或运输的容器，如袋、桶、瓶子、箱盒、罐头、纸板箱、板条箱、圆桶、罐、槽、料仓、运输容器；所用的附件、封口或配件；包装元件；包装件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家庭的或类似的垃圾的收集或清除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B65G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运输或贮存装置，例如装载或倾卸用输送机、车间输送机系统或气动管道输送机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C22C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C25D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覆层的电解或电泳生产工艺方法；电铸；工件的电解法接合；所用的装置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E05B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锁；其附件；手铐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E05F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使翼扇移到开启或关闭位置的器件；翼扇调节；其他类目未包括而与翼扇功能有关的零件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F01N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一般机器或发动机的气流消音器或排气装置；内燃机的气流消音器或排气装置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活塞式内燃机；一般燃烧发动机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F02D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燃烧发动机的控制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F04B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液体变容式机械；泵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F04D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非变容式泵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紧固或固定构件或机器零件用的器件，如钉、螺栓、簧环、夹、卡箍或楔；连接件或连接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F16D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传送旋转运动的联轴器；离合器；制动器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F16J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活塞；缸；一般压力容器；密封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阀；龙头；旋塞；致动浮子；通风或充气装置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F16M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非专门用于其他类目所包含的发动机、机器或设备的框架、外壳或底座；机座；支架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F24F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空气调节；空气增湿；通风；空气流作为屏蔽的应用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温度测量；热量测量；未列入其他类目的热敏元件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G01L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测量力、应力、转矩、功、机械功率、机械效率或流体压力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G01M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机器或结构部件的静或动平衡的测试；其他类目中不包括的结构部件或设备的测试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G01R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测量电变量；测量磁变量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G06F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电数字数据处理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G06K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图形数据读取；数据表达；记录载体；处理记录载体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G06Q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专门适用于行政、商业、金融、管理或监督目的的信息和通信技术[ICT]；其他类目不包含的专门适用于行政、商业、金融、管理或监督目的的系统或方法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G06T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一般的图像数据处理或产生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G08B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信号装置或呼叫装置；指令发信装置；报警装置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H01F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磁体；电感；变压器；磁性材料的选择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H01H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电开关；继电器；选择器；紧急保护装置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H01M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用于直接转变化学能为电能的方法或装置，例如电池组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H01R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导电连接；一组相互绝缘的电连接元件的结构组合；连接装置；集电器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H02J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供电或配电的电路装置或系统；电能存储系统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H02K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H04L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数字信息的传输，例如电报通信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H04N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图像通信，如电视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H05K</w:t>
            </w:r>
          </w:p>
        </w:tc>
        <w:tc>
          <w:tcPr>
            <w:tcW w:w="3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印刷电路；电设备的外壳或结构零部件；电气元件组件的制造</w:t>
            </w:r>
          </w:p>
        </w:tc>
      </w:tr>
    </w:tbl>
    <w:p>
      <w:pPr>
        <w:snapToGrid w:val="0"/>
        <w:spacing w:line="440" w:lineRule="exact"/>
        <w:jc w:val="left"/>
        <w:rPr>
          <w:rFonts w:ascii="宋体" w:hAnsi="宋体" w:eastAsia="宋体"/>
          <w:color w:val="000000"/>
          <w:szCs w:val="21"/>
        </w:rPr>
      </w:pPr>
      <w:r>
        <w:rPr>
          <w:rFonts w:ascii="宋体" w:hAnsi="宋体" w:eastAsia="宋体"/>
          <w:color w:val="000000"/>
          <w:szCs w:val="21"/>
        </w:rPr>
        <w:t xml:space="preserve"> </w:t>
      </w:r>
    </w:p>
    <w:p>
      <w:pPr>
        <w:widowControl/>
        <w:spacing w:line="440" w:lineRule="exact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" w:name="_Toc6706159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洛迦诺分类号</w:t>
      </w:r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</w:p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01"/>
        <w:gridCol w:w="1736"/>
        <w:gridCol w:w="5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30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洛迦诺分类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小类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分类号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06-03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桌子及类似家具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06-04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存放物品用家具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08-05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其它工具和器具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08-08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其他类未包括的夹紧、支撑或安装装置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09-03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盒、箱、集装箱和罐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11-01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珠宝和首饰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12-05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装载或输送用的升降机和提升机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14-01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声音或图像的记录或再现设备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14-02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数据处理设备及其外围设备和装置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14-03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电信设备、无线遥控设备和无线电放大器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14-04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显示界面和图标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14-06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其他类未列入的电子设备用支架、立架和支撑装置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15-04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建筑机械、采矿机械、选矿机械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15-09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机床、研磨和铸造机械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15-99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其它杂项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19-06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用于书写、绘图、绘画、雕塑、雕刻和其他艺术技法的用品和工具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21-01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游戏器具和玩具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25-02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预制或预装建筑构件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26-03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公共场所照明装置、户外照明设备、舞台照明设备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26-05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灯，落地灯，枝形吊灯，墙壁和天花板装置，摄影和电影投光灯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29-02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其他类未列入的防事故和救援用装置及设备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06-01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椅子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10-04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其他测量仪器、设备和装置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10-05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检测、安全和测试用仪器、设备和装置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12-08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汽车、公共汽车和货车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12-11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自行车和摩托车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12-13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专用车辆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12-16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其他大类或小类未包括的交通工具零部件、装置和附件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13-02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电力变压器、整流器、电池和蓄电池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13-03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配电或电力控制设备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15-01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发动机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23-04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通风和空气调节设备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  <w:jc w:val="center"/>
        </w:trPr>
        <w:tc>
          <w:tcPr>
            <w:tcW w:w="5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26-06</w:t>
            </w:r>
          </w:p>
        </w:tc>
        <w:tc>
          <w:tcPr>
            <w:tcW w:w="3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交通工具发光装置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B3"/>
    <w:rsid w:val="00017D14"/>
    <w:rsid w:val="000840B3"/>
    <w:rsid w:val="000C1F7B"/>
    <w:rsid w:val="00206015"/>
    <w:rsid w:val="00B1178A"/>
    <w:rsid w:val="00E91748"/>
    <w:rsid w:val="00FB6D54"/>
    <w:rsid w:val="0CB877EC"/>
    <w:rsid w:val="248402E3"/>
    <w:rsid w:val="2D77B698"/>
    <w:rsid w:val="59442B5E"/>
    <w:rsid w:val="777B31F2"/>
    <w:rsid w:val="B35CDE14"/>
    <w:rsid w:val="FFF7F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960" w:line="408" w:lineRule="auto"/>
      <w:jc w:val="center"/>
      <w:outlineLvl w:val="0"/>
    </w:pPr>
    <w:rPr>
      <w:rFonts w:ascii="Times New Roman" w:hAnsi="Times New Roman" w:eastAsia="楷体"/>
      <w:b/>
      <w:bCs/>
      <w:color w:val="000000"/>
      <w:kern w:val="44"/>
      <w:sz w:val="40"/>
      <w:szCs w:val="40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156" w:afterLines="50"/>
      <w:outlineLvl w:val="1"/>
    </w:pPr>
    <w:rPr>
      <w:rFonts w:ascii="Times New Roman" w:hAnsi="Times New Roman" w:eastAsia="仿宋" w:cstheme="majorBidi"/>
      <w:b/>
      <w:bCs/>
      <w:color w:val="000000"/>
      <w:sz w:val="28"/>
      <w:szCs w:val="28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156" w:afterLines="50"/>
      <w:ind w:firstLine="482"/>
      <w:outlineLvl w:val="2"/>
    </w:pPr>
    <w:rPr>
      <w:rFonts w:ascii="Times New Roman" w:hAnsi="Times New Roman" w:eastAsia="仿宋"/>
      <w:b/>
      <w:bCs/>
      <w:color w:val="000000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  <w:rPr>
      <w:rFonts w:eastAsia="仿宋"/>
      <w:sz w:val="24"/>
    </w:rPr>
  </w:style>
  <w:style w:type="paragraph" w:styleId="6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eastAsia="仿宋"/>
      <w:sz w:val="24"/>
    </w:rPr>
  </w:style>
  <w:style w:type="paragraph" w:styleId="11">
    <w:name w:val="toc 4"/>
    <w:basedOn w:val="1"/>
    <w:next w:val="1"/>
    <w:semiHidden/>
    <w:unhideWhenUsed/>
    <w:qFormat/>
    <w:uiPriority w:val="39"/>
    <w:pPr>
      <w:ind w:left="1260" w:leftChars="600"/>
    </w:pPr>
    <w:rPr>
      <w:rFonts w:eastAsia="仿宋"/>
      <w:sz w:val="24"/>
    </w:rPr>
  </w:style>
  <w:style w:type="paragraph" w:styleId="12">
    <w:name w:val="footnote text"/>
    <w:basedOn w:val="1"/>
    <w:link w:val="3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  <w:rPr>
      <w:rFonts w:eastAsia="仿宋"/>
      <w:sz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footnote reference"/>
    <w:basedOn w:val="17"/>
    <w:semiHidden/>
    <w:unhideWhenUsed/>
    <w:qFormat/>
    <w:uiPriority w:val="99"/>
    <w:rPr>
      <w:vertAlign w:val="superscript"/>
    </w:rPr>
  </w:style>
  <w:style w:type="character" w:customStyle="1" w:styleId="21">
    <w:name w:val="标题 1 字符"/>
    <w:basedOn w:val="17"/>
    <w:link w:val="2"/>
    <w:qFormat/>
    <w:uiPriority w:val="9"/>
    <w:rPr>
      <w:rFonts w:ascii="Times New Roman" w:hAnsi="Times New Roman" w:eastAsia="楷体"/>
      <w:b/>
      <w:bCs/>
      <w:color w:val="000000"/>
      <w:kern w:val="44"/>
      <w:sz w:val="40"/>
      <w:szCs w:val="40"/>
    </w:rPr>
  </w:style>
  <w:style w:type="character" w:customStyle="1" w:styleId="22">
    <w:name w:val="标题 2 字符"/>
    <w:basedOn w:val="17"/>
    <w:link w:val="3"/>
    <w:qFormat/>
    <w:uiPriority w:val="9"/>
    <w:rPr>
      <w:rFonts w:ascii="Times New Roman" w:hAnsi="Times New Roman" w:eastAsia="仿宋" w:cstheme="majorBidi"/>
      <w:b/>
      <w:bCs/>
      <w:color w:val="000000"/>
      <w:sz w:val="28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Times New Roman" w:hAnsi="Times New Roman" w:eastAsia="仿宋"/>
      <w:b/>
      <w:bCs/>
      <w:color w:val="000000"/>
      <w:sz w:val="24"/>
      <w:szCs w:val="24"/>
    </w:rPr>
  </w:style>
  <w:style w:type="character" w:customStyle="1" w:styleId="24">
    <w:name w:val="页脚 字符"/>
    <w:basedOn w:val="17"/>
    <w:link w:val="8"/>
    <w:qFormat/>
    <w:uiPriority w:val="99"/>
    <w:rPr>
      <w:sz w:val="18"/>
      <w:szCs w:val="18"/>
    </w:rPr>
  </w:style>
  <w:style w:type="character" w:customStyle="1" w:styleId="25">
    <w:name w:val="页眉 字符"/>
    <w:basedOn w:val="17"/>
    <w:link w:val="9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TOC Heading"/>
    <w:basedOn w:val="2"/>
    <w:next w:val="1"/>
    <w:unhideWhenUsed/>
    <w:qFormat/>
    <w:uiPriority w:val="39"/>
    <w:pPr>
      <w:widowControl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8">
    <w:name w:val="段"/>
    <w:link w:val="2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9">
    <w:name w:val="段 Char"/>
    <w:link w:val="28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30">
    <w:name w:val="批注框文本 字符"/>
    <w:basedOn w:val="17"/>
    <w:link w:val="7"/>
    <w:semiHidden/>
    <w:qFormat/>
    <w:uiPriority w:val="99"/>
    <w:rPr>
      <w:sz w:val="18"/>
      <w:szCs w:val="18"/>
    </w:rPr>
  </w:style>
  <w:style w:type="character" w:customStyle="1" w:styleId="31">
    <w:name w:val="脚注文本 字符"/>
    <w:basedOn w:val="17"/>
    <w:link w:val="12"/>
    <w:semiHidden/>
    <w:qFormat/>
    <w:uiPriority w:val="99"/>
    <w:rPr>
      <w:sz w:val="18"/>
      <w:szCs w:val="18"/>
    </w:rPr>
  </w:style>
  <w:style w:type="character" w:customStyle="1" w:styleId="32">
    <w:name w:val="日期 字符"/>
    <w:basedOn w:val="17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10214</Words>
  <Characters>12505</Characters>
  <Lines>42</Lines>
  <Paragraphs>11</Paragraphs>
  <TotalTime>6</TotalTime>
  <ScaleCrop>false</ScaleCrop>
  <LinksUpToDate>false</LinksUpToDate>
  <CharactersWithSpaces>12513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2022-08-03T08:37:00Z</dcterms:created>
  <dc:creator>admin</dc:creator>
  <cp:lastModifiedBy>gxxc</cp:lastModifiedBy>
  <dcterms:modified xsi:type="dcterms:W3CDTF">2025-12-15T11:59:43Z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eyJoZGlkIjoiZTA2MGViZjc0ZDI1ZjgzZmM2MThlY2IyNmFkMmFmMWQiLCJ1c2VySWQiOiI2ODUzNTU3ODAifQ==</vt:lpwstr>
  </property>
  <property fmtid="{D5CDD505-2E9C-101B-9397-08002B2CF9AE}" pid="3" name="KSOProductBuildVer">
    <vt:lpwstr>2052-11.8.2.10624</vt:lpwstr>
  </property>
  <property fmtid="{D5CDD505-2E9C-101B-9397-08002B2CF9AE}" pid="4" name="ICV">
    <vt:lpwstr>ED57869637014841B5AC42938FEB0D48_13</vt:lpwstr>
  </property>
</Properties>
</file>