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eastAsia="仿宋_GB2312"/>
          <w:sz w:val="32"/>
        </w:rPr>
      </w:pPr>
    </w:p>
    <w:p>
      <w:pPr>
        <w:spacing w:line="640" w:lineRule="exact"/>
        <w:rPr>
          <w:rFonts w:hint="eastAsia" w:ascii="仿宋_GB2312" w:eastAsia="仿宋_GB2312"/>
          <w:sz w:val="32"/>
        </w:rPr>
      </w:pPr>
    </w:p>
    <w:p>
      <w:pPr>
        <w:spacing w:line="640" w:lineRule="exact"/>
        <w:rPr>
          <w:rFonts w:hint="eastAsia" w:ascii="仿宋_GB2312" w:eastAsia="仿宋_GB2312"/>
          <w:sz w:val="32"/>
        </w:rPr>
      </w:pPr>
    </w:p>
    <w:p>
      <w:pPr>
        <w:spacing w:line="640" w:lineRule="exact"/>
        <w:rPr>
          <w:rFonts w:hint="eastAsia" w:ascii="仿宋_GB2312" w:eastAsia="仿宋_GB2312"/>
          <w:sz w:val="32"/>
        </w:rPr>
      </w:pPr>
    </w:p>
    <w:p>
      <w:pPr>
        <w:spacing w:line="540" w:lineRule="exact"/>
        <w:jc w:val="center"/>
        <w:rPr>
          <w:rFonts w:ascii="仿宋" w:hAnsi="仿宋" w:eastAsia="仿宋"/>
          <w:sz w:val="30"/>
          <w:szCs w:val="30"/>
        </w:rPr>
      </w:pPr>
    </w:p>
    <w:p>
      <w:pPr>
        <w:spacing w:line="540" w:lineRule="exact"/>
        <w:jc w:val="center"/>
        <w:rPr>
          <w:rFonts w:ascii="仿宋" w:hAnsi="仿宋" w:eastAsia="仿宋"/>
          <w:sz w:val="30"/>
          <w:szCs w:val="30"/>
        </w:rPr>
      </w:pPr>
      <w:r>
        <w:rPr>
          <w:rFonts w:hint="eastAsia" w:ascii="仿宋" w:hAnsi="仿宋" w:eastAsia="仿宋"/>
          <w:sz w:val="30"/>
          <w:szCs w:val="30"/>
        </w:rPr>
        <w:t>柳审环城审字〔202</w:t>
      </w:r>
      <w:r>
        <w:rPr>
          <w:rFonts w:hint="eastAsia" w:ascii="仿宋" w:hAnsi="仿宋" w:eastAsia="仿宋"/>
          <w:sz w:val="30"/>
          <w:szCs w:val="30"/>
          <w:lang w:val="en-US" w:eastAsia="zh-CN"/>
        </w:rPr>
        <w:t>3</w:t>
      </w:r>
      <w:r>
        <w:rPr>
          <w:rFonts w:hint="eastAsia" w:ascii="仿宋" w:hAnsi="仿宋" w:eastAsia="仿宋"/>
          <w:sz w:val="30"/>
          <w:szCs w:val="30"/>
        </w:rPr>
        <w:t>〕</w:t>
      </w:r>
      <w:r>
        <w:rPr>
          <w:rFonts w:hint="eastAsia" w:ascii="仿宋" w:hAnsi="仿宋" w:eastAsia="仿宋"/>
          <w:color w:val="auto"/>
          <w:sz w:val="30"/>
          <w:szCs w:val="30"/>
          <w:lang w:val="en-US" w:eastAsia="zh-CN"/>
        </w:rPr>
        <w:t>22</w:t>
      </w:r>
      <w:r>
        <w:rPr>
          <w:rFonts w:hint="eastAsia" w:ascii="仿宋" w:hAnsi="仿宋" w:eastAsia="仿宋"/>
          <w:color w:val="auto"/>
          <w:sz w:val="30"/>
          <w:szCs w:val="30"/>
        </w:rPr>
        <w:t>号</w:t>
      </w:r>
    </w:p>
    <w:p>
      <w:pPr>
        <w:pStyle w:val="4"/>
        <w:spacing w:line="540" w:lineRule="exact"/>
        <w:rPr>
          <w:sz w:val="28"/>
          <w:szCs w:val="28"/>
        </w:rPr>
      </w:pPr>
    </w:p>
    <w:p>
      <w:pPr>
        <w:pStyle w:val="10"/>
        <w:rPr>
          <w:rFonts w:hint="eastAsia" w:asciiTheme="majorEastAsia" w:hAnsiTheme="majorEastAsia" w:eastAsiaTheme="majorEastAsia"/>
          <w:b/>
        </w:rPr>
      </w:pPr>
      <w:r>
        <w:rPr>
          <w:rFonts w:hint="eastAsia" w:asciiTheme="majorEastAsia" w:hAnsiTheme="majorEastAsia" w:eastAsiaTheme="majorEastAsia"/>
          <w:b/>
        </w:rPr>
        <w:t>关于柳州市响水片区防洪排涝治理工程</w:t>
      </w:r>
    </w:p>
    <w:p>
      <w:pPr>
        <w:pStyle w:val="10"/>
        <w:rPr>
          <w:rFonts w:asciiTheme="majorEastAsia" w:hAnsiTheme="majorEastAsia" w:eastAsiaTheme="majorEastAsia"/>
          <w:b/>
        </w:rPr>
      </w:pPr>
      <w:r>
        <w:rPr>
          <w:rFonts w:hint="eastAsia" w:asciiTheme="majorEastAsia" w:hAnsiTheme="majorEastAsia" w:eastAsiaTheme="majorEastAsia"/>
          <w:b/>
          <w:lang w:eastAsia="zh-CN"/>
        </w:rPr>
        <w:t>乐龙</w:t>
      </w:r>
      <w:r>
        <w:rPr>
          <w:rFonts w:hint="eastAsia" w:asciiTheme="majorEastAsia" w:hAnsiTheme="majorEastAsia" w:eastAsiaTheme="majorEastAsia"/>
          <w:b/>
        </w:rPr>
        <w:t>堤环境影响报告</w:t>
      </w:r>
      <w:r>
        <w:rPr>
          <w:rFonts w:hint="eastAsia" w:asciiTheme="majorEastAsia" w:hAnsiTheme="majorEastAsia" w:eastAsiaTheme="majorEastAsia"/>
          <w:b/>
          <w:lang w:eastAsia="zh-CN"/>
        </w:rPr>
        <w:t>书</w:t>
      </w:r>
      <w:r>
        <w:rPr>
          <w:rFonts w:hint="eastAsia" w:asciiTheme="majorEastAsia" w:hAnsiTheme="majorEastAsia" w:eastAsiaTheme="majorEastAsia"/>
          <w:b/>
        </w:rPr>
        <w:t>的批复</w:t>
      </w:r>
    </w:p>
    <w:p>
      <w:pPr>
        <w:pStyle w:val="10"/>
        <w:spacing w:line="460" w:lineRule="exact"/>
        <w:rPr>
          <w:sz w:val="30"/>
          <w:szCs w:val="30"/>
        </w:rPr>
      </w:pPr>
    </w:p>
    <w:p>
      <w:pPr>
        <w:keepNext w:val="0"/>
        <w:keepLines w:val="0"/>
        <w:pageBreakBefore w:val="0"/>
        <w:kinsoku/>
        <w:wordWrap/>
        <w:overflowPunct/>
        <w:topLinePunct w:val="0"/>
        <w:bidi w:val="0"/>
        <w:snapToGrid/>
        <w:spacing w:line="440" w:lineRule="exact"/>
        <w:textAlignment w:val="auto"/>
        <w:rPr>
          <w:rFonts w:ascii="仿宋" w:hAnsi="仿宋" w:eastAsia="仿宋"/>
          <w:sz w:val="32"/>
          <w:szCs w:val="32"/>
        </w:rPr>
      </w:pPr>
      <w:r>
        <w:rPr>
          <w:rFonts w:hint="eastAsia" w:ascii="仿宋" w:hAnsi="仿宋" w:eastAsia="仿宋"/>
          <w:sz w:val="32"/>
          <w:szCs w:val="32"/>
        </w:rPr>
        <w:t>柳州市防洪排涝工程管理处：</w:t>
      </w:r>
    </w:p>
    <w:p>
      <w:pPr>
        <w:pStyle w:val="10"/>
        <w:keepNext w:val="0"/>
        <w:keepLines w:val="0"/>
        <w:pageBreakBefore w:val="0"/>
        <w:kinsoku/>
        <w:wordWrap/>
        <w:overflowPunct/>
        <w:topLinePunct w:val="0"/>
        <w:bidi w:val="0"/>
        <w:snapToGrid/>
        <w:spacing w:line="440" w:lineRule="exact"/>
        <w:jc w:val="both"/>
        <w:textAlignment w:val="auto"/>
        <w:rPr>
          <w:rFonts w:ascii="仿宋" w:hAnsi="仿宋" w:eastAsia="仿宋"/>
          <w:bCs w:val="0"/>
          <w:sz w:val="32"/>
          <w:szCs w:val="32"/>
        </w:rPr>
      </w:pPr>
      <w:r>
        <w:rPr>
          <w:rFonts w:hint="eastAsia" w:ascii="仿宋" w:hAnsi="仿宋" w:eastAsia="仿宋"/>
          <w:sz w:val="32"/>
          <w:szCs w:val="32"/>
        </w:rPr>
        <w:t xml:space="preserve">    你单位报来《柳州市响水片区防洪排涝治理工程</w:t>
      </w:r>
      <w:r>
        <w:rPr>
          <w:rFonts w:hint="eastAsia" w:ascii="仿宋" w:hAnsi="仿宋" w:eastAsia="仿宋"/>
          <w:sz w:val="32"/>
          <w:szCs w:val="32"/>
          <w:lang w:eastAsia="zh-CN"/>
        </w:rPr>
        <w:t>乐龙</w:t>
      </w:r>
      <w:r>
        <w:rPr>
          <w:rFonts w:hint="eastAsia" w:ascii="仿宋" w:hAnsi="仿宋" w:eastAsia="仿宋"/>
          <w:sz w:val="32"/>
          <w:szCs w:val="32"/>
        </w:rPr>
        <w:t>堤</w:t>
      </w:r>
      <w:r>
        <w:rPr>
          <w:rFonts w:hint="eastAsia" w:ascii="仿宋" w:hAnsi="仿宋" w:eastAsia="仿宋"/>
          <w:bCs w:val="0"/>
          <w:sz w:val="32"/>
          <w:szCs w:val="32"/>
        </w:rPr>
        <w:t>环</w:t>
      </w:r>
      <w:r>
        <w:rPr>
          <w:rFonts w:hint="eastAsia" w:ascii="仿宋" w:hAnsi="仿宋" w:eastAsia="仿宋"/>
          <w:sz w:val="32"/>
          <w:szCs w:val="32"/>
        </w:rPr>
        <w:t>境影响报告</w:t>
      </w:r>
      <w:r>
        <w:rPr>
          <w:rFonts w:hint="eastAsia" w:ascii="仿宋" w:hAnsi="仿宋" w:eastAsia="仿宋"/>
          <w:sz w:val="32"/>
          <w:szCs w:val="32"/>
          <w:lang w:eastAsia="zh-CN"/>
        </w:rPr>
        <w:t>书</w:t>
      </w:r>
      <w:r>
        <w:rPr>
          <w:rFonts w:hint="eastAsia" w:ascii="仿宋" w:hAnsi="仿宋" w:eastAsia="仿宋"/>
          <w:bCs w:val="0"/>
          <w:sz w:val="32"/>
          <w:szCs w:val="32"/>
        </w:rPr>
        <w:t>》</w:t>
      </w:r>
      <w:r>
        <w:rPr>
          <w:rFonts w:hint="eastAsia" w:ascii="仿宋" w:hAnsi="仿宋" w:eastAsia="仿宋"/>
          <w:bCs w:val="0"/>
          <w:sz w:val="32"/>
          <w:szCs w:val="32"/>
          <w:lang w:eastAsia="zh-CN"/>
        </w:rPr>
        <w:t>（以下简称《报告书》）</w:t>
      </w:r>
      <w:r>
        <w:rPr>
          <w:rFonts w:hint="eastAsia" w:ascii="仿宋" w:hAnsi="仿宋" w:eastAsia="仿宋"/>
          <w:bCs w:val="0"/>
          <w:sz w:val="32"/>
          <w:szCs w:val="32"/>
        </w:rPr>
        <w:t>收悉。经我局审核，现批复如下：</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jc w:val="left"/>
        <w:textAlignment w:val="auto"/>
        <w:rPr>
          <w:rFonts w:hint="eastAsia" w:ascii="仿宋" w:hAnsi="仿宋" w:eastAsia="仿宋" w:cs="Times New Roman"/>
          <w:bCs/>
          <w:color w:val="auto"/>
          <w:kern w:val="2"/>
          <w:sz w:val="32"/>
          <w:szCs w:val="32"/>
          <w:lang w:val="en-US" w:eastAsia="zh-CN" w:bidi="ar-SA"/>
        </w:rPr>
      </w:pPr>
      <w:r>
        <w:rPr>
          <w:rFonts w:hint="eastAsia" w:ascii="仿宋" w:hAnsi="仿宋" w:eastAsia="仿宋"/>
          <w:sz w:val="32"/>
          <w:szCs w:val="32"/>
        </w:rPr>
        <w:t>一、项</w:t>
      </w:r>
      <w:r>
        <w:rPr>
          <w:rFonts w:hint="eastAsia" w:ascii="仿宋" w:hAnsi="仿宋" w:eastAsia="仿宋" w:cs="Times New Roman"/>
          <w:bCs/>
          <w:kern w:val="2"/>
          <w:sz w:val="32"/>
          <w:szCs w:val="32"/>
          <w:lang w:val="en-US" w:eastAsia="zh-CN" w:bidi="ar-SA"/>
        </w:rPr>
        <w:t>目位于柳州市鱼峰区响水片区，龙珠河右岸及都乐河左岸，新建防洪堤3.202公里，新建护岸0.31公里，防洪排涝闸1座，泵站1座，临时排水涵管3处，跨堤道路4处以及适当的下河步级等。</w:t>
      </w:r>
      <w:r>
        <w:rPr>
          <w:rFonts w:hint="eastAsia" w:ascii="仿宋" w:hAnsi="仿宋" w:eastAsia="仿宋" w:cs="Times New Roman"/>
          <w:bCs/>
          <w:color w:val="auto"/>
          <w:kern w:val="2"/>
          <w:sz w:val="32"/>
          <w:szCs w:val="32"/>
          <w:lang w:val="en-US" w:eastAsia="zh-CN" w:bidi="ar-SA"/>
        </w:rPr>
        <w:t>项目总占地面积226400平方米，其中永久用地面积154200平方米，临时用地面积72200平方米。本工程不涉及基本农田、生态公益林、饮用</w:t>
      </w:r>
      <w:r>
        <w:rPr>
          <w:rFonts w:hint="eastAsia" w:ascii="仿宋" w:hAnsi="仿宋" w:eastAsia="仿宋" w:cs="Times New Roman"/>
          <w:bCs/>
          <w:color w:val="000000" w:themeColor="text1"/>
          <w:kern w:val="2"/>
          <w:sz w:val="32"/>
          <w:szCs w:val="32"/>
          <w:lang w:val="en-US" w:eastAsia="zh-CN" w:bidi="ar-SA"/>
          <w14:textFill>
            <w14:solidFill>
              <w14:schemeClr w14:val="tx1"/>
            </w14:solidFill>
          </w14:textFill>
        </w:rPr>
        <w:t>水水源源保护区、</w:t>
      </w:r>
      <w:r>
        <w:rPr>
          <w:rFonts w:hint="eastAsia" w:ascii="仿宋" w:hAnsi="仿宋" w:eastAsia="仿宋" w:cs="Times New Roman"/>
          <w:bCs/>
          <w:kern w:val="2"/>
          <w:sz w:val="32"/>
          <w:szCs w:val="32"/>
          <w:lang w:val="en-US" w:eastAsia="zh-CN" w:bidi="ar-SA"/>
        </w:rPr>
        <w:t>自然保护区及风景名胜区等生态敏感区域。项目总投资</w:t>
      </w:r>
      <w:r>
        <w:rPr>
          <w:rFonts w:hint="eastAsia" w:ascii="仿宋" w:hAnsi="仿宋" w:eastAsia="仿宋" w:cs="Times New Roman"/>
          <w:bCs/>
          <w:color w:val="auto"/>
          <w:kern w:val="2"/>
          <w:sz w:val="32"/>
          <w:szCs w:val="32"/>
          <w:lang w:val="en-US" w:eastAsia="zh-CN" w:bidi="ar-SA"/>
        </w:rPr>
        <w:t>25847.59万元，环保投资174.04万元。</w:t>
      </w:r>
    </w:p>
    <w:p>
      <w:pPr>
        <w:keepNext w:val="0"/>
        <w:keepLines w:val="0"/>
        <w:pageBreakBefore w:val="0"/>
        <w:kinsoku/>
        <w:wordWrap/>
        <w:overflowPunct/>
        <w:topLinePunct w:val="0"/>
        <w:bidi w:val="0"/>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项目已获得</w:t>
      </w:r>
      <w:r>
        <w:rPr>
          <w:rFonts w:hint="eastAsia" w:ascii="仿宋" w:hAnsi="仿宋" w:eastAsia="仿宋"/>
          <w:sz w:val="32"/>
          <w:szCs w:val="32"/>
          <w:lang w:eastAsia="zh-CN"/>
        </w:rPr>
        <w:t>《</w:t>
      </w:r>
      <w:r>
        <w:rPr>
          <w:rFonts w:hint="eastAsia" w:ascii="仿宋" w:hAnsi="仿宋" w:eastAsia="仿宋"/>
          <w:sz w:val="32"/>
          <w:szCs w:val="32"/>
        </w:rPr>
        <w:t>广西壮族自治区发展和改革委员会关于柳州市响水片区防洪排涝治理工程</w:t>
      </w:r>
      <w:r>
        <w:rPr>
          <w:rFonts w:hint="eastAsia" w:ascii="仿宋" w:hAnsi="仿宋" w:eastAsia="仿宋"/>
          <w:sz w:val="32"/>
          <w:szCs w:val="32"/>
          <w:lang w:eastAsia="zh-CN"/>
        </w:rPr>
        <w:t>乐龙</w:t>
      </w:r>
      <w:r>
        <w:rPr>
          <w:rFonts w:hint="eastAsia" w:ascii="仿宋" w:hAnsi="仿宋" w:eastAsia="仿宋"/>
          <w:sz w:val="32"/>
          <w:szCs w:val="32"/>
        </w:rPr>
        <w:t>堤</w:t>
      </w:r>
      <w:r>
        <w:rPr>
          <w:rFonts w:hint="eastAsia" w:ascii="仿宋" w:hAnsi="仿宋" w:eastAsia="仿宋"/>
          <w:sz w:val="32"/>
          <w:szCs w:val="32"/>
          <w:lang w:eastAsia="zh-CN"/>
        </w:rPr>
        <w:t>可行性研究报告的批复》</w:t>
      </w:r>
      <w:r>
        <w:rPr>
          <w:rFonts w:hint="eastAsia" w:ascii="仿宋" w:hAnsi="仿宋" w:eastAsia="仿宋"/>
          <w:sz w:val="32"/>
          <w:szCs w:val="32"/>
        </w:rPr>
        <w:t>（</w:t>
      </w:r>
      <w:r>
        <w:rPr>
          <w:rFonts w:hint="eastAsia" w:ascii="仿宋" w:hAnsi="仿宋" w:eastAsia="仿宋"/>
          <w:sz w:val="32"/>
          <w:szCs w:val="32"/>
          <w:lang w:eastAsia="zh-CN"/>
        </w:rPr>
        <w:t>桂</w:t>
      </w:r>
      <w:r>
        <w:rPr>
          <w:rFonts w:hint="eastAsia" w:ascii="仿宋" w:hAnsi="仿宋" w:eastAsia="仿宋"/>
          <w:sz w:val="32"/>
          <w:szCs w:val="32"/>
        </w:rPr>
        <w:t>发改</w:t>
      </w:r>
      <w:r>
        <w:rPr>
          <w:rFonts w:hint="eastAsia" w:ascii="仿宋" w:hAnsi="仿宋" w:eastAsia="仿宋"/>
          <w:sz w:val="32"/>
          <w:szCs w:val="32"/>
          <w:lang w:eastAsia="zh-CN"/>
        </w:rPr>
        <w:t>农经</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127</w:t>
      </w:r>
      <w:r>
        <w:rPr>
          <w:rFonts w:hint="eastAsia" w:ascii="仿宋" w:hAnsi="仿宋" w:eastAsia="仿宋"/>
          <w:sz w:val="32"/>
          <w:szCs w:val="32"/>
        </w:rPr>
        <w:t>号）。从环境影响角度考虑，同意你</w:t>
      </w:r>
      <w:r>
        <w:rPr>
          <w:rFonts w:hint="eastAsia" w:ascii="仿宋" w:hAnsi="仿宋" w:eastAsia="仿宋"/>
          <w:sz w:val="32"/>
          <w:szCs w:val="32"/>
          <w:lang w:eastAsia="zh-CN"/>
        </w:rPr>
        <w:t>单位</w:t>
      </w:r>
      <w:r>
        <w:rPr>
          <w:rFonts w:hint="eastAsia" w:ascii="仿宋" w:hAnsi="仿宋" w:eastAsia="仿宋"/>
          <w:sz w:val="32"/>
          <w:szCs w:val="32"/>
        </w:rPr>
        <w:t>按照《报告书》所列的建设项目的地点、性质、规模、采取的环境保护对策措施及下述要求进行项目建设。</w:t>
      </w:r>
    </w:p>
    <w:p>
      <w:pPr>
        <w:keepNext w:val="0"/>
        <w:keepLines w:val="0"/>
        <w:pageBreakBefore w:val="0"/>
        <w:kinsoku/>
        <w:wordWrap/>
        <w:overflowPunct/>
        <w:topLinePunct w:val="0"/>
        <w:bidi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二、项目须落实</w:t>
      </w:r>
      <w:r>
        <w:rPr>
          <w:rFonts w:hint="eastAsia" w:ascii="仿宋" w:hAnsi="仿宋" w:eastAsia="仿宋"/>
          <w:sz w:val="32"/>
          <w:szCs w:val="32"/>
          <w:lang w:eastAsia="zh-CN"/>
        </w:rPr>
        <w:t>《</w:t>
      </w:r>
      <w:r>
        <w:rPr>
          <w:rFonts w:hint="eastAsia" w:ascii="仿宋" w:hAnsi="仿宋" w:eastAsia="仿宋"/>
          <w:sz w:val="32"/>
          <w:szCs w:val="32"/>
        </w:rPr>
        <w:t>报告</w:t>
      </w:r>
      <w:r>
        <w:rPr>
          <w:rFonts w:hint="eastAsia" w:ascii="仿宋" w:hAnsi="仿宋" w:eastAsia="仿宋"/>
          <w:sz w:val="32"/>
          <w:szCs w:val="32"/>
          <w:lang w:eastAsia="zh-CN"/>
        </w:rPr>
        <w:t>书》</w:t>
      </w:r>
      <w:r>
        <w:rPr>
          <w:rFonts w:hint="eastAsia" w:ascii="仿宋" w:hAnsi="仿宋" w:eastAsia="仿宋"/>
          <w:sz w:val="32"/>
          <w:szCs w:val="32"/>
        </w:rPr>
        <w:t>提出的各项环保要求，重点抓好以下环保工作：</w:t>
      </w:r>
    </w:p>
    <w:p>
      <w:pPr>
        <w:pStyle w:val="10"/>
        <w:keepNext w:val="0"/>
        <w:keepLines w:val="0"/>
        <w:pageBreakBefore w:val="0"/>
        <w:kinsoku/>
        <w:wordWrap/>
        <w:overflowPunct/>
        <w:topLinePunct w:val="0"/>
        <w:bidi w:val="0"/>
        <w:snapToGrid/>
        <w:spacing w:line="440" w:lineRule="exact"/>
        <w:ind w:firstLine="640" w:firstLineChars="200"/>
        <w:jc w:val="both"/>
        <w:textAlignment w:val="auto"/>
        <w:rPr>
          <w:rFonts w:ascii="仿宋" w:hAnsi="仿宋" w:eastAsia="仿宋"/>
          <w:bCs w:val="0"/>
          <w:sz w:val="32"/>
          <w:szCs w:val="32"/>
        </w:rPr>
      </w:pPr>
      <w:r>
        <w:rPr>
          <w:rFonts w:hint="eastAsia" w:ascii="仿宋" w:hAnsi="仿宋" w:eastAsia="仿宋"/>
          <w:bCs w:val="0"/>
          <w:sz w:val="32"/>
          <w:szCs w:val="32"/>
        </w:rPr>
        <w:t>（一）做好施工期噪声污染防治工作，禁止在中午（12：00至14：30）、夜间（22：00至次日6：00）进行超过声环境质量标准的机械作业及施工材料运输，其他时段进行施工，须采取有效的隔声降噪措施确保各施工阶段主要噪声源噪声限值达到GB12523-2011《建筑施工场界环境噪声排放标准》中的相关要求。对周围环境敏感点设置临时性防治理噪声污染的隔声屏障，以减轻施工噪声对周围环境的影响。</w:t>
      </w:r>
      <w:r>
        <w:rPr>
          <w:rFonts w:ascii="仿宋" w:hAnsi="仿宋" w:eastAsia="仿宋"/>
          <w:bCs w:val="0"/>
          <w:sz w:val="32"/>
          <w:szCs w:val="32"/>
        </w:rPr>
        <w:t xml:space="preserve"> </w:t>
      </w:r>
    </w:p>
    <w:p>
      <w:pPr>
        <w:keepNext w:val="0"/>
        <w:keepLines w:val="0"/>
        <w:pageBreakBefore w:val="0"/>
        <w:widowControl/>
        <w:kinsoku/>
        <w:wordWrap/>
        <w:overflowPunct/>
        <w:topLinePunct w:val="0"/>
        <w:bidi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施工场地应采取围挡、遮盖、洒水降尘等措施，以减轻扬尘污染。材料运输车辆要落实防撒落、防扬尘等措施，确保场界颗粒物无组织排放浓度符合GB16297-1996《大气污染物综合排放标准》表2中无组织排放监控浓度限值要求。</w:t>
      </w:r>
    </w:p>
    <w:p>
      <w:pPr>
        <w:keepNext w:val="0"/>
        <w:keepLines w:val="0"/>
        <w:pageBreakBefore w:val="0"/>
        <w:widowControl/>
        <w:kinsoku/>
        <w:wordWrap/>
        <w:overflowPunct/>
        <w:topLinePunct w:val="0"/>
        <w:bidi w:val="0"/>
        <w:snapToGrid/>
        <w:spacing w:line="44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w:t>
      </w:r>
      <w:r>
        <w:rPr>
          <w:rFonts w:hint="eastAsia" w:ascii="仿宋" w:hAnsi="仿宋" w:eastAsia="仿宋"/>
          <w:color w:val="auto"/>
          <w:sz w:val="32"/>
          <w:szCs w:val="32"/>
          <w:lang w:eastAsia="zh-CN"/>
        </w:rPr>
        <w:t>项目</w:t>
      </w:r>
      <w:r>
        <w:rPr>
          <w:rFonts w:hint="eastAsia" w:ascii="仿宋" w:hAnsi="仿宋" w:eastAsia="仿宋"/>
          <w:color w:val="auto"/>
          <w:sz w:val="32"/>
          <w:szCs w:val="32"/>
        </w:rPr>
        <w:t>施工废水经沉淀池处理</w:t>
      </w:r>
      <w:r>
        <w:rPr>
          <w:rFonts w:hint="eastAsia" w:ascii="仿宋" w:hAnsi="仿宋" w:eastAsia="仿宋" w:cs="Times New Roman"/>
          <w:color w:val="auto"/>
          <w:sz w:val="32"/>
          <w:szCs w:val="32"/>
          <w:lang w:val="en-US" w:eastAsia="zh-CN"/>
        </w:rPr>
        <w:t>回</w:t>
      </w:r>
      <w:r>
        <w:rPr>
          <w:rFonts w:hint="eastAsia" w:ascii="仿宋" w:hAnsi="仿宋" w:eastAsia="仿宋" w:cs="Times New Roman"/>
          <w:color w:val="auto"/>
          <w:sz w:val="32"/>
          <w:szCs w:val="32"/>
        </w:rPr>
        <w:t>用于</w:t>
      </w:r>
      <w:r>
        <w:rPr>
          <w:rFonts w:hint="eastAsia" w:ascii="仿宋" w:hAnsi="仿宋" w:eastAsia="仿宋" w:cs="Times New Roman"/>
          <w:color w:val="auto"/>
          <w:sz w:val="32"/>
          <w:szCs w:val="32"/>
          <w:lang w:val="en-US" w:eastAsia="zh-CN"/>
        </w:rPr>
        <w:t>场地</w:t>
      </w:r>
      <w:r>
        <w:rPr>
          <w:rFonts w:hint="eastAsia" w:ascii="仿宋" w:hAnsi="仿宋" w:eastAsia="仿宋" w:cs="Times New Roman"/>
          <w:color w:val="auto"/>
          <w:sz w:val="32"/>
          <w:szCs w:val="32"/>
        </w:rPr>
        <w:t>内洒水降尘</w:t>
      </w:r>
      <w:r>
        <w:rPr>
          <w:rFonts w:hint="eastAsia" w:ascii="仿宋" w:hAnsi="仿宋" w:eastAsia="仿宋"/>
          <w:color w:val="auto"/>
          <w:sz w:val="32"/>
          <w:szCs w:val="32"/>
          <w:lang w:eastAsia="zh-CN"/>
        </w:rPr>
        <w:t>，</w:t>
      </w:r>
      <w:r>
        <w:rPr>
          <w:rFonts w:hint="eastAsia" w:ascii="仿宋" w:hAnsi="仿宋" w:eastAsia="仿宋"/>
          <w:color w:val="auto"/>
          <w:sz w:val="32"/>
          <w:szCs w:val="32"/>
        </w:rPr>
        <w:t>项目</w:t>
      </w:r>
      <w:r>
        <w:rPr>
          <w:rFonts w:hint="eastAsia" w:ascii="仿宋" w:hAnsi="仿宋" w:eastAsia="仿宋" w:cs="Times New Roman"/>
          <w:color w:val="auto"/>
          <w:sz w:val="32"/>
          <w:szCs w:val="32"/>
        </w:rPr>
        <w:t>施工人员生活污水经化粪池处理后用于周边农田施肥，不外排</w:t>
      </w:r>
      <w:r>
        <w:rPr>
          <w:rFonts w:hint="eastAsia" w:ascii="仿宋" w:hAnsi="仿宋" w:eastAsia="仿宋"/>
          <w:color w:val="auto"/>
          <w:sz w:val="32"/>
          <w:szCs w:val="32"/>
        </w:rPr>
        <w:t>。</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color w:val="auto"/>
          <w:sz w:val="32"/>
          <w:szCs w:val="32"/>
        </w:rPr>
        <w:t>（四）做好施工区域土石方平衡设计，尽量减少挖方与弃方</w:t>
      </w:r>
      <w:r>
        <w:rPr>
          <w:rFonts w:hint="eastAsia" w:ascii="仿宋" w:hAnsi="仿宋" w:eastAsia="仿宋"/>
          <w:sz w:val="32"/>
          <w:szCs w:val="32"/>
        </w:rPr>
        <w:t>的产生。及时清运建筑垃圾和弃土,防止运输途中撒漏。弃土应运往相关部门指定点堆放。产生的建筑垃圾须按照《柳州市城市建筑垃圾管理办法》的要求及时清运处置，严禁堆放在河岸边、路旁及居民区。</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（五）尽量避免雨季施工，防止水土流失。采取有效水土流失防治措施，及时恢复绿化，做好地表开挖后的生态恢复工作。</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（六）合理布局排涝闸</w:t>
      </w:r>
      <w:r>
        <w:rPr>
          <w:rFonts w:hint="eastAsia" w:ascii="仿宋" w:hAnsi="仿宋" w:eastAsia="仿宋"/>
          <w:sz w:val="32"/>
          <w:szCs w:val="32"/>
          <w:lang w:eastAsia="zh-CN"/>
        </w:rPr>
        <w:t>及</w:t>
      </w:r>
      <w:r>
        <w:rPr>
          <w:rFonts w:hint="eastAsia" w:ascii="仿宋" w:hAnsi="仿宋" w:eastAsia="仿宋"/>
          <w:sz w:val="32"/>
          <w:szCs w:val="32"/>
        </w:rPr>
        <w:t>泵站内噪声源强较大的设备和工艺，并采取隔声降噪减振措施，确保厂界环境噪声符合GB12348-2008《工业企业厂界环境噪声排放标准》2类标准。</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（七）项目营运期生活污水经化粪池处理后用于厂区绿化施肥，不外排。</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）做好一般固体废物的综合利用和妥善处置工作。须按GB18599-2020《一般工业固体废物贮存和填埋污染控制标准》要求设置相关污染防治设施。</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）须按GB18597-20</w:t>
      </w:r>
      <w:r>
        <w:rPr>
          <w:rFonts w:hint="eastAsia" w:ascii="仿宋" w:hAnsi="仿宋" w:eastAsia="仿宋"/>
          <w:sz w:val="32"/>
          <w:szCs w:val="32"/>
          <w:lang w:val="en-US" w:eastAsia="zh-CN"/>
        </w:rPr>
        <w:t>01</w:t>
      </w:r>
      <w:r>
        <w:rPr>
          <w:rFonts w:hint="eastAsia" w:ascii="仿宋" w:hAnsi="仿宋" w:eastAsia="仿宋"/>
          <w:sz w:val="32"/>
          <w:szCs w:val="32"/>
        </w:rPr>
        <w:t>《危险废物贮存污染控制标准》要求建设废</w:t>
      </w:r>
      <w:r>
        <w:rPr>
          <w:rFonts w:hint="eastAsia" w:ascii="仿宋" w:hAnsi="仿宋" w:eastAsia="仿宋"/>
          <w:sz w:val="32"/>
          <w:szCs w:val="32"/>
          <w:lang w:eastAsia="zh-CN"/>
        </w:rPr>
        <w:t>矿物</w:t>
      </w:r>
      <w:r>
        <w:rPr>
          <w:rFonts w:hint="eastAsia" w:ascii="仿宋" w:hAnsi="仿宋" w:eastAsia="仿宋"/>
          <w:sz w:val="32"/>
          <w:szCs w:val="32"/>
        </w:rPr>
        <w:t>油、废</w:t>
      </w:r>
      <w:r>
        <w:rPr>
          <w:rFonts w:hint="eastAsia" w:ascii="仿宋" w:hAnsi="仿宋" w:eastAsia="仿宋"/>
          <w:sz w:val="32"/>
          <w:szCs w:val="32"/>
          <w:lang w:eastAsia="zh-CN"/>
        </w:rPr>
        <w:t>含</w:t>
      </w:r>
      <w:r>
        <w:rPr>
          <w:rFonts w:hint="eastAsia" w:ascii="仿宋" w:hAnsi="仿宋" w:eastAsia="仿宋"/>
          <w:sz w:val="32"/>
          <w:szCs w:val="32"/>
        </w:rPr>
        <w:t>油</w:t>
      </w:r>
      <w:r>
        <w:rPr>
          <w:rFonts w:hint="eastAsia" w:ascii="仿宋" w:hAnsi="仿宋" w:eastAsia="仿宋"/>
          <w:sz w:val="32"/>
          <w:szCs w:val="32"/>
          <w:lang w:eastAsia="zh-CN"/>
        </w:rPr>
        <w:t>抹布</w:t>
      </w:r>
      <w:r>
        <w:rPr>
          <w:rFonts w:hint="eastAsia" w:ascii="仿宋" w:hAnsi="仿宋" w:eastAsia="仿宋"/>
          <w:sz w:val="32"/>
          <w:szCs w:val="32"/>
        </w:rPr>
        <w:t>等危险废物的收集临时存放设施，危险废物须定期收集并交由有危险废物处置资质的单位处置。做好危险废物处置及转移联单的</w:t>
      </w:r>
      <w:r>
        <w:rPr>
          <w:rFonts w:hint="eastAsia" w:ascii="仿宋" w:hAnsi="仿宋" w:eastAsia="仿宋"/>
          <w:sz w:val="32"/>
          <w:szCs w:val="32"/>
          <w:lang w:eastAsia="zh-CN"/>
        </w:rPr>
        <w:t>台账</w:t>
      </w:r>
      <w:r>
        <w:rPr>
          <w:rFonts w:hint="eastAsia" w:ascii="仿宋" w:hAnsi="仿宋" w:eastAsia="仿宋"/>
          <w:sz w:val="32"/>
          <w:szCs w:val="32"/>
        </w:rPr>
        <w:t>记录。</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建设项目的初步设计应当编制环境保护篇章，落实防治环境污染和生态破坏的措施以及环境保护设施投资概算。将环境保护设施建设纳入施工合同，在施工招标文件、施工合同和工程监理招标文件中明确环境保护条款和责任，保证环境保护设施建设进度和资金落实。</w:t>
      </w:r>
    </w:p>
    <w:p>
      <w:pPr>
        <w:keepNext w:val="0"/>
        <w:keepLines w:val="0"/>
        <w:pageBreakBefore w:val="0"/>
        <w:widowControl/>
        <w:kinsoku/>
        <w:wordWrap/>
        <w:overflowPunct/>
        <w:topLinePunct w:val="0"/>
        <w:bidi w:val="0"/>
        <w:snapToGrid/>
        <w:spacing w:line="44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w:t>
      </w:r>
      <w:r>
        <w:rPr>
          <w:rFonts w:hint="eastAsia" w:ascii="仿宋" w:hAnsi="仿宋" w:eastAsia="仿宋"/>
          <w:color w:val="000000" w:themeColor="text1"/>
          <w:sz w:val="32"/>
          <w:szCs w:val="32"/>
          <w:lang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落实《建设项目环境影响评价信息公开机制方案》要求，公开项目环境信息，接受社会监督，并主动做好项目建设和运营期与周边公众的沟通协调，及时解决公众提出的环境问题，采纳公众的合理意见，满足公众合理的环境诉求。</w:t>
      </w:r>
    </w:p>
    <w:p>
      <w:pPr>
        <w:keepNext w:val="0"/>
        <w:keepLines w:val="0"/>
        <w:pageBreakBefore w:val="0"/>
        <w:widowControl/>
        <w:kinsoku/>
        <w:wordWrap/>
        <w:overflowPunct/>
        <w:topLinePunct w:val="0"/>
        <w:bidi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w:t>
      </w:r>
      <w:r>
        <w:rPr>
          <w:rFonts w:hint="eastAsia" w:ascii="仿宋" w:hAnsi="仿宋" w:eastAsia="仿宋"/>
          <w:sz w:val="32"/>
          <w:szCs w:val="32"/>
        </w:rPr>
        <w:t>二）加强环境管理，制定并落实环境保护规章制度，落实相关环境风险防控措施，确保环保设施的正常运转以及各项污染物稳定达标排放。</w:t>
      </w:r>
    </w:p>
    <w:p>
      <w:pPr>
        <w:keepNext w:val="0"/>
        <w:keepLines w:val="0"/>
        <w:pageBreakBefore w:val="0"/>
        <w:kinsoku/>
        <w:wordWrap/>
        <w:overflowPunct/>
        <w:topLinePunct w:val="0"/>
        <w:bidi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bookmarkStart w:id="0" w:name="_GoBack"/>
      <w:bookmarkEnd w:id="0"/>
    </w:p>
    <w:p>
      <w:pPr>
        <w:keepNext w:val="0"/>
        <w:keepLines w:val="0"/>
        <w:pageBreakBefore w:val="0"/>
        <w:kinsoku/>
        <w:wordWrap/>
        <w:overflowPunct/>
        <w:topLinePunct w:val="0"/>
        <w:bidi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kinsoku/>
        <w:wordWrap/>
        <w:overflowPunct/>
        <w:topLinePunct w:val="0"/>
        <w:bidi w:val="0"/>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五、建设单位在接到本批复5日内，将批复文件及批准后的《报告书》（报批稿）送达柳州市鱼峰生态环境局,并按规定接受辖区生态环境部门的监管检查。</w:t>
      </w:r>
    </w:p>
    <w:p>
      <w:pPr>
        <w:spacing w:line="520" w:lineRule="exact"/>
        <w:rPr>
          <w:rFonts w:ascii="仿宋" w:hAnsi="仿宋" w:eastAsia="仿宋"/>
          <w:sz w:val="32"/>
          <w:szCs w:val="32"/>
        </w:rPr>
      </w:pPr>
    </w:p>
    <w:p>
      <w:pPr>
        <w:spacing w:line="520" w:lineRule="exact"/>
        <w:rPr>
          <w:rFonts w:ascii="仿宋" w:hAnsi="仿宋" w:eastAsia="仿宋"/>
          <w:sz w:val="32"/>
          <w:szCs w:val="32"/>
        </w:rPr>
      </w:pPr>
    </w:p>
    <w:p>
      <w:pPr>
        <w:tabs>
          <w:tab w:val="left" w:pos="4905"/>
        </w:tabs>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日</w:t>
      </w:r>
    </w:p>
    <w:p>
      <w:pPr>
        <w:tabs>
          <w:tab w:val="left" w:pos="4905"/>
        </w:tabs>
        <w:spacing w:line="52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tabs>
          <w:tab w:val="left" w:pos="4905"/>
        </w:tabs>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tabs>
          <w:tab w:val="left" w:pos="4905"/>
        </w:tabs>
        <w:spacing w:line="360" w:lineRule="exact"/>
        <w:rPr>
          <w:rFonts w:ascii="仿宋" w:hAnsi="仿宋" w:eastAsia="仿宋"/>
          <w:sz w:val="32"/>
          <w:szCs w:val="32"/>
        </w:rPr>
      </w:pPr>
      <w:r>
        <w:rPr>
          <w:rFonts w:hint="eastAsia" w:ascii="仿宋" w:hAnsi="仿宋" w:eastAsia="仿宋"/>
          <w:sz w:val="32"/>
          <w:szCs w:val="32"/>
        </w:rPr>
        <w:t>（信息是否公开：主动公开）</w:t>
      </w:r>
    </w:p>
    <w:p>
      <w:pPr>
        <w:spacing w:line="360" w:lineRule="exact"/>
        <w:rPr>
          <w:rFonts w:hint="default" w:ascii="黑体" w:eastAsia="仿宋"/>
          <w:sz w:val="30"/>
          <w:u w:val="single"/>
          <w:lang w:val="en-US" w:eastAsia="zh-CN"/>
        </w:rPr>
      </w:pPr>
      <w:r>
        <w:rPr>
          <w:rFonts w:hint="eastAsia" w:ascii="黑体" w:hAnsi="宋体" w:eastAsia="黑体"/>
          <w:bCs/>
          <w:sz w:val="32"/>
          <w:szCs w:val="32"/>
          <w:u w:val="single"/>
        </w:rPr>
        <w:t xml:space="preserve">          </w:t>
      </w:r>
      <w:r>
        <w:rPr>
          <w:rFonts w:hint="eastAsia" w:ascii="仿宋" w:hAnsi="仿宋" w:eastAsia="仿宋"/>
          <w:bCs/>
          <w:sz w:val="28"/>
          <w:szCs w:val="28"/>
          <w:u w:val="single"/>
        </w:rPr>
        <w:t>投资项目在线审批监管平台项目代码：2208-450000-04-01-</w:t>
      </w:r>
      <w:r>
        <w:rPr>
          <w:rFonts w:hint="eastAsia" w:ascii="仿宋" w:hAnsi="仿宋" w:eastAsia="仿宋"/>
          <w:bCs/>
          <w:sz w:val="28"/>
          <w:szCs w:val="28"/>
          <w:u w:val="single"/>
          <w:lang w:val="en-US" w:eastAsia="zh-CN"/>
        </w:rPr>
        <w:t>474963</w:t>
      </w:r>
    </w:p>
    <w:p>
      <w:pPr>
        <w:spacing w:line="360" w:lineRule="exact"/>
        <w:rPr>
          <w:rFonts w:ascii="仿宋" w:hAnsi="仿宋" w:eastAsia="仿宋"/>
          <w:sz w:val="30"/>
          <w:u w:val="single"/>
        </w:rPr>
      </w:pPr>
      <w:r>
        <w:rPr>
          <w:rFonts w:hint="eastAsia" w:ascii="仿宋" w:hAnsi="仿宋" w:eastAsia="仿宋"/>
          <w:sz w:val="32"/>
          <w:szCs w:val="32"/>
          <w:u w:val="single"/>
        </w:rPr>
        <w:t>抄送:</w:t>
      </w:r>
      <w:r>
        <w:rPr>
          <w:rFonts w:hint="eastAsia" w:ascii="仿宋" w:hAnsi="仿宋" w:eastAsia="仿宋"/>
          <w:u w:val="single"/>
        </w:rPr>
        <w:t xml:space="preserve"> </w:t>
      </w:r>
      <w:r>
        <w:rPr>
          <w:rFonts w:hint="eastAsia" w:ascii="仿宋" w:hAnsi="仿宋" w:eastAsia="仿宋"/>
          <w:sz w:val="32"/>
          <w:szCs w:val="32"/>
          <w:u w:val="single"/>
        </w:rPr>
        <w:t xml:space="preserve">柳州市生态环境局                                                  </w:t>
      </w:r>
    </w:p>
    <w:p>
      <w:pPr>
        <w:spacing w:line="360" w:lineRule="exact"/>
        <w:ind w:left="5440" w:hanging="5440" w:hangingChars="1700"/>
      </w:pPr>
      <w:r>
        <w:rPr>
          <w:rFonts w:hint="eastAsia" w:ascii="仿宋" w:hAnsi="仿宋" w:eastAsia="仿宋"/>
          <w:sz w:val="32"/>
          <w:szCs w:val="32"/>
        </w:rPr>
        <w:t xml:space="preserve">柳州市行政审批局                         </w:t>
      </w:r>
      <w:r>
        <w:rPr>
          <w:rFonts w:hint="eastAsia" w:ascii="仿宋" w:hAnsi="仿宋" w:eastAsia="仿宋"/>
          <w:color w:val="auto"/>
          <w:sz w:val="32"/>
          <w:szCs w:val="32"/>
        </w:rPr>
        <w:t xml:space="preserve"> 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日印发</w:t>
      </w:r>
      <w:r>
        <w:rPr>
          <w:rFonts w:hint="eastAsia" w:ascii="仿宋_GB2312" w:eastAsia="仿宋_GB2312"/>
          <w:sz w:val="32"/>
          <w:szCs w:val="32"/>
        </w:rPr>
        <w:t xml:space="preserve"> </w:t>
      </w:r>
      <w:r>
        <w:rPr>
          <w:rFonts w:hint="eastAsia"/>
        </w:rPr>
        <w:t xml:space="preserve">                                                                </w:t>
      </w:r>
    </w:p>
    <w:sectPr>
      <w:headerReference r:id="rId3" w:type="default"/>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5597"/>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5596"/>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C5C98"/>
    <w:multiLevelType w:val="multilevel"/>
    <w:tmpl w:val="595C5C98"/>
    <w:lvl w:ilvl="0" w:tentative="0">
      <w:start w:val="1"/>
      <w:numFmt w:val="decimal"/>
      <w:pStyle w:val="2"/>
      <w:suff w:val="space"/>
      <w:lvlText w:val="%1"/>
      <w:lvlJc w:val="left"/>
      <w:pPr>
        <w:tabs>
          <w:tab w:val="left" w:pos="0"/>
        </w:tabs>
        <w:ind w:left="0" w:firstLine="0"/>
      </w:pPr>
      <w:rPr>
        <w:rFonts w:hint="eastAsia" w:ascii="Times New Roman" w:hAnsi="Times New Roman" w:eastAsia="Times New Roman" w:cs="宋体"/>
        <w:u w:val="none" w:color="auto"/>
      </w:rPr>
    </w:lvl>
    <w:lvl w:ilvl="1" w:tentative="0">
      <w:start w:val="1"/>
      <w:numFmt w:val="decimal"/>
      <w:suff w:val="space"/>
      <w:lvlText w:val="%1.%2"/>
      <w:lvlJc w:val="left"/>
      <w:pPr>
        <w:tabs>
          <w:tab w:val="left" w:pos="0"/>
        </w:tabs>
        <w:ind w:left="0" w:firstLine="0"/>
      </w:pPr>
      <w:rPr>
        <w:rFonts w:hint="eastAsia" w:ascii="Times New Roman" w:hAnsi="Times New Roman" w:eastAsia="Times New Roman" w:cs="宋体"/>
        <w:u w:val="none" w:color="auto"/>
      </w:rPr>
    </w:lvl>
    <w:lvl w:ilvl="2" w:tentative="0">
      <w:start w:val="1"/>
      <w:numFmt w:val="decimal"/>
      <w:suff w:val="space"/>
      <w:lvlText w:val="%1.%2.%3"/>
      <w:lvlJc w:val="left"/>
      <w:pPr>
        <w:tabs>
          <w:tab w:val="left" w:pos="420"/>
        </w:tabs>
        <w:ind w:left="0" w:firstLine="0"/>
      </w:pPr>
      <w:rPr>
        <w:rFonts w:hint="eastAsia" w:ascii="Times New Roman" w:hAnsi="Times New Roman" w:eastAsia="Times New Roman" w:cs="Times New Roman"/>
        <w:snapToGrid w:val="0"/>
        <w:color w:val="000000"/>
        <w:w w:val="0"/>
        <w:u w:val="none" w:color="000000"/>
      </w:rPr>
    </w:lvl>
    <w:lvl w:ilvl="3" w:tentative="0">
      <w:start w:val="1"/>
      <w:numFmt w:val="decimal"/>
      <w:suff w:val="space"/>
      <w:lvlText w:val="%1.%2.%3.%4"/>
      <w:lvlJc w:val="left"/>
      <w:pPr>
        <w:tabs>
          <w:tab w:val="left" w:pos="420"/>
        </w:tabs>
        <w:ind w:left="0" w:firstLine="0"/>
      </w:pPr>
      <w:rPr>
        <w:rFonts w:hint="eastAsia" w:ascii="Times New Roman" w:hAnsi="Times New Roman" w:eastAsia="Times New Roman" w:cs="宋体"/>
        <w:u w:val="none" w:color="auto"/>
      </w:rPr>
    </w:lvl>
    <w:lvl w:ilvl="4" w:tentative="0">
      <w:start w:val="1"/>
      <w:numFmt w:val="decimal"/>
      <w:lvlRestart w:val="0"/>
      <w:suff w:val="space"/>
      <w:lvlText w:val="表%1.%2-%5"/>
      <w:lvlJc w:val="left"/>
      <w:pPr>
        <w:tabs>
          <w:tab w:val="left" w:pos="988"/>
        </w:tabs>
        <w:ind w:left="568" w:firstLine="0"/>
      </w:pPr>
      <w:rPr>
        <w:rFonts w:hint="eastAsia" w:ascii="Times New Roman" w:hAnsi="Times New Roman" w:eastAsia="Times New Roman" w:cs="宋体"/>
        <w:u w:val="none" w:color="auto"/>
        <w:lang w:val="en-US"/>
      </w:rPr>
    </w:lvl>
    <w:lvl w:ilvl="5" w:tentative="0">
      <w:start w:val="1"/>
      <w:numFmt w:val="decimal"/>
      <w:lvlRestart w:val="0"/>
      <w:suff w:val="space"/>
      <w:lvlText w:val="图%1.%2-%6"/>
      <w:lvlJc w:val="left"/>
      <w:pPr>
        <w:tabs>
          <w:tab w:val="left" w:pos="420"/>
        </w:tabs>
        <w:ind w:left="0" w:firstLine="0"/>
      </w:pPr>
      <w:rPr>
        <w:rFonts w:hint="eastAsia" w:ascii="Times New Roman" w:hAnsi="Times New Roman" w:eastAsia="Times New Roman" w:cs="宋体"/>
        <w:u w:val="none" w:color="auto"/>
      </w:rPr>
    </w:lvl>
    <w:lvl w:ilvl="6" w:tentative="0">
      <w:start w:val="1"/>
      <w:numFmt w:val="decimal"/>
      <w:lvlText w:val="%1.%2.%3.%4.%5.%6.%7."/>
      <w:lvlJc w:val="left"/>
      <w:pPr>
        <w:ind w:left="1275" w:hanging="1275"/>
      </w:pPr>
      <w:rPr>
        <w:rFonts w:hint="default"/>
        <w:u w:val="none" w:color="auto"/>
      </w:rPr>
    </w:lvl>
    <w:lvl w:ilvl="7" w:tentative="0">
      <w:start w:val="1"/>
      <w:numFmt w:val="decimal"/>
      <w:lvlText w:val="%1.%2.%3.%4.%5.%6.%7.%8."/>
      <w:lvlJc w:val="left"/>
      <w:pPr>
        <w:ind w:left="1418" w:hanging="1418"/>
      </w:pPr>
      <w:rPr>
        <w:rFonts w:hint="default"/>
        <w:u w:val="none" w:color="auto"/>
      </w:rPr>
    </w:lvl>
    <w:lvl w:ilvl="8" w:tentative="0">
      <w:start w:val="1"/>
      <w:numFmt w:val="decimal"/>
      <w:lvlText w:val="%1.%2.%3.%4.%5.%6.%7.%8.%9."/>
      <w:lvlJc w:val="left"/>
      <w:pPr>
        <w:ind w:left="1558" w:hanging="1558"/>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YmYxMDA1MzU2MDU1NGFmYWE5N2E3MjU5MDBkNTQifQ=="/>
  </w:docVars>
  <w:rsids>
    <w:rsidRoot w:val="00172A27"/>
    <w:rsid w:val="00002DB3"/>
    <w:rsid w:val="00007473"/>
    <w:rsid w:val="00021F28"/>
    <w:rsid w:val="0002263A"/>
    <w:rsid w:val="000265BE"/>
    <w:rsid w:val="00037662"/>
    <w:rsid w:val="000417E0"/>
    <w:rsid w:val="00044BF4"/>
    <w:rsid w:val="00050355"/>
    <w:rsid w:val="00051568"/>
    <w:rsid w:val="00057910"/>
    <w:rsid w:val="0006394D"/>
    <w:rsid w:val="000646BE"/>
    <w:rsid w:val="00071B0E"/>
    <w:rsid w:val="000752D9"/>
    <w:rsid w:val="0008742C"/>
    <w:rsid w:val="00087ADD"/>
    <w:rsid w:val="00090F88"/>
    <w:rsid w:val="00095F22"/>
    <w:rsid w:val="000A2136"/>
    <w:rsid w:val="000A395F"/>
    <w:rsid w:val="000A7066"/>
    <w:rsid w:val="000C0B5E"/>
    <w:rsid w:val="000C4333"/>
    <w:rsid w:val="000D0DA5"/>
    <w:rsid w:val="000D1CFB"/>
    <w:rsid w:val="000D616A"/>
    <w:rsid w:val="000E0183"/>
    <w:rsid w:val="000E02F2"/>
    <w:rsid w:val="000E5849"/>
    <w:rsid w:val="000F0B87"/>
    <w:rsid w:val="000F1D08"/>
    <w:rsid w:val="000F1F05"/>
    <w:rsid w:val="000F7959"/>
    <w:rsid w:val="00100DB6"/>
    <w:rsid w:val="00111169"/>
    <w:rsid w:val="001115C6"/>
    <w:rsid w:val="00113A98"/>
    <w:rsid w:val="00116E10"/>
    <w:rsid w:val="00122739"/>
    <w:rsid w:val="0012601F"/>
    <w:rsid w:val="00127CF8"/>
    <w:rsid w:val="001443DF"/>
    <w:rsid w:val="00152C21"/>
    <w:rsid w:val="00165443"/>
    <w:rsid w:val="00165BA6"/>
    <w:rsid w:val="00170EAC"/>
    <w:rsid w:val="00171E90"/>
    <w:rsid w:val="001754BB"/>
    <w:rsid w:val="00181BEF"/>
    <w:rsid w:val="00183EF3"/>
    <w:rsid w:val="001859ED"/>
    <w:rsid w:val="001865E1"/>
    <w:rsid w:val="00190D38"/>
    <w:rsid w:val="00193D99"/>
    <w:rsid w:val="001A40E3"/>
    <w:rsid w:val="001A6D01"/>
    <w:rsid w:val="001B107E"/>
    <w:rsid w:val="001B1AB7"/>
    <w:rsid w:val="001B3E1F"/>
    <w:rsid w:val="001C15AB"/>
    <w:rsid w:val="001C1924"/>
    <w:rsid w:val="001C396C"/>
    <w:rsid w:val="001D078B"/>
    <w:rsid w:val="001D4CDF"/>
    <w:rsid w:val="001D54C2"/>
    <w:rsid w:val="001E4AED"/>
    <w:rsid w:val="001F3A6D"/>
    <w:rsid w:val="00204D49"/>
    <w:rsid w:val="00207BD6"/>
    <w:rsid w:val="002148A2"/>
    <w:rsid w:val="00231496"/>
    <w:rsid w:val="00232762"/>
    <w:rsid w:val="00243E64"/>
    <w:rsid w:val="00251ED7"/>
    <w:rsid w:val="002551C0"/>
    <w:rsid w:val="002560BB"/>
    <w:rsid w:val="00265D7F"/>
    <w:rsid w:val="00277B17"/>
    <w:rsid w:val="0028159C"/>
    <w:rsid w:val="002845CC"/>
    <w:rsid w:val="002859C5"/>
    <w:rsid w:val="00292F07"/>
    <w:rsid w:val="002941C2"/>
    <w:rsid w:val="002A23B2"/>
    <w:rsid w:val="002A5879"/>
    <w:rsid w:val="002B5800"/>
    <w:rsid w:val="002C371F"/>
    <w:rsid w:val="002C79EF"/>
    <w:rsid w:val="002E23C7"/>
    <w:rsid w:val="002E5EA9"/>
    <w:rsid w:val="0030373E"/>
    <w:rsid w:val="00303F1C"/>
    <w:rsid w:val="00313A31"/>
    <w:rsid w:val="0031532E"/>
    <w:rsid w:val="00316CB6"/>
    <w:rsid w:val="00316F28"/>
    <w:rsid w:val="00322363"/>
    <w:rsid w:val="003255C8"/>
    <w:rsid w:val="00332283"/>
    <w:rsid w:val="003366A5"/>
    <w:rsid w:val="003379A6"/>
    <w:rsid w:val="00344C34"/>
    <w:rsid w:val="00355D71"/>
    <w:rsid w:val="0036432D"/>
    <w:rsid w:val="003652AC"/>
    <w:rsid w:val="0037695A"/>
    <w:rsid w:val="0038007D"/>
    <w:rsid w:val="003A50D6"/>
    <w:rsid w:val="003A6447"/>
    <w:rsid w:val="003B01C7"/>
    <w:rsid w:val="003B57DD"/>
    <w:rsid w:val="003D23A1"/>
    <w:rsid w:val="003E01B7"/>
    <w:rsid w:val="003E7EE8"/>
    <w:rsid w:val="003F0448"/>
    <w:rsid w:val="003F079A"/>
    <w:rsid w:val="003F38B0"/>
    <w:rsid w:val="00403FB6"/>
    <w:rsid w:val="00414E2F"/>
    <w:rsid w:val="00437CCC"/>
    <w:rsid w:val="00444C0A"/>
    <w:rsid w:val="00460C92"/>
    <w:rsid w:val="00463416"/>
    <w:rsid w:val="004659FE"/>
    <w:rsid w:val="004660E0"/>
    <w:rsid w:val="004730A7"/>
    <w:rsid w:val="0047499C"/>
    <w:rsid w:val="0047604D"/>
    <w:rsid w:val="00480C41"/>
    <w:rsid w:val="0048551A"/>
    <w:rsid w:val="00493156"/>
    <w:rsid w:val="004A0CAC"/>
    <w:rsid w:val="004A16A9"/>
    <w:rsid w:val="004A1790"/>
    <w:rsid w:val="004A36F6"/>
    <w:rsid w:val="004A6D89"/>
    <w:rsid w:val="004A78BB"/>
    <w:rsid w:val="004B6B3B"/>
    <w:rsid w:val="004B785D"/>
    <w:rsid w:val="004C3F04"/>
    <w:rsid w:val="004D0725"/>
    <w:rsid w:val="004D3BA9"/>
    <w:rsid w:val="004F2468"/>
    <w:rsid w:val="004F5BE5"/>
    <w:rsid w:val="005024A0"/>
    <w:rsid w:val="00504F2C"/>
    <w:rsid w:val="00512CE1"/>
    <w:rsid w:val="00515FDC"/>
    <w:rsid w:val="00536236"/>
    <w:rsid w:val="0054630E"/>
    <w:rsid w:val="00551C63"/>
    <w:rsid w:val="0055463E"/>
    <w:rsid w:val="005574FC"/>
    <w:rsid w:val="005850C3"/>
    <w:rsid w:val="005861EB"/>
    <w:rsid w:val="00586C7F"/>
    <w:rsid w:val="005A1652"/>
    <w:rsid w:val="005B4670"/>
    <w:rsid w:val="005C5656"/>
    <w:rsid w:val="005D2DFD"/>
    <w:rsid w:val="005D4FD0"/>
    <w:rsid w:val="005D7D94"/>
    <w:rsid w:val="005E5797"/>
    <w:rsid w:val="005E6C86"/>
    <w:rsid w:val="005F3497"/>
    <w:rsid w:val="005F3748"/>
    <w:rsid w:val="005F38A6"/>
    <w:rsid w:val="00601AE0"/>
    <w:rsid w:val="006057EC"/>
    <w:rsid w:val="00610499"/>
    <w:rsid w:val="00613C30"/>
    <w:rsid w:val="00623F57"/>
    <w:rsid w:val="006253C8"/>
    <w:rsid w:val="00625491"/>
    <w:rsid w:val="0063305F"/>
    <w:rsid w:val="0063386C"/>
    <w:rsid w:val="00645351"/>
    <w:rsid w:val="006455A5"/>
    <w:rsid w:val="006515F9"/>
    <w:rsid w:val="00653888"/>
    <w:rsid w:val="00656CA8"/>
    <w:rsid w:val="006576A4"/>
    <w:rsid w:val="00657810"/>
    <w:rsid w:val="006618B0"/>
    <w:rsid w:val="00662B28"/>
    <w:rsid w:val="00665BFD"/>
    <w:rsid w:val="00672E2A"/>
    <w:rsid w:val="006851ED"/>
    <w:rsid w:val="00695835"/>
    <w:rsid w:val="006A036F"/>
    <w:rsid w:val="006A2F43"/>
    <w:rsid w:val="006B3F27"/>
    <w:rsid w:val="006C4BC9"/>
    <w:rsid w:val="006E7E54"/>
    <w:rsid w:val="00702DD9"/>
    <w:rsid w:val="00706988"/>
    <w:rsid w:val="00706FA6"/>
    <w:rsid w:val="0071256D"/>
    <w:rsid w:val="00712E6A"/>
    <w:rsid w:val="00733DA1"/>
    <w:rsid w:val="007359F5"/>
    <w:rsid w:val="00741E4A"/>
    <w:rsid w:val="00760F6E"/>
    <w:rsid w:val="00761F9C"/>
    <w:rsid w:val="00770B25"/>
    <w:rsid w:val="00777C53"/>
    <w:rsid w:val="00782046"/>
    <w:rsid w:val="007831EB"/>
    <w:rsid w:val="00785C85"/>
    <w:rsid w:val="00785ED3"/>
    <w:rsid w:val="007872E4"/>
    <w:rsid w:val="00787781"/>
    <w:rsid w:val="00794201"/>
    <w:rsid w:val="00797954"/>
    <w:rsid w:val="007A2667"/>
    <w:rsid w:val="007B1A8D"/>
    <w:rsid w:val="007B339A"/>
    <w:rsid w:val="007D2C5B"/>
    <w:rsid w:val="007D39AB"/>
    <w:rsid w:val="007D4A28"/>
    <w:rsid w:val="007E0C20"/>
    <w:rsid w:val="007E35AB"/>
    <w:rsid w:val="007E6622"/>
    <w:rsid w:val="007F0F8C"/>
    <w:rsid w:val="007F6B20"/>
    <w:rsid w:val="00801A56"/>
    <w:rsid w:val="00801EC5"/>
    <w:rsid w:val="008058AE"/>
    <w:rsid w:val="00807EA9"/>
    <w:rsid w:val="008114FB"/>
    <w:rsid w:val="008205C8"/>
    <w:rsid w:val="008230D2"/>
    <w:rsid w:val="00823C64"/>
    <w:rsid w:val="0082646D"/>
    <w:rsid w:val="00853043"/>
    <w:rsid w:val="00856C2F"/>
    <w:rsid w:val="0086666C"/>
    <w:rsid w:val="00880AC0"/>
    <w:rsid w:val="00881BF6"/>
    <w:rsid w:val="008978AA"/>
    <w:rsid w:val="008A7814"/>
    <w:rsid w:val="008B6705"/>
    <w:rsid w:val="008B7250"/>
    <w:rsid w:val="008C083D"/>
    <w:rsid w:val="008C40AF"/>
    <w:rsid w:val="008C5153"/>
    <w:rsid w:val="008D5CF4"/>
    <w:rsid w:val="008D7AA1"/>
    <w:rsid w:val="008E397F"/>
    <w:rsid w:val="00901127"/>
    <w:rsid w:val="00907534"/>
    <w:rsid w:val="00910DEE"/>
    <w:rsid w:val="00912C9B"/>
    <w:rsid w:val="009136AB"/>
    <w:rsid w:val="00914124"/>
    <w:rsid w:val="009204E3"/>
    <w:rsid w:val="00920647"/>
    <w:rsid w:val="00931201"/>
    <w:rsid w:val="0093313B"/>
    <w:rsid w:val="00935094"/>
    <w:rsid w:val="00946A14"/>
    <w:rsid w:val="009577EB"/>
    <w:rsid w:val="00957C04"/>
    <w:rsid w:val="00966E0C"/>
    <w:rsid w:val="00966FB3"/>
    <w:rsid w:val="00967084"/>
    <w:rsid w:val="00970B6C"/>
    <w:rsid w:val="0097232D"/>
    <w:rsid w:val="00973406"/>
    <w:rsid w:val="0097753E"/>
    <w:rsid w:val="00991E70"/>
    <w:rsid w:val="00992994"/>
    <w:rsid w:val="0099335F"/>
    <w:rsid w:val="009951E5"/>
    <w:rsid w:val="009A0076"/>
    <w:rsid w:val="009A5027"/>
    <w:rsid w:val="009B70EF"/>
    <w:rsid w:val="009B7F03"/>
    <w:rsid w:val="009C6AE9"/>
    <w:rsid w:val="009E001A"/>
    <w:rsid w:val="009E1AB1"/>
    <w:rsid w:val="009E61BC"/>
    <w:rsid w:val="009E75A2"/>
    <w:rsid w:val="009F069A"/>
    <w:rsid w:val="009F4061"/>
    <w:rsid w:val="00A008C0"/>
    <w:rsid w:val="00A01879"/>
    <w:rsid w:val="00A147DE"/>
    <w:rsid w:val="00A14E22"/>
    <w:rsid w:val="00A165DA"/>
    <w:rsid w:val="00A179EC"/>
    <w:rsid w:val="00A2008D"/>
    <w:rsid w:val="00A276DC"/>
    <w:rsid w:val="00A336C6"/>
    <w:rsid w:val="00A3486F"/>
    <w:rsid w:val="00A40675"/>
    <w:rsid w:val="00A47B69"/>
    <w:rsid w:val="00A52A01"/>
    <w:rsid w:val="00A56112"/>
    <w:rsid w:val="00A60C85"/>
    <w:rsid w:val="00A61817"/>
    <w:rsid w:val="00A64FB2"/>
    <w:rsid w:val="00A8414A"/>
    <w:rsid w:val="00A84D1F"/>
    <w:rsid w:val="00A8779B"/>
    <w:rsid w:val="00A9316C"/>
    <w:rsid w:val="00AB0761"/>
    <w:rsid w:val="00AB159E"/>
    <w:rsid w:val="00AB6634"/>
    <w:rsid w:val="00AD03F4"/>
    <w:rsid w:val="00AD0A38"/>
    <w:rsid w:val="00AD5164"/>
    <w:rsid w:val="00AD69C0"/>
    <w:rsid w:val="00AE4183"/>
    <w:rsid w:val="00AF2C0D"/>
    <w:rsid w:val="00AF4691"/>
    <w:rsid w:val="00AF4710"/>
    <w:rsid w:val="00B03470"/>
    <w:rsid w:val="00B05A5B"/>
    <w:rsid w:val="00B05E9E"/>
    <w:rsid w:val="00B06718"/>
    <w:rsid w:val="00B10904"/>
    <w:rsid w:val="00B14BB1"/>
    <w:rsid w:val="00B16950"/>
    <w:rsid w:val="00B17EC1"/>
    <w:rsid w:val="00B23525"/>
    <w:rsid w:val="00B33E5A"/>
    <w:rsid w:val="00B515C9"/>
    <w:rsid w:val="00B628FF"/>
    <w:rsid w:val="00B62A70"/>
    <w:rsid w:val="00B71A1F"/>
    <w:rsid w:val="00B764F4"/>
    <w:rsid w:val="00B77306"/>
    <w:rsid w:val="00B81E46"/>
    <w:rsid w:val="00B82947"/>
    <w:rsid w:val="00B84C82"/>
    <w:rsid w:val="00B900EC"/>
    <w:rsid w:val="00B90B45"/>
    <w:rsid w:val="00B92C86"/>
    <w:rsid w:val="00B9351E"/>
    <w:rsid w:val="00B9395E"/>
    <w:rsid w:val="00B93FA3"/>
    <w:rsid w:val="00B94816"/>
    <w:rsid w:val="00B95CA6"/>
    <w:rsid w:val="00BA1375"/>
    <w:rsid w:val="00BA5536"/>
    <w:rsid w:val="00BA5821"/>
    <w:rsid w:val="00BB3FF5"/>
    <w:rsid w:val="00BC06DE"/>
    <w:rsid w:val="00BC3475"/>
    <w:rsid w:val="00BC6656"/>
    <w:rsid w:val="00BD0D5D"/>
    <w:rsid w:val="00BD497A"/>
    <w:rsid w:val="00BD5442"/>
    <w:rsid w:val="00BD6023"/>
    <w:rsid w:val="00BE3503"/>
    <w:rsid w:val="00BE65BD"/>
    <w:rsid w:val="00BF37DA"/>
    <w:rsid w:val="00BF3DA7"/>
    <w:rsid w:val="00BF762F"/>
    <w:rsid w:val="00C0337F"/>
    <w:rsid w:val="00C21D4F"/>
    <w:rsid w:val="00C2537F"/>
    <w:rsid w:val="00C433EA"/>
    <w:rsid w:val="00C451DD"/>
    <w:rsid w:val="00C55B31"/>
    <w:rsid w:val="00C5666F"/>
    <w:rsid w:val="00C77453"/>
    <w:rsid w:val="00CB3677"/>
    <w:rsid w:val="00CC0F24"/>
    <w:rsid w:val="00CC1DFB"/>
    <w:rsid w:val="00CC3038"/>
    <w:rsid w:val="00CC4696"/>
    <w:rsid w:val="00CC7E1B"/>
    <w:rsid w:val="00CD21C1"/>
    <w:rsid w:val="00CD3CFC"/>
    <w:rsid w:val="00CE4C3D"/>
    <w:rsid w:val="00CE51E3"/>
    <w:rsid w:val="00CE5310"/>
    <w:rsid w:val="00CE6055"/>
    <w:rsid w:val="00D04EC6"/>
    <w:rsid w:val="00D17A45"/>
    <w:rsid w:val="00D239C6"/>
    <w:rsid w:val="00D37EFB"/>
    <w:rsid w:val="00D41030"/>
    <w:rsid w:val="00D41676"/>
    <w:rsid w:val="00D41DD0"/>
    <w:rsid w:val="00D442BD"/>
    <w:rsid w:val="00D4723E"/>
    <w:rsid w:val="00D54C74"/>
    <w:rsid w:val="00D605E2"/>
    <w:rsid w:val="00D61F5E"/>
    <w:rsid w:val="00D67FD6"/>
    <w:rsid w:val="00D72925"/>
    <w:rsid w:val="00D74098"/>
    <w:rsid w:val="00D75235"/>
    <w:rsid w:val="00D820B8"/>
    <w:rsid w:val="00D82221"/>
    <w:rsid w:val="00D825EC"/>
    <w:rsid w:val="00D84E91"/>
    <w:rsid w:val="00D94E62"/>
    <w:rsid w:val="00D950CC"/>
    <w:rsid w:val="00D96583"/>
    <w:rsid w:val="00D9785E"/>
    <w:rsid w:val="00DA2DDC"/>
    <w:rsid w:val="00DC1407"/>
    <w:rsid w:val="00DC15FE"/>
    <w:rsid w:val="00DC2721"/>
    <w:rsid w:val="00DC49B5"/>
    <w:rsid w:val="00DD22D0"/>
    <w:rsid w:val="00DD2B19"/>
    <w:rsid w:val="00DD4B6E"/>
    <w:rsid w:val="00DE1F8B"/>
    <w:rsid w:val="00DE39C1"/>
    <w:rsid w:val="00DF4BD5"/>
    <w:rsid w:val="00E030F7"/>
    <w:rsid w:val="00E17F27"/>
    <w:rsid w:val="00E3259B"/>
    <w:rsid w:val="00E35997"/>
    <w:rsid w:val="00E35DD5"/>
    <w:rsid w:val="00E36B51"/>
    <w:rsid w:val="00E40802"/>
    <w:rsid w:val="00E60531"/>
    <w:rsid w:val="00E6207A"/>
    <w:rsid w:val="00E76F29"/>
    <w:rsid w:val="00E807F1"/>
    <w:rsid w:val="00E94319"/>
    <w:rsid w:val="00EA62E1"/>
    <w:rsid w:val="00EA787C"/>
    <w:rsid w:val="00EB3887"/>
    <w:rsid w:val="00EC0714"/>
    <w:rsid w:val="00EC0BBE"/>
    <w:rsid w:val="00EC4EDA"/>
    <w:rsid w:val="00ED00BB"/>
    <w:rsid w:val="00ED53F3"/>
    <w:rsid w:val="00EE4D85"/>
    <w:rsid w:val="00EE69B0"/>
    <w:rsid w:val="00EE6D69"/>
    <w:rsid w:val="00EF0BD9"/>
    <w:rsid w:val="00EF2F86"/>
    <w:rsid w:val="00F072C1"/>
    <w:rsid w:val="00F23658"/>
    <w:rsid w:val="00F244D9"/>
    <w:rsid w:val="00F35532"/>
    <w:rsid w:val="00F427CE"/>
    <w:rsid w:val="00F4317D"/>
    <w:rsid w:val="00F43AAF"/>
    <w:rsid w:val="00F44F43"/>
    <w:rsid w:val="00F478C7"/>
    <w:rsid w:val="00F623F4"/>
    <w:rsid w:val="00F7268A"/>
    <w:rsid w:val="00F815CD"/>
    <w:rsid w:val="00F820EF"/>
    <w:rsid w:val="00F83AB3"/>
    <w:rsid w:val="00F87372"/>
    <w:rsid w:val="00FB5762"/>
    <w:rsid w:val="00FB7497"/>
    <w:rsid w:val="00FC2F8A"/>
    <w:rsid w:val="00FC3176"/>
    <w:rsid w:val="00FC7E15"/>
    <w:rsid w:val="00FD5F07"/>
    <w:rsid w:val="00FE038D"/>
    <w:rsid w:val="00FE0EEA"/>
    <w:rsid w:val="00FE31B6"/>
    <w:rsid w:val="00FE41E4"/>
    <w:rsid w:val="00FE649A"/>
    <w:rsid w:val="00FF04F5"/>
    <w:rsid w:val="00FF298E"/>
    <w:rsid w:val="04702B56"/>
    <w:rsid w:val="058D14E6"/>
    <w:rsid w:val="0BD83669"/>
    <w:rsid w:val="10C66AFA"/>
    <w:rsid w:val="111A3E0C"/>
    <w:rsid w:val="11DF131B"/>
    <w:rsid w:val="122007B0"/>
    <w:rsid w:val="12372F05"/>
    <w:rsid w:val="16571DC8"/>
    <w:rsid w:val="1CB52C04"/>
    <w:rsid w:val="1D953D2A"/>
    <w:rsid w:val="1EDD4E34"/>
    <w:rsid w:val="2167322C"/>
    <w:rsid w:val="22C037CA"/>
    <w:rsid w:val="22FD7853"/>
    <w:rsid w:val="26C37875"/>
    <w:rsid w:val="2AF311EB"/>
    <w:rsid w:val="2C167D84"/>
    <w:rsid w:val="3CBA3F22"/>
    <w:rsid w:val="3EC21663"/>
    <w:rsid w:val="3EF94F1B"/>
    <w:rsid w:val="471548BC"/>
    <w:rsid w:val="4D434140"/>
    <w:rsid w:val="4E6B4099"/>
    <w:rsid w:val="50F330E2"/>
    <w:rsid w:val="524939ED"/>
    <w:rsid w:val="57DF5F8B"/>
    <w:rsid w:val="594F1EAF"/>
    <w:rsid w:val="5E0B5101"/>
    <w:rsid w:val="60CF1B28"/>
    <w:rsid w:val="647A1DAB"/>
    <w:rsid w:val="6B881251"/>
    <w:rsid w:val="6F1654F2"/>
    <w:rsid w:val="73B07597"/>
    <w:rsid w:val="7C1336CF"/>
    <w:rsid w:val="7CF435F4"/>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unhideWhenUsed/>
    <w:qFormat/>
    <w:uiPriority w:val="0"/>
    <w:pPr>
      <w:keepNext/>
      <w:keepLines/>
      <w:numPr>
        <w:ilvl w:val="0"/>
        <w:numId w:val="1"/>
      </w:numPr>
      <w:adjustRightInd w:val="0"/>
      <w:snapToGrid w:val="0"/>
      <w:spacing w:beforeLines="50" w:afterLines="50"/>
    </w:pPr>
    <w:rPr>
      <w:rFonts w:hint="default" w:eastAsia="黑体"/>
      <w:kern w:val="44"/>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unhideWhenUsed/>
    <w:qFormat/>
    <w:uiPriority w:val="0"/>
    <w:pPr>
      <w:spacing w:before="240" w:beforeLines="0" w:after="60" w:afterLines="0" w:line="240" w:lineRule="auto"/>
      <w:jc w:val="center"/>
      <w:outlineLvl w:val="0"/>
    </w:pPr>
    <w:rPr>
      <w:rFonts w:hint="default" w:ascii="Arial" w:hAnsi="Arial" w:eastAsia="宋体" w:cs="Arial"/>
      <w:b/>
      <w:sz w:val="32"/>
      <w:szCs w:val="32"/>
    </w:rPr>
  </w:style>
  <w:style w:type="paragraph" w:styleId="4">
    <w:name w:val="Body Text"/>
    <w:basedOn w:val="1"/>
    <w:qFormat/>
    <w:uiPriority w:val="0"/>
    <w:rPr>
      <w:b/>
      <w:sz w:val="32"/>
      <w:szCs w:val="20"/>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Z正文 + 首行缩进:  2 字符1"/>
    <w:basedOn w:val="8"/>
    <w:unhideWhenUsed/>
    <w:qFormat/>
    <w:uiPriority w:val="0"/>
    <w:pPr>
      <w:numPr>
        <w:ilvl w:val="0"/>
        <w:numId w:val="0"/>
      </w:numPr>
      <w:tabs>
        <w:tab w:val="left" w:pos="851"/>
      </w:tabs>
      <w:ind w:firstLine="480"/>
    </w:pPr>
    <w:rPr>
      <w:rFonts w:hint="eastAsia" w:cs="宋体"/>
      <w:sz w:val="24"/>
      <w:szCs w:val="24"/>
    </w:rPr>
  </w:style>
  <w:style w:type="paragraph" w:customStyle="1" w:styleId="8">
    <w:name w:val="Z正文"/>
    <w:basedOn w:val="9"/>
    <w:unhideWhenUsed/>
    <w:qFormat/>
    <w:uiPriority w:val="0"/>
    <w:pPr>
      <w:numPr>
        <w:ilvl w:val="0"/>
        <w:numId w:val="0"/>
      </w:numPr>
      <w:tabs>
        <w:tab w:val="left" w:pos="851"/>
      </w:tabs>
      <w:ind w:firstLine="200" w:firstLineChars="200"/>
      <w:outlineLvl w:val="9"/>
    </w:pPr>
    <w:rPr>
      <w:rFonts w:hint="eastAsia" w:ascii="Times New Roman" w:eastAsia="Times New Roman"/>
      <w:sz w:val="24"/>
      <w:szCs w:val="24"/>
    </w:rPr>
  </w:style>
  <w:style w:type="paragraph" w:customStyle="1" w:styleId="9">
    <w:name w:val="样式 标题 1标题 11Head 1wsah1一、标题2Part'Document章Ch + 加粗"/>
    <w:basedOn w:val="2"/>
    <w:unhideWhenUsed/>
    <w:qFormat/>
    <w:uiPriority w:val="0"/>
    <w:pPr>
      <w:keepNext w:val="0"/>
      <w:keepLines w:val="0"/>
      <w:pageBreakBefore/>
      <w:numPr>
        <w:ilvl w:val="0"/>
        <w:numId w:val="0"/>
      </w:numPr>
      <w:tabs>
        <w:tab w:val="left" w:pos="851"/>
        <w:tab w:val="clear" w:pos="0"/>
      </w:tabs>
      <w:snapToGrid/>
      <w:spacing w:before="100" w:beforeLines="100" w:after="100" w:afterLines="100" w:line="440" w:lineRule="atLeast"/>
      <w:textAlignment w:val="baseline"/>
    </w:pPr>
    <w:rPr>
      <w:rFonts w:hint="eastAsia" w:ascii="黑体"/>
      <w:sz w:val="36"/>
      <w:szCs w:val="36"/>
    </w:rPr>
  </w:style>
  <w:style w:type="paragraph" w:styleId="10">
    <w:name w:val="Body Text 2"/>
    <w:basedOn w:val="1"/>
    <w:qFormat/>
    <w:uiPriority w:val="0"/>
    <w:pPr>
      <w:spacing w:line="600" w:lineRule="exact"/>
      <w:jc w:val="center"/>
    </w:pPr>
    <w:rPr>
      <w:rFonts w:ascii="方正小标宋简体" w:eastAsia="方正小标宋简体"/>
      <w:bCs/>
      <w:sz w:val="44"/>
      <w:szCs w:val="44"/>
    </w:rPr>
  </w:style>
  <w:style w:type="character" w:styleId="13">
    <w:name w:val="page number"/>
    <w:basedOn w:val="12"/>
    <w:qFormat/>
    <w:uiPriority w:val="0"/>
  </w:style>
  <w:style w:type="paragraph" w:customStyle="1" w:styleId="14">
    <w:name w:val="Char Char Char Char Char Char1 Char"/>
    <w:basedOn w:val="1"/>
    <w:qFormat/>
    <w:uiPriority w:val="0"/>
  </w:style>
  <w:style w:type="paragraph" w:customStyle="1" w:styleId="15">
    <w:name w:val="2"/>
    <w:basedOn w:val="1"/>
    <w:qFormat/>
    <w:uiPriority w:val="0"/>
    <w:pPr>
      <w:spacing w:line="360" w:lineRule="auto"/>
      <w:ind w:firstLine="200" w:firstLineChars="200"/>
    </w:pPr>
    <w:rPr>
      <w:rFonts w:ascii="宋体" w:hAnsi="宋体" w:cs="宋体"/>
      <w:sz w:val="24"/>
    </w:rPr>
  </w:style>
  <w:style w:type="paragraph" w:customStyle="1" w:styleId="16">
    <w:name w:val="Char Char Char Char Char Char1 Char1"/>
    <w:basedOn w:val="1"/>
    <w:qFormat/>
    <w:uiPriority w:val="0"/>
  </w:style>
  <w:style w:type="character" w:customStyle="1" w:styleId="17">
    <w:name w:val="页脚 Char"/>
    <w:basedOn w:val="12"/>
    <w:link w:val="5"/>
    <w:qFormat/>
    <w:uiPriority w:val="99"/>
    <w:rPr>
      <w:kern w:val="2"/>
      <w:sz w:val="18"/>
      <w:szCs w:val="18"/>
    </w:rPr>
  </w:style>
  <w:style w:type="paragraph" w:styleId="18">
    <w:name w:val="List Paragraph"/>
    <w:basedOn w:val="1"/>
    <w:qFormat/>
    <w:uiPriority w:val="34"/>
    <w:pPr>
      <w:ind w:firstLine="420" w:firstLineChars="200"/>
    </w:pPr>
  </w:style>
  <w:style w:type="paragraph" w:customStyle="1" w:styleId="19">
    <w:name w:val="Char Char Char Char Char Char1 Char2"/>
    <w:basedOn w:val="1"/>
    <w:qFormat/>
    <w:uiPriority w:val="0"/>
  </w:style>
  <w:style w:type="paragraph" w:customStyle="1" w:styleId="20">
    <w:name w:val="Char"/>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6C0C-A1AE-4F99-8B30-E7C3E790A23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1872</Words>
  <Characters>2007</Characters>
  <Lines>12</Lines>
  <Paragraphs>3</Paragraphs>
  <TotalTime>2</TotalTime>
  <ScaleCrop>false</ScaleCrop>
  <LinksUpToDate>false</LinksUpToDate>
  <CharactersWithSpaces>2223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2022-03-22T03:10:00Z</dcterms:created>
  <dc:creator>雨林木风</dc:creator>
  <cp:lastModifiedBy>1</cp:lastModifiedBy>
  <cp:lastPrinted>2016-02-24T02:06:00Z</cp:lastPrinted>
  <dcterms:modified xsi:type="dcterms:W3CDTF">2023-06-12T00:59:29Z</dcterms:modified>
  <dc:title>柳环审字〔2012〕号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7B0EE2FA78E5480EA51E58FCCAF351E4</vt:lpwstr>
  </property>
</Properties>
</file>