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柳审环城审字〔202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</w:rPr>
        <w:t>号</w:t>
      </w:r>
    </w:p>
    <w:p>
      <w:pPr>
        <w:pStyle w:val="8"/>
        <w:spacing w:line="540" w:lineRule="exact"/>
        <w:rPr>
          <w:color w:val="auto"/>
          <w:sz w:val="28"/>
          <w:szCs w:val="28"/>
        </w:rPr>
      </w:pPr>
    </w:p>
    <w:p>
      <w:pPr>
        <w:pStyle w:val="17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</w:t>
      </w:r>
      <w:r>
        <w:rPr>
          <w:rFonts w:hint="eastAsia" w:ascii="宋体" w:hAnsi="宋体" w:eastAsia="宋体" w:cs="Times New Roman"/>
          <w:b/>
        </w:rPr>
        <w:t>110千伏回龙（西山）送变电工程</w:t>
      </w:r>
    </w:p>
    <w:p>
      <w:pPr>
        <w:pStyle w:val="17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项目环境影响报告表的批复</w:t>
      </w:r>
    </w:p>
    <w:p>
      <w:pPr>
        <w:pStyle w:val="17"/>
        <w:spacing w:line="460" w:lineRule="exact"/>
        <w:jc w:val="left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</w:rPr>
        <w:t>广西电网有限责任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公司柳州供电局：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你公司报来《110千伏回龙（西山）送变电工程》（以</w:t>
      </w:r>
      <w:r>
        <w:rPr>
          <w:rFonts w:hint="eastAsia" w:ascii="仿宋" w:hAnsi="仿宋" w:eastAsia="仿宋"/>
          <w:bCs w:val="0"/>
          <w:sz w:val="32"/>
          <w:szCs w:val="32"/>
        </w:rPr>
        <w:t>下简称《报告表》）收悉。经我局审核，现批复如下：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>110千伏回龙（西山）送变电工程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原项目已于201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年获原柳州市环境保护局批复同意（柳环审字﹝201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号），由于至今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年未开工建设，项目周边环境及敏感点情况均已发生变化，且新项目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线路工程亦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有变动，根据柳州市生态环境局出具《柳州市生态环境局关于&lt;柳州供电局关于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>110千伏回龙（西山）送变电工程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环评手续意见的函&gt;的复函》，项目需重新报批新项目的环境影响评价文件。</w:t>
      </w:r>
    </w:p>
    <w:p>
      <w:pPr>
        <w:pStyle w:val="37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项目位于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广西壮族自治区柳州市融安县长安镇山脚村，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变电站占地12820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线路永久占地7780平方米，临时占地 80330平方米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项目主要建设内容包括：①新建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110千伏回龙变电站工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程；②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新建融安～回龙110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线路工程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新建线路长度约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13.144千米；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③新建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回龙站T接融安～长安110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千伏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线路T接段线路工程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，新建线路长度约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13.573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千米；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④在220千伏融安站现有场地内扩建110千伏出线间隔1个。项目总投资为9177万元，其中环保投资为75.5万元。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项目不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占用</w:t>
      </w:r>
      <w:r>
        <w:rPr>
          <w:rFonts w:hint="eastAsia" w:ascii="仿宋" w:hAnsi="仿宋" w:eastAsia="仿宋"/>
          <w:sz w:val="32"/>
          <w:szCs w:val="32"/>
          <w:highlight w:val="none"/>
        </w:rPr>
        <w:t>基本农田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，不涉及</w:t>
      </w:r>
      <w:r>
        <w:rPr>
          <w:rFonts w:hint="eastAsia" w:ascii="仿宋" w:hAnsi="仿宋" w:eastAsia="仿宋"/>
          <w:sz w:val="32"/>
          <w:szCs w:val="32"/>
          <w:highlight w:val="none"/>
        </w:rPr>
        <w:t>自然保护区、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风景名胜区、</w:t>
      </w:r>
      <w:r>
        <w:rPr>
          <w:rFonts w:hint="eastAsia" w:ascii="仿宋" w:hAnsi="仿宋" w:eastAsia="仿宋"/>
          <w:sz w:val="32"/>
          <w:szCs w:val="32"/>
          <w:highlight w:val="none"/>
        </w:rPr>
        <w:t>饮用水水源保护区等生态敏感区域。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项目已获得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融安县</w:t>
      </w:r>
      <w:r>
        <w:rPr>
          <w:rFonts w:hint="eastAsia" w:ascii="仿宋" w:hAnsi="仿宋" w:eastAsia="仿宋"/>
          <w:sz w:val="30"/>
          <w:szCs w:val="30"/>
          <w:highlight w:val="none"/>
        </w:rPr>
        <w:t>人民政府关于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&lt;关于再次征求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>110千伏回龙（西山）送变电工程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路路径走向的的函&gt;的复函</w:t>
      </w:r>
      <w:r>
        <w:rPr>
          <w:rFonts w:hint="eastAsia" w:ascii="仿宋" w:hAnsi="仿宋" w:eastAsia="仿宋"/>
          <w:sz w:val="32"/>
          <w:szCs w:val="32"/>
          <w:highlight w:val="none"/>
        </w:rPr>
        <w:t>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、建设项目用地预审与选址意见书（用字第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450201201900027号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。从环境影响角度考虑，同意你公司按照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报告表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所列的</w:t>
      </w:r>
      <w:r>
        <w:rPr>
          <w:rFonts w:hint="eastAsia" w:ascii="仿宋" w:hAnsi="仿宋" w:eastAsia="仿宋"/>
          <w:sz w:val="32"/>
          <w:szCs w:val="32"/>
          <w:highlight w:val="none"/>
        </w:rPr>
        <w:t>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二、项目须落实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highlight w:val="none"/>
        </w:rPr>
        <w:t>报告表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highlight w:val="none"/>
        </w:rPr>
        <w:t>提出的各项环保要求，重点抓好以下环保工作：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（一）做好施工期扬尘防治工作，</w:t>
      </w:r>
      <w:r>
        <w:rPr>
          <w:rFonts w:hint="eastAsia" w:ascii="仿宋" w:hAnsi="仿宋" w:eastAsia="仿宋"/>
          <w:sz w:val="32"/>
          <w:szCs w:val="32"/>
          <w:highlight w:val="none"/>
        </w:rPr>
        <w:t>施工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场地应采取围挡、遮盖、洒水降尘等措施以减轻污染。材料运输车辆要落实防撒落、防扬尘等措施。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（二）须对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施工场地设置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围挡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截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排水沟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和沉淀池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等防护措施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，确保施工废水经收集、沉淀处</w:t>
      </w:r>
      <w:r>
        <w:rPr>
          <w:rFonts w:hint="eastAsia" w:ascii="仿宋" w:hAnsi="仿宋" w:eastAsia="仿宋"/>
          <w:sz w:val="32"/>
          <w:szCs w:val="32"/>
          <w:highlight w:val="none"/>
        </w:rPr>
        <w:t>理后全部回用于施工场地洒水降尘，不外排。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三）做好施工区域土石方平衡设计，尽量减少挖方与弃方的产生。采取有效水土流失防治措施，并做好地表开挖后的生态恢复工作。及时清运建筑垃圾和弃土。弃土应运往相关部门指定点堆放。产生的建筑垃圾须按照《柳州市城市建筑垃圾管理办法》的要求及时清运处置，严禁堆放在路旁、居民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及河边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  <w:highlight w:val="none"/>
        </w:rPr>
        <w:t>）项目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  <w:highlight w:val="none"/>
        </w:rPr>
        <w:t>营运期生活污水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经化粪池处理后须确保外排废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水中各污染物排放浓度达到GB8978-1996《污水综合排放标准》三级标准，方可排入市政污水管网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）营运期合理布局噪声源强较大的设备，选择低噪设备，对高噪设备采取减震、隔声、消声等措施，确保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</w:rPr>
        <w:t>厂界噪声符合GB12348-2008《工业企业厂界环境噪声排放标准》2类标准。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 xml:space="preserve">）做好一般固体废物的综合利用和妥善处置工作。须按GB18599-2020《一般工业固体废物贮存和填埋污染控制标准》要求设置相关污染防治设施。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《危险废物贮存污染控制标准》的要求，建设规范的废铅蓄电池和废</w:t>
      </w:r>
      <w:r>
        <w:rPr>
          <w:rFonts w:hint="eastAsia" w:ascii="仿宋" w:hAnsi="仿宋" w:eastAsia="仿宋"/>
          <w:sz w:val="32"/>
          <w:szCs w:val="32"/>
          <w:lang w:eastAsia="zh-CN"/>
        </w:rPr>
        <w:t>变压器</w:t>
      </w:r>
      <w:r>
        <w:rPr>
          <w:rFonts w:hint="eastAsia" w:ascii="仿宋" w:hAnsi="仿宋" w:eastAsia="仿宋"/>
          <w:sz w:val="32"/>
          <w:szCs w:val="32"/>
        </w:rPr>
        <w:t>油等危险废物的收集临时存放设施，并设立明显的危废标志，危险废物须定期收集并交由有危险废物处置资质的单位按规定处理、处置，不得随意堆放、擅自外排。做好危险废物处置及转移联单的台帐记录。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确保线路及变电站</w:t>
      </w:r>
      <w:r>
        <w:rPr>
          <w:rFonts w:ascii="仿宋" w:hAnsi="仿宋" w:eastAsia="仿宋"/>
          <w:sz w:val="32"/>
          <w:szCs w:val="32"/>
        </w:rPr>
        <w:t>周边的工频电场强度、工频磁感应强度符合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）对项目</w:t>
      </w:r>
      <w:r>
        <w:rPr>
          <w:rFonts w:hint="eastAsia" w:ascii="仿宋" w:hAnsi="仿宋" w:eastAsia="仿宋"/>
          <w:sz w:val="32"/>
          <w:szCs w:val="32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</w:rPr>
        <w:t>场地、污水处理设施和事故油池等按要求进行硬化防渗漏处理。须按排污许可相关要求定期进行监测。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（十）加强与项目周边公众的沟通，进一步做好电磁辐射的相关解释和宣传工作。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、建设单位在接到本批复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日内，将批复文件及批准后的《报告</w:t>
      </w:r>
      <w:r>
        <w:rPr>
          <w:rFonts w:hint="eastAsia" w:ascii="仿宋" w:hAnsi="仿宋" w:eastAsia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》（报批稿）送达柳州市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融安</w:t>
      </w:r>
      <w:r>
        <w:rPr>
          <w:rFonts w:hint="eastAsia" w:ascii="仿宋" w:hAnsi="仿宋" w:eastAsia="仿宋"/>
          <w:sz w:val="32"/>
          <w:szCs w:val="32"/>
        </w:rPr>
        <w:t>生态环境局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并按规定接受辖区生态环境部门的监管检查。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pacing w:line="34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pStyle w:val="4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>
      <w:pPr>
        <w:tabs>
          <w:tab w:val="left" w:pos="4905"/>
        </w:tabs>
        <w:spacing w:line="3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340" w:lineRule="exact"/>
        <w:rPr>
          <w:rFonts w:hint="default" w:ascii="黑体" w:eastAsia="仿宋"/>
          <w:sz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：2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018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-4502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44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006761</w:t>
      </w:r>
    </w:p>
    <w:p>
      <w:pPr>
        <w:spacing w:line="34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抄送:柳州市生态环境局                                                  </w:t>
      </w:r>
    </w:p>
    <w:p>
      <w:pPr>
        <w:spacing w:line="34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 xml:space="preserve">柳州市行政审批局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 xml:space="preserve">日印发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C3503"/>
    <w:multiLevelType w:val="singleLevel"/>
    <w:tmpl w:val="477C35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TZlNzI5YTEyN2U1YmUzMTMyMjE0YzhiMWVkN2UifQ=="/>
  </w:docVars>
  <w:rsids>
    <w:rsidRoot w:val="001115C6"/>
    <w:rsid w:val="00002A33"/>
    <w:rsid w:val="00002DB3"/>
    <w:rsid w:val="00003F48"/>
    <w:rsid w:val="00004921"/>
    <w:rsid w:val="00007473"/>
    <w:rsid w:val="00011C6B"/>
    <w:rsid w:val="000172B6"/>
    <w:rsid w:val="0002263A"/>
    <w:rsid w:val="000265BE"/>
    <w:rsid w:val="000267C5"/>
    <w:rsid w:val="000301F8"/>
    <w:rsid w:val="000345AF"/>
    <w:rsid w:val="00035084"/>
    <w:rsid w:val="0003511D"/>
    <w:rsid w:val="00037662"/>
    <w:rsid w:val="000417E0"/>
    <w:rsid w:val="00041B1A"/>
    <w:rsid w:val="000442A6"/>
    <w:rsid w:val="00044BF4"/>
    <w:rsid w:val="00050355"/>
    <w:rsid w:val="00051568"/>
    <w:rsid w:val="00053636"/>
    <w:rsid w:val="00057910"/>
    <w:rsid w:val="00062BDB"/>
    <w:rsid w:val="0006394D"/>
    <w:rsid w:val="000646BE"/>
    <w:rsid w:val="00066E24"/>
    <w:rsid w:val="00067BEF"/>
    <w:rsid w:val="00071B0E"/>
    <w:rsid w:val="0008742C"/>
    <w:rsid w:val="00087ADD"/>
    <w:rsid w:val="00090F88"/>
    <w:rsid w:val="000941AE"/>
    <w:rsid w:val="00095433"/>
    <w:rsid w:val="00095CD1"/>
    <w:rsid w:val="00095F22"/>
    <w:rsid w:val="000A2136"/>
    <w:rsid w:val="000A395F"/>
    <w:rsid w:val="000A7066"/>
    <w:rsid w:val="000B4C05"/>
    <w:rsid w:val="000B5237"/>
    <w:rsid w:val="000C0B5E"/>
    <w:rsid w:val="000C4333"/>
    <w:rsid w:val="000C6398"/>
    <w:rsid w:val="000C7FD8"/>
    <w:rsid w:val="000D0EB5"/>
    <w:rsid w:val="000D1CFB"/>
    <w:rsid w:val="000D616A"/>
    <w:rsid w:val="000E0183"/>
    <w:rsid w:val="000E02F2"/>
    <w:rsid w:val="000E1A16"/>
    <w:rsid w:val="000E5849"/>
    <w:rsid w:val="000E7430"/>
    <w:rsid w:val="000F0B87"/>
    <w:rsid w:val="000F0BDA"/>
    <w:rsid w:val="000F137C"/>
    <w:rsid w:val="000F1F05"/>
    <w:rsid w:val="000F25A4"/>
    <w:rsid w:val="000F7B8D"/>
    <w:rsid w:val="00103E7A"/>
    <w:rsid w:val="00110DF5"/>
    <w:rsid w:val="001115C6"/>
    <w:rsid w:val="00113A98"/>
    <w:rsid w:val="00116E10"/>
    <w:rsid w:val="00117119"/>
    <w:rsid w:val="00120F77"/>
    <w:rsid w:val="0012180D"/>
    <w:rsid w:val="00122739"/>
    <w:rsid w:val="0012601F"/>
    <w:rsid w:val="001265C9"/>
    <w:rsid w:val="00127CF8"/>
    <w:rsid w:val="00141D5A"/>
    <w:rsid w:val="00142C7F"/>
    <w:rsid w:val="001443DF"/>
    <w:rsid w:val="00144A14"/>
    <w:rsid w:val="0014556F"/>
    <w:rsid w:val="00146590"/>
    <w:rsid w:val="00150AD8"/>
    <w:rsid w:val="00152C21"/>
    <w:rsid w:val="00153D8C"/>
    <w:rsid w:val="00165BA6"/>
    <w:rsid w:val="00170EAC"/>
    <w:rsid w:val="00171E90"/>
    <w:rsid w:val="001754BB"/>
    <w:rsid w:val="001806FF"/>
    <w:rsid w:val="00181EFE"/>
    <w:rsid w:val="00183EF3"/>
    <w:rsid w:val="001865E1"/>
    <w:rsid w:val="00190D38"/>
    <w:rsid w:val="00192BE1"/>
    <w:rsid w:val="00193D99"/>
    <w:rsid w:val="00194AC4"/>
    <w:rsid w:val="001A40E3"/>
    <w:rsid w:val="001A53A2"/>
    <w:rsid w:val="001A7302"/>
    <w:rsid w:val="001B107E"/>
    <w:rsid w:val="001B1AB7"/>
    <w:rsid w:val="001B1C4C"/>
    <w:rsid w:val="001B2D6E"/>
    <w:rsid w:val="001B426D"/>
    <w:rsid w:val="001B7D5E"/>
    <w:rsid w:val="001C11C1"/>
    <w:rsid w:val="001C15AB"/>
    <w:rsid w:val="001C1924"/>
    <w:rsid w:val="001C1950"/>
    <w:rsid w:val="001C2DF2"/>
    <w:rsid w:val="001C4777"/>
    <w:rsid w:val="001C51D9"/>
    <w:rsid w:val="001D078B"/>
    <w:rsid w:val="001D1A31"/>
    <w:rsid w:val="001D25DC"/>
    <w:rsid w:val="001D3F46"/>
    <w:rsid w:val="001D4CDF"/>
    <w:rsid w:val="001D54C2"/>
    <w:rsid w:val="001E09F8"/>
    <w:rsid w:val="001E176B"/>
    <w:rsid w:val="001E2219"/>
    <w:rsid w:val="001E4AED"/>
    <w:rsid w:val="001E64C3"/>
    <w:rsid w:val="001F0C53"/>
    <w:rsid w:val="001F3A6D"/>
    <w:rsid w:val="001F3EB7"/>
    <w:rsid w:val="001F4BA7"/>
    <w:rsid w:val="00204D49"/>
    <w:rsid w:val="002056DE"/>
    <w:rsid w:val="0020774E"/>
    <w:rsid w:val="00213C40"/>
    <w:rsid w:val="002148A2"/>
    <w:rsid w:val="00216BE6"/>
    <w:rsid w:val="00227DBC"/>
    <w:rsid w:val="00231496"/>
    <w:rsid w:val="00232762"/>
    <w:rsid w:val="00233233"/>
    <w:rsid w:val="00245F46"/>
    <w:rsid w:val="00251ED7"/>
    <w:rsid w:val="002529FD"/>
    <w:rsid w:val="002531CA"/>
    <w:rsid w:val="002551C0"/>
    <w:rsid w:val="002560BB"/>
    <w:rsid w:val="00257843"/>
    <w:rsid w:val="00261E71"/>
    <w:rsid w:val="00263769"/>
    <w:rsid w:val="00264AF8"/>
    <w:rsid w:val="00265543"/>
    <w:rsid w:val="00265D7F"/>
    <w:rsid w:val="00266D98"/>
    <w:rsid w:val="00273ECF"/>
    <w:rsid w:val="00277B17"/>
    <w:rsid w:val="0028159C"/>
    <w:rsid w:val="0028449C"/>
    <w:rsid w:val="002845CC"/>
    <w:rsid w:val="0028482F"/>
    <w:rsid w:val="00284942"/>
    <w:rsid w:val="002853C6"/>
    <w:rsid w:val="002859C5"/>
    <w:rsid w:val="002876B1"/>
    <w:rsid w:val="00287DF9"/>
    <w:rsid w:val="00292F07"/>
    <w:rsid w:val="00296E45"/>
    <w:rsid w:val="002979B9"/>
    <w:rsid w:val="002B5475"/>
    <w:rsid w:val="002B5800"/>
    <w:rsid w:val="002C371F"/>
    <w:rsid w:val="002C4B91"/>
    <w:rsid w:val="002C79EF"/>
    <w:rsid w:val="002D085D"/>
    <w:rsid w:val="002D3040"/>
    <w:rsid w:val="002D44F1"/>
    <w:rsid w:val="002D54F9"/>
    <w:rsid w:val="002E5EA9"/>
    <w:rsid w:val="002F1F6C"/>
    <w:rsid w:val="002F6447"/>
    <w:rsid w:val="00300CC0"/>
    <w:rsid w:val="0030279C"/>
    <w:rsid w:val="0030373E"/>
    <w:rsid w:val="00303F1C"/>
    <w:rsid w:val="00304345"/>
    <w:rsid w:val="00304CEE"/>
    <w:rsid w:val="00316F28"/>
    <w:rsid w:val="00322363"/>
    <w:rsid w:val="00325CCE"/>
    <w:rsid w:val="003366A5"/>
    <w:rsid w:val="003379A6"/>
    <w:rsid w:val="00341B77"/>
    <w:rsid w:val="00344C34"/>
    <w:rsid w:val="00347214"/>
    <w:rsid w:val="003530D4"/>
    <w:rsid w:val="00354B28"/>
    <w:rsid w:val="00356864"/>
    <w:rsid w:val="00357A96"/>
    <w:rsid w:val="003600CE"/>
    <w:rsid w:val="0036432D"/>
    <w:rsid w:val="003652AC"/>
    <w:rsid w:val="00370E9B"/>
    <w:rsid w:val="00374279"/>
    <w:rsid w:val="0037695A"/>
    <w:rsid w:val="003848CD"/>
    <w:rsid w:val="003949FE"/>
    <w:rsid w:val="00394A46"/>
    <w:rsid w:val="003964BC"/>
    <w:rsid w:val="003A1264"/>
    <w:rsid w:val="003A50D6"/>
    <w:rsid w:val="003A6447"/>
    <w:rsid w:val="003B01C7"/>
    <w:rsid w:val="003B1BDE"/>
    <w:rsid w:val="003B426A"/>
    <w:rsid w:val="003B57DD"/>
    <w:rsid w:val="003C3EE4"/>
    <w:rsid w:val="003D23A1"/>
    <w:rsid w:val="003D27C8"/>
    <w:rsid w:val="003D6294"/>
    <w:rsid w:val="003E6AB4"/>
    <w:rsid w:val="003E7EE8"/>
    <w:rsid w:val="003F0448"/>
    <w:rsid w:val="003F1912"/>
    <w:rsid w:val="003F60D6"/>
    <w:rsid w:val="00403119"/>
    <w:rsid w:val="00403C9F"/>
    <w:rsid w:val="00403FB6"/>
    <w:rsid w:val="00404616"/>
    <w:rsid w:val="00405FAF"/>
    <w:rsid w:val="004074CB"/>
    <w:rsid w:val="00413BB7"/>
    <w:rsid w:val="00414E2F"/>
    <w:rsid w:val="0042741F"/>
    <w:rsid w:val="00430582"/>
    <w:rsid w:val="00437828"/>
    <w:rsid w:val="00437CCC"/>
    <w:rsid w:val="00442E21"/>
    <w:rsid w:val="00444C0A"/>
    <w:rsid w:val="00444C6B"/>
    <w:rsid w:val="004470D0"/>
    <w:rsid w:val="00452296"/>
    <w:rsid w:val="00457CFE"/>
    <w:rsid w:val="00463416"/>
    <w:rsid w:val="00464530"/>
    <w:rsid w:val="004646A0"/>
    <w:rsid w:val="004659FE"/>
    <w:rsid w:val="00472D67"/>
    <w:rsid w:val="004742DA"/>
    <w:rsid w:val="0047604D"/>
    <w:rsid w:val="00477E32"/>
    <w:rsid w:val="00482BC4"/>
    <w:rsid w:val="0048551A"/>
    <w:rsid w:val="00493156"/>
    <w:rsid w:val="004A0CAC"/>
    <w:rsid w:val="004A1790"/>
    <w:rsid w:val="004A36F6"/>
    <w:rsid w:val="004A6D89"/>
    <w:rsid w:val="004B1A79"/>
    <w:rsid w:val="004B33E3"/>
    <w:rsid w:val="004B4CE2"/>
    <w:rsid w:val="004B4E9F"/>
    <w:rsid w:val="004B5740"/>
    <w:rsid w:val="004B6B3B"/>
    <w:rsid w:val="004B6F3F"/>
    <w:rsid w:val="004B785D"/>
    <w:rsid w:val="004C3F04"/>
    <w:rsid w:val="004D3BA9"/>
    <w:rsid w:val="004E25B3"/>
    <w:rsid w:val="004E4F85"/>
    <w:rsid w:val="004F0A26"/>
    <w:rsid w:val="004F0C7E"/>
    <w:rsid w:val="004F2468"/>
    <w:rsid w:val="004F270B"/>
    <w:rsid w:val="004F5BE5"/>
    <w:rsid w:val="004F6105"/>
    <w:rsid w:val="005022F7"/>
    <w:rsid w:val="005039EE"/>
    <w:rsid w:val="00504F2C"/>
    <w:rsid w:val="005116E8"/>
    <w:rsid w:val="00511F65"/>
    <w:rsid w:val="00512B61"/>
    <w:rsid w:val="00512CE1"/>
    <w:rsid w:val="00515FDC"/>
    <w:rsid w:val="00516CE8"/>
    <w:rsid w:val="0052322A"/>
    <w:rsid w:val="005409C4"/>
    <w:rsid w:val="00543126"/>
    <w:rsid w:val="0054664A"/>
    <w:rsid w:val="00550BDD"/>
    <w:rsid w:val="005554ED"/>
    <w:rsid w:val="00560593"/>
    <w:rsid w:val="0056242A"/>
    <w:rsid w:val="005661DF"/>
    <w:rsid w:val="00566FF1"/>
    <w:rsid w:val="00583837"/>
    <w:rsid w:val="005850C3"/>
    <w:rsid w:val="005861EB"/>
    <w:rsid w:val="0058655C"/>
    <w:rsid w:val="00590DEA"/>
    <w:rsid w:val="00594BC7"/>
    <w:rsid w:val="00596E0B"/>
    <w:rsid w:val="005A1652"/>
    <w:rsid w:val="005B189D"/>
    <w:rsid w:val="005B4670"/>
    <w:rsid w:val="005B5467"/>
    <w:rsid w:val="005C387D"/>
    <w:rsid w:val="005C4565"/>
    <w:rsid w:val="005C5656"/>
    <w:rsid w:val="005C6C42"/>
    <w:rsid w:val="005D1D4B"/>
    <w:rsid w:val="005D2DFD"/>
    <w:rsid w:val="005D416C"/>
    <w:rsid w:val="005D46B5"/>
    <w:rsid w:val="005D4FD0"/>
    <w:rsid w:val="005D7D94"/>
    <w:rsid w:val="005E2EFE"/>
    <w:rsid w:val="005E5797"/>
    <w:rsid w:val="005E690D"/>
    <w:rsid w:val="005E6A8D"/>
    <w:rsid w:val="005F3497"/>
    <w:rsid w:val="005F3748"/>
    <w:rsid w:val="00601AE0"/>
    <w:rsid w:val="00604DAD"/>
    <w:rsid w:val="006057EC"/>
    <w:rsid w:val="006104DF"/>
    <w:rsid w:val="006118D5"/>
    <w:rsid w:val="00614503"/>
    <w:rsid w:val="00615443"/>
    <w:rsid w:val="0062187E"/>
    <w:rsid w:val="00623F57"/>
    <w:rsid w:val="006253C8"/>
    <w:rsid w:val="00625491"/>
    <w:rsid w:val="006268E1"/>
    <w:rsid w:val="00630FBA"/>
    <w:rsid w:val="0063305F"/>
    <w:rsid w:val="0063367F"/>
    <w:rsid w:val="0063386C"/>
    <w:rsid w:val="0064467A"/>
    <w:rsid w:val="00645351"/>
    <w:rsid w:val="006455A5"/>
    <w:rsid w:val="006515F9"/>
    <w:rsid w:val="00655A55"/>
    <w:rsid w:val="0065635A"/>
    <w:rsid w:val="00656CA8"/>
    <w:rsid w:val="006576A4"/>
    <w:rsid w:val="00657810"/>
    <w:rsid w:val="006618B0"/>
    <w:rsid w:val="00662B28"/>
    <w:rsid w:val="00665336"/>
    <w:rsid w:val="00665BFD"/>
    <w:rsid w:val="00672E2A"/>
    <w:rsid w:val="00682954"/>
    <w:rsid w:val="006847B4"/>
    <w:rsid w:val="006851ED"/>
    <w:rsid w:val="00690190"/>
    <w:rsid w:val="00691CFB"/>
    <w:rsid w:val="00693251"/>
    <w:rsid w:val="00695835"/>
    <w:rsid w:val="006A036F"/>
    <w:rsid w:val="006A2E61"/>
    <w:rsid w:val="006A4DAB"/>
    <w:rsid w:val="006B1A2F"/>
    <w:rsid w:val="006C1383"/>
    <w:rsid w:val="006C3130"/>
    <w:rsid w:val="006D133B"/>
    <w:rsid w:val="006D15F6"/>
    <w:rsid w:val="006D2466"/>
    <w:rsid w:val="006D2913"/>
    <w:rsid w:val="006D516D"/>
    <w:rsid w:val="006D63A1"/>
    <w:rsid w:val="006D7380"/>
    <w:rsid w:val="006E27F7"/>
    <w:rsid w:val="006E7E54"/>
    <w:rsid w:val="006F1C5B"/>
    <w:rsid w:val="006F48F4"/>
    <w:rsid w:val="006F4E6D"/>
    <w:rsid w:val="006F5A8E"/>
    <w:rsid w:val="00706174"/>
    <w:rsid w:val="00706988"/>
    <w:rsid w:val="00712E6A"/>
    <w:rsid w:val="00722080"/>
    <w:rsid w:val="00722BE6"/>
    <w:rsid w:val="007301F6"/>
    <w:rsid w:val="00731F4D"/>
    <w:rsid w:val="00732C9E"/>
    <w:rsid w:val="007347E5"/>
    <w:rsid w:val="00740245"/>
    <w:rsid w:val="00742C1C"/>
    <w:rsid w:val="0074484D"/>
    <w:rsid w:val="0075276A"/>
    <w:rsid w:val="00756F56"/>
    <w:rsid w:val="00760F6E"/>
    <w:rsid w:val="00761C63"/>
    <w:rsid w:val="00761F9C"/>
    <w:rsid w:val="00766BA5"/>
    <w:rsid w:val="00770B25"/>
    <w:rsid w:val="00771394"/>
    <w:rsid w:val="00772669"/>
    <w:rsid w:val="00773D5A"/>
    <w:rsid w:val="00773FA9"/>
    <w:rsid w:val="00776276"/>
    <w:rsid w:val="00777C53"/>
    <w:rsid w:val="007815D7"/>
    <w:rsid w:val="00782046"/>
    <w:rsid w:val="007830E8"/>
    <w:rsid w:val="007831EB"/>
    <w:rsid w:val="00785C85"/>
    <w:rsid w:val="007872E4"/>
    <w:rsid w:val="00787781"/>
    <w:rsid w:val="0079380B"/>
    <w:rsid w:val="00794201"/>
    <w:rsid w:val="00794710"/>
    <w:rsid w:val="007972B3"/>
    <w:rsid w:val="00797954"/>
    <w:rsid w:val="007A02E5"/>
    <w:rsid w:val="007A23E4"/>
    <w:rsid w:val="007A2667"/>
    <w:rsid w:val="007A3670"/>
    <w:rsid w:val="007A4EEE"/>
    <w:rsid w:val="007A617D"/>
    <w:rsid w:val="007B0688"/>
    <w:rsid w:val="007B1A8D"/>
    <w:rsid w:val="007B339A"/>
    <w:rsid w:val="007C31EA"/>
    <w:rsid w:val="007C57B9"/>
    <w:rsid w:val="007C79A6"/>
    <w:rsid w:val="007D2C5B"/>
    <w:rsid w:val="007D39AB"/>
    <w:rsid w:val="007E5EB9"/>
    <w:rsid w:val="007E6622"/>
    <w:rsid w:val="007E7CAD"/>
    <w:rsid w:val="007F0841"/>
    <w:rsid w:val="007F4911"/>
    <w:rsid w:val="007F5017"/>
    <w:rsid w:val="007F6B20"/>
    <w:rsid w:val="007F7C07"/>
    <w:rsid w:val="00801A56"/>
    <w:rsid w:val="00801EC5"/>
    <w:rsid w:val="00804083"/>
    <w:rsid w:val="00804952"/>
    <w:rsid w:val="008205C8"/>
    <w:rsid w:val="00822485"/>
    <w:rsid w:val="008230D2"/>
    <w:rsid w:val="008236FD"/>
    <w:rsid w:val="00823C64"/>
    <w:rsid w:val="008365F3"/>
    <w:rsid w:val="00836CA2"/>
    <w:rsid w:val="008376DD"/>
    <w:rsid w:val="0084122E"/>
    <w:rsid w:val="00843A66"/>
    <w:rsid w:val="00853043"/>
    <w:rsid w:val="00856C2F"/>
    <w:rsid w:val="00857CC3"/>
    <w:rsid w:val="008668FB"/>
    <w:rsid w:val="008670F3"/>
    <w:rsid w:val="00870B55"/>
    <w:rsid w:val="00870C70"/>
    <w:rsid w:val="008715CB"/>
    <w:rsid w:val="00874C31"/>
    <w:rsid w:val="00880698"/>
    <w:rsid w:val="00880AC0"/>
    <w:rsid w:val="00881BF6"/>
    <w:rsid w:val="00882752"/>
    <w:rsid w:val="008860DB"/>
    <w:rsid w:val="0088734C"/>
    <w:rsid w:val="008874EA"/>
    <w:rsid w:val="008A0CE8"/>
    <w:rsid w:val="008B6705"/>
    <w:rsid w:val="008B7250"/>
    <w:rsid w:val="008C083D"/>
    <w:rsid w:val="008C2AB8"/>
    <w:rsid w:val="008C308A"/>
    <w:rsid w:val="008C5C76"/>
    <w:rsid w:val="008D0BD4"/>
    <w:rsid w:val="008D5F6F"/>
    <w:rsid w:val="008D7AA1"/>
    <w:rsid w:val="008E4B4B"/>
    <w:rsid w:val="008F0507"/>
    <w:rsid w:val="008F6929"/>
    <w:rsid w:val="00901127"/>
    <w:rsid w:val="009062DA"/>
    <w:rsid w:val="00906C9E"/>
    <w:rsid w:val="00907534"/>
    <w:rsid w:val="00907A3C"/>
    <w:rsid w:val="00910DEE"/>
    <w:rsid w:val="009116E3"/>
    <w:rsid w:val="009136AB"/>
    <w:rsid w:val="00914124"/>
    <w:rsid w:val="00916211"/>
    <w:rsid w:val="009204E3"/>
    <w:rsid w:val="00920647"/>
    <w:rsid w:val="009240F6"/>
    <w:rsid w:val="00931832"/>
    <w:rsid w:val="0093313B"/>
    <w:rsid w:val="00935094"/>
    <w:rsid w:val="00935273"/>
    <w:rsid w:val="009404E3"/>
    <w:rsid w:val="0094632B"/>
    <w:rsid w:val="00946346"/>
    <w:rsid w:val="00946A14"/>
    <w:rsid w:val="00947261"/>
    <w:rsid w:val="009533CB"/>
    <w:rsid w:val="009577EB"/>
    <w:rsid w:val="00957C04"/>
    <w:rsid w:val="009604BC"/>
    <w:rsid w:val="009636ED"/>
    <w:rsid w:val="00964245"/>
    <w:rsid w:val="00965209"/>
    <w:rsid w:val="00966E0C"/>
    <w:rsid w:val="00966FB3"/>
    <w:rsid w:val="00967084"/>
    <w:rsid w:val="00970B67"/>
    <w:rsid w:val="00970B6C"/>
    <w:rsid w:val="00973CB5"/>
    <w:rsid w:val="009811F8"/>
    <w:rsid w:val="0098146E"/>
    <w:rsid w:val="009844FE"/>
    <w:rsid w:val="00987157"/>
    <w:rsid w:val="009906EF"/>
    <w:rsid w:val="00992994"/>
    <w:rsid w:val="0099335F"/>
    <w:rsid w:val="0099348D"/>
    <w:rsid w:val="0099769C"/>
    <w:rsid w:val="009A0076"/>
    <w:rsid w:val="009A0A2C"/>
    <w:rsid w:val="009A0E1A"/>
    <w:rsid w:val="009A17FB"/>
    <w:rsid w:val="009A5027"/>
    <w:rsid w:val="009B2415"/>
    <w:rsid w:val="009B2558"/>
    <w:rsid w:val="009B5066"/>
    <w:rsid w:val="009B7F03"/>
    <w:rsid w:val="009C0AC6"/>
    <w:rsid w:val="009C2DB3"/>
    <w:rsid w:val="009C44CB"/>
    <w:rsid w:val="009C6AE9"/>
    <w:rsid w:val="009E001A"/>
    <w:rsid w:val="009E0802"/>
    <w:rsid w:val="009E200C"/>
    <w:rsid w:val="009E2496"/>
    <w:rsid w:val="009E375A"/>
    <w:rsid w:val="009E381C"/>
    <w:rsid w:val="009E3B2F"/>
    <w:rsid w:val="009E4DA0"/>
    <w:rsid w:val="009E5FF8"/>
    <w:rsid w:val="009E75A2"/>
    <w:rsid w:val="009F069A"/>
    <w:rsid w:val="009F0C2D"/>
    <w:rsid w:val="009F1C60"/>
    <w:rsid w:val="009F6B6A"/>
    <w:rsid w:val="009F6F1D"/>
    <w:rsid w:val="00A01879"/>
    <w:rsid w:val="00A12843"/>
    <w:rsid w:val="00A147DE"/>
    <w:rsid w:val="00A14E22"/>
    <w:rsid w:val="00A165DA"/>
    <w:rsid w:val="00A2008D"/>
    <w:rsid w:val="00A202E5"/>
    <w:rsid w:val="00A26556"/>
    <w:rsid w:val="00A276DC"/>
    <w:rsid w:val="00A303DE"/>
    <w:rsid w:val="00A32004"/>
    <w:rsid w:val="00A336C6"/>
    <w:rsid w:val="00A34F89"/>
    <w:rsid w:val="00A401B9"/>
    <w:rsid w:val="00A40675"/>
    <w:rsid w:val="00A41B2A"/>
    <w:rsid w:val="00A421A9"/>
    <w:rsid w:val="00A4638A"/>
    <w:rsid w:val="00A470C9"/>
    <w:rsid w:val="00A47B69"/>
    <w:rsid w:val="00A536E2"/>
    <w:rsid w:val="00A568A6"/>
    <w:rsid w:val="00A60C85"/>
    <w:rsid w:val="00A61009"/>
    <w:rsid w:val="00A61817"/>
    <w:rsid w:val="00A62E14"/>
    <w:rsid w:val="00A62F91"/>
    <w:rsid w:val="00A633E1"/>
    <w:rsid w:val="00A64986"/>
    <w:rsid w:val="00A64FB2"/>
    <w:rsid w:val="00A65B9C"/>
    <w:rsid w:val="00A7097F"/>
    <w:rsid w:val="00A73C7A"/>
    <w:rsid w:val="00A74EEE"/>
    <w:rsid w:val="00A76D1E"/>
    <w:rsid w:val="00A774F4"/>
    <w:rsid w:val="00A827E8"/>
    <w:rsid w:val="00A836E4"/>
    <w:rsid w:val="00A83F7B"/>
    <w:rsid w:val="00A8414A"/>
    <w:rsid w:val="00A84C59"/>
    <w:rsid w:val="00A84D1F"/>
    <w:rsid w:val="00A8580E"/>
    <w:rsid w:val="00A8603D"/>
    <w:rsid w:val="00A86B70"/>
    <w:rsid w:val="00A9051A"/>
    <w:rsid w:val="00A90A8F"/>
    <w:rsid w:val="00A93FE7"/>
    <w:rsid w:val="00A94C76"/>
    <w:rsid w:val="00A97D0F"/>
    <w:rsid w:val="00AB0761"/>
    <w:rsid w:val="00AB159E"/>
    <w:rsid w:val="00AB6634"/>
    <w:rsid w:val="00AB6A8A"/>
    <w:rsid w:val="00AD03F4"/>
    <w:rsid w:val="00AD1867"/>
    <w:rsid w:val="00AD2A1F"/>
    <w:rsid w:val="00AD3898"/>
    <w:rsid w:val="00AD3D3D"/>
    <w:rsid w:val="00AD5164"/>
    <w:rsid w:val="00AE1501"/>
    <w:rsid w:val="00AE4183"/>
    <w:rsid w:val="00AF2C0D"/>
    <w:rsid w:val="00AF4660"/>
    <w:rsid w:val="00AF4691"/>
    <w:rsid w:val="00AF4710"/>
    <w:rsid w:val="00AF6AC4"/>
    <w:rsid w:val="00B00945"/>
    <w:rsid w:val="00B03470"/>
    <w:rsid w:val="00B03C79"/>
    <w:rsid w:val="00B05A5B"/>
    <w:rsid w:val="00B05E9E"/>
    <w:rsid w:val="00B05F04"/>
    <w:rsid w:val="00B06473"/>
    <w:rsid w:val="00B06718"/>
    <w:rsid w:val="00B06B8A"/>
    <w:rsid w:val="00B10904"/>
    <w:rsid w:val="00B14BB1"/>
    <w:rsid w:val="00B15373"/>
    <w:rsid w:val="00B1733C"/>
    <w:rsid w:val="00B17EC1"/>
    <w:rsid w:val="00B21186"/>
    <w:rsid w:val="00B22485"/>
    <w:rsid w:val="00B23525"/>
    <w:rsid w:val="00B24BC6"/>
    <w:rsid w:val="00B25985"/>
    <w:rsid w:val="00B33E5A"/>
    <w:rsid w:val="00B36BCA"/>
    <w:rsid w:val="00B474E0"/>
    <w:rsid w:val="00B509B1"/>
    <w:rsid w:val="00B50E9C"/>
    <w:rsid w:val="00B515C9"/>
    <w:rsid w:val="00B51CF3"/>
    <w:rsid w:val="00B5384E"/>
    <w:rsid w:val="00B545F2"/>
    <w:rsid w:val="00B57692"/>
    <w:rsid w:val="00B60DD9"/>
    <w:rsid w:val="00B628FF"/>
    <w:rsid w:val="00B63D65"/>
    <w:rsid w:val="00B64727"/>
    <w:rsid w:val="00B71A1F"/>
    <w:rsid w:val="00B7239C"/>
    <w:rsid w:val="00B7396B"/>
    <w:rsid w:val="00B75565"/>
    <w:rsid w:val="00B77306"/>
    <w:rsid w:val="00B815EA"/>
    <w:rsid w:val="00B81E46"/>
    <w:rsid w:val="00B84849"/>
    <w:rsid w:val="00B84C82"/>
    <w:rsid w:val="00B867CD"/>
    <w:rsid w:val="00B90B45"/>
    <w:rsid w:val="00B92C86"/>
    <w:rsid w:val="00B92E57"/>
    <w:rsid w:val="00B9395E"/>
    <w:rsid w:val="00B93FA3"/>
    <w:rsid w:val="00B94816"/>
    <w:rsid w:val="00B95CA6"/>
    <w:rsid w:val="00BA4CCC"/>
    <w:rsid w:val="00BA5536"/>
    <w:rsid w:val="00BA5821"/>
    <w:rsid w:val="00BB01AA"/>
    <w:rsid w:val="00BB3F2B"/>
    <w:rsid w:val="00BB3FF5"/>
    <w:rsid w:val="00BB540F"/>
    <w:rsid w:val="00BB5F21"/>
    <w:rsid w:val="00BB6DD4"/>
    <w:rsid w:val="00BC06DE"/>
    <w:rsid w:val="00BC619F"/>
    <w:rsid w:val="00BC6656"/>
    <w:rsid w:val="00BC7B00"/>
    <w:rsid w:val="00BD497A"/>
    <w:rsid w:val="00BD506D"/>
    <w:rsid w:val="00BD6023"/>
    <w:rsid w:val="00BD7267"/>
    <w:rsid w:val="00BE3503"/>
    <w:rsid w:val="00BE5D80"/>
    <w:rsid w:val="00BE65BD"/>
    <w:rsid w:val="00BF03D3"/>
    <w:rsid w:val="00BF7262"/>
    <w:rsid w:val="00C00127"/>
    <w:rsid w:val="00C0337F"/>
    <w:rsid w:val="00C14C46"/>
    <w:rsid w:val="00C2425D"/>
    <w:rsid w:val="00C24989"/>
    <w:rsid w:val="00C2537F"/>
    <w:rsid w:val="00C31803"/>
    <w:rsid w:val="00C351E9"/>
    <w:rsid w:val="00C44452"/>
    <w:rsid w:val="00C47525"/>
    <w:rsid w:val="00C51CE5"/>
    <w:rsid w:val="00C53F40"/>
    <w:rsid w:val="00C54786"/>
    <w:rsid w:val="00C5666F"/>
    <w:rsid w:val="00C6213A"/>
    <w:rsid w:val="00C6664E"/>
    <w:rsid w:val="00C73531"/>
    <w:rsid w:val="00C77453"/>
    <w:rsid w:val="00C854F3"/>
    <w:rsid w:val="00C867A9"/>
    <w:rsid w:val="00C8733D"/>
    <w:rsid w:val="00C94951"/>
    <w:rsid w:val="00CA1EE9"/>
    <w:rsid w:val="00CA3BF3"/>
    <w:rsid w:val="00CB0065"/>
    <w:rsid w:val="00CB3677"/>
    <w:rsid w:val="00CB5375"/>
    <w:rsid w:val="00CB5B8F"/>
    <w:rsid w:val="00CC0F24"/>
    <w:rsid w:val="00CC3038"/>
    <w:rsid w:val="00CC7E1B"/>
    <w:rsid w:val="00CD0BF7"/>
    <w:rsid w:val="00CD3CFC"/>
    <w:rsid w:val="00CD5083"/>
    <w:rsid w:val="00CE4C3D"/>
    <w:rsid w:val="00CE51E3"/>
    <w:rsid w:val="00CE5310"/>
    <w:rsid w:val="00CE5A6F"/>
    <w:rsid w:val="00CE6055"/>
    <w:rsid w:val="00CE66A8"/>
    <w:rsid w:val="00CF135E"/>
    <w:rsid w:val="00D01273"/>
    <w:rsid w:val="00D04F52"/>
    <w:rsid w:val="00D1057E"/>
    <w:rsid w:val="00D13224"/>
    <w:rsid w:val="00D15C2B"/>
    <w:rsid w:val="00D17706"/>
    <w:rsid w:val="00D17A45"/>
    <w:rsid w:val="00D2008F"/>
    <w:rsid w:val="00D20AAF"/>
    <w:rsid w:val="00D239C6"/>
    <w:rsid w:val="00D26D97"/>
    <w:rsid w:val="00D41676"/>
    <w:rsid w:val="00D41DD0"/>
    <w:rsid w:val="00D46FF3"/>
    <w:rsid w:val="00D50257"/>
    <w:rsid w:val="00D53C0F"/>
    <w:rsid w:val="00D54C74"/>
    <w:rsid w:val="00D566B6"/>
    <w:rsid w:val="00D60A34"/>
    <w:rsid w:val="00D65FD9"/>
    <w:rsid w:val="00D67FD6"/>
    <w:rsid w:val="00D72925"/>
    <w:rsid w:val="00D74098"/>
    <w:rsid w:val="00D75235"/>
    <w:rsid w:val="00D75FEF"/>
    <w:rsid w:val="00D820B8"/>
    <w:rsid w:val="00D82221"/>
    <w:rsid w:val="00D825EC"/>
    <w:rsid w:val="00D9276C"/>
    <w:rsid w:val="00D94576"/>
    <w:rsid w:val="00D950CC"/>
    <w:rsid w:val="00D96583"/>
    <w:rsid w:val="00D97BC9"/>
    <w:rsid w:val="00DA1ACC"/>
    <w:rsid w:val="00DA2DDC"/>
    <w:rsid w:val="00DB3333"/>
    <w:rsid w:val="00DB64AD"/>
    <w:rsid w:val="00DB6E31"/>
    <w:rsid w:val="00DC1407"/>
    <w:rsid w:val="00DC15FE"/>
    <w:rsid w:val="00DC2721"/>
    <w:rsid w:val="00DC49B5"/>
    <w:rsid w:val="00DC699F"/>
    <w:rsid w:val="00DC72EB"/>
    <w:rsid w:val="00DD22D0"/>
    <w:rsid w:val="00DD2B19"/>
    <w:rsid w:val="00DD4B6E"/>
    <w:rsid w:val="00DD52DF"/>
    <w:rsid w:val="00DD760A"/>
    <w:rsid w:val="00DE39C1"/>
    <w:rsid w:val="00DE3A41"/>
    <w:rsid w:val="00DE5495"/>
    <w:rsid w:val="00DF02BA"/>
    <w:rsid w:val="00DF2E84"/>
    <w:rsid w:val="00DF37B9"/>
    <w:rsid w:val="00DF4BD5"/>
    <w:rsid w:val="00E010EF"/>
    <w:rsid w:val="00E0296A"/>
    <w:rsid w:val="00E0353B"/>
    <w:rsid w:val="00E22587"/>
    <w:rsid w:val="00E35997"/>
    <w:rsid w:val="00E40802"/>
    <w:rsid w:val="00E40EFB"/>
    <w:rsid w:val="00E572CE"/>
    <w:rsid w:val="00E60531"/>
    <w:rsid w:val="00E6207A"/>
    <w:rsid w:val="00E63CAC"/>
    <w:rsid w:val="00E64A5E"/>
    <w:rsid w:val="00E657E0"/>
    <w:rsid w:val="00E70E74"/>
    <w:rsid w:val="00E807F1"/>
    <w:rsid w:val="00E87FC1"/>
    <w:rsid w:val="00E95D13"/>
    <w:rsid w:val="00EA787C"/>
    <w:rsid w:val="00EB3887"/>
    <w:rsid w:val="00EB3E0E"/>
    <w:rsid w:val="00EB5937"/>
    <w:rsid w:val="00EC0BBE"/>
    <w:rsid w:val="00EC4EDA"/>
    <w:rsid w:val="00ED00BB"/>
    <w:rsid w:val="00ED0A29"/>
    <w:rsid w:val="00ED3D20"/>
    <w:rsid w:val="00ED55A1"/>
    <w:rsid w:val="00EE4D85"/>
    <w:rsid w:val="00EE5567"/>
    <w:rsid w:val="00EE6D69"/>
    <w:rsid w:val="00EF0BD9"/>
    <w:rsid w:val="00EF2F86"/>
    <w:rsid w:val="00F00403"/>
    <w:rsid w:val="00F06638"/>
    <w:rsid w:val="00F072C1"/>
    <w:rsid w:val="00F0761F"/>
    <w:rsid w:val="00F141C5"/>
    <w:rsid w:val="00F15D91"/>
    <w:rsid w:val="00F23658"/>
    <w:rsid w:val="00F244D9"/>
    <w:rsid w:val="00F35532"/>
    <w:rsid w:val="00F427CE"/>
    <w:rsid w:val="00F44F43"/>
    <w:rsid w:val="00F46397"/>
    <w:rsid w:val="00F478C7"/>
    <w:rsid w:val="00F4795B"/>
    <w:rsid w:val="00F623F4"/>
    <w:rsid w:val="00F72B84"/>
    <w:rsid w:val="00F815CD"/>
    <w:rsid w:val="00F820EF"/>
    <w:rsid w:val="00F83AB3"/>
    <w:rsid w:val="00F84FC1"/>
    <w:rsid w:val="00F857EA"/>
    <w:rsid w:val="00F87372"/>
    <w:rsid w:val="00F95AF3"/>
    <w:rsid w:val="00FA14B1"/>
    <w:rsid w:val="00FB0946"/>
    <w:rsid w:val="00FB15C8"/>
    <w:rsid w:val="00FB2B38"/>
    <w:rsid w:val="00FB3A72"/>
    <w:rsid w:val="00FB455D"/>
    <w:rsid w:val="00FB4728"/>
    <w:rsid w:val="00FB7497"/>
    <w:rsid w:val="00FC09E5"/>
    <w:rsid w:val="00FC3176"/>
    <w:rsid w:val="00FC3AFD"/>
    <w:rsid w:val="00FC4C3B"/>
    <w:rsid w:val="00FC720F"/>
    <w:rsid w:val="00FD5B8F"/>
    <w:rsid w:val="00FD5F07"/>
    <w:rsid w:val="00FE038D"/>
    <w:rsid w:val="00FE0EEA"/>
    <w:rsid w:val="00FE1C48"/>
    <w:rsid w:val="00FE2CC0"/>
    <w:rsid w:val="00FE31B6"/>
    <w:rsid w:val="00FE41E4"/>
    <w:rsid w:val="00FE649A"/>
    <w:rsid w:val="00FF298E"/>
    <w:rsid w:val="01960A32"/>
    <w:rsid w:val="01C841D0"/>
    <w:rsid w:val="02CA564F"/>
    <w:rsid w:val="02E0584D"/>
    <w:rsid w:val="03C93DD3"/>
    <w:rsid w:val="048E37F1"/>
    <w:rsid w:val="04D77A41"/>
    <w:rsid w:val="04F223FA"/>
    <w:rsid w:val="06601366"/>
    <w:rsid w:val="06DE0611"/>
    <w:rsid w:val="06F03DD6"/>
    <w:rsid w:val="071A16D5"/>
    <w:rsid w:val="079E4F94"/>
    <w:rsid w:val="081F73F5"/>
    <w:rsid w:val="09F23497"/>
    <w:rsid w:val="09FD2873"/>
    <w:rsid w:val="0A1F6686"/>
    <w:rsid w:val="0A237BE3"/>
    <w:rsid w:val="0A5E3EEB"/>
    <w:rsid w:val="0B856AEB"/>
    <w:rsid w:val="0B8F3692"/>
    <w:rsid w:val="0C0742A5"/>
    <w:rsid w:val="0C223363"/>
    <w:rsid w:val="0C275144"/>
    <w:rsid w:val="0C70009A"/>
    <w:rsid w:val="0CA75745"/>
    <w:rsid w:val="0D463F08"/>
    <w:rsid w:val="0DC24916"/>
    <w:rsid w:val="0E837179"/>
    <w:rsid w:val="0F22689F"/>
    <w:rsid w:val="0FB84381"/>
    <w:rsid w:val="10046F40"/>
    <w:rsid w:val="10377B1E"/>
    <w:rsid w:val="106254BA"/>
    <w:rsid w:val="107B7094"/>
    <w:rsid w:val="10822462"/>
    <w:rsid w:val="10FE7618"/>
    <w:rsid w:val="110012E4"/>
    <w:rsid w:val="1210035B"/>
    <w:rsid w:val="12242CA1"/>
    <w:rsid w:val="1239498A"/>
    <w:rsid w:val="12855576"/>
    <w:rsid w:val="12866668"/>
    <w:rsid w:val="12D96E9D"/>
    <w:rsid w:val="138002F3"/>
    <w:rsid w:val="13E778F3"/>
    <w:rsid w:val="142D0490"/>
    <w:rsid w:val="146F65E2"/>
    <w:rsid w:val="14E7151A"/>
    <w:rsid w:val="1580586E"/>
    <w:rsid w:val="15FF3DCF"/>
    <w:rsid w:val="175063E5"/>
    <w:rsid w:val="17AC4330"/>
    <w:rsid w:val="17BD3B35"/>
    <w:rsid w:val="18693E3E"/>
    <w:rsid w:val="18DE5AB9"/>
    <w:rsid w:val="193E0B91"/>
    <w:rsid w:val="19B2158E"/>
    <w:rsid w:val="1A104E9B"/>
    <w:rsid w:val="1B206599"/>
    <w:rsid w:val="1B5426FA"/>
    <w:rsid w:val="1B903DCE"/>
    <w:rsid w:val="1BB33752"/>
    <w:rsid w:val="1C064B60"/>
    <w:rsid w:val="1CE04199"/>
    <w:rsid w:val="1E0F1533"/>
    <w:rsid w:val="1E64704F"/>
    <w:rsid w:val="1EA01824"/>
    <w:rsid w:val="1F5047D3"/>
    <w:rsid w:val="1FA06D0E"/>
    <w:rsid w:val="1FA41D88"/>
    <w:rsid w:val="206A2A33"/>
    <w:rsid w:val="21975C45"/>
    <w:rsid w:val="2205575D"/>
    <w:rsid w:val="221E34DF"/>
    <w:rsid w:val="226E5C8C"/>
    <w:rsid w:val="22D622C7"/>
    <w:rsid w:val="239161EE"/>
    <w:rsid w:val="241327FA"/>
    <w:rsid w:val="24762632"/>
    <w:rsid w:val="25781FD1"/>
    <w:rsid w:val="260A5613"/>
    <w:rsid w:val="267A67D6"/>
    <w:rsid w:val="2733643B"/>
    <w:rsid w:val="278F0E8B"/>
    <w:rsid w:val="28374459"/>
    <w:rsid w:val="283E05CF"/>
    <w:rsid w:val="290E6E2A"/>
    <w:rsid w:val="2963460D"/>
    <w:rsid w:val="298B644D"/>
    <w:rsid w:val="29F2216E"/>
    <w:rsid w:val="2B0D7B59"/>
    <w:rsid w:val="2C2876BE"/>
    <w:rsid w:val="2C606337"/>
    <w:rsid w:val="2ED719B1"/>
    <w:rsid w:val="2F26773C"/>
    <w:rsid w:val="2F5569D8"/>
    <w:rsid w:val="2FEC6CD0"/>
    <w:rsid w:val="301B509B"/>
    <w:rsid w:val="301C2A09"/>
    <w:rsid w:val="30295832"/>
    <w:rsid w:val="31457F85"/>
    <w:rsid w:val="315367F2"/>
    <w:rsid w:val="31712F86"/>
    <w:rsid w:val="31973A8B"/>
    <w:rsid w:val="326C3C15"/>
    <w:rsid w:val="3319169D"/>
    <w:rsid w:val="33804C36"/>
    <w:rsid w:val="3390194C"/>
    <w:rsid w:val="34674D17"/>
    <w:rsid w:val="34EA2918"/>
    <w:rsid w:val="352D5930"/>
    <w:rsid w:val="359A361D"/>
    <w:rsid w:val="35D46C18"/>
    <w:rsid w:val="35D87935"/>
    <w:rsid w:val="36B62672"/>
    <w:rsid w:val="3750343E"/>
    <w:rsid w:val="37AC0CB9"/>
    <w:rsid w:val="38DB2CE4"/>
    <w:rsid w:val="3A7F3C52"/>
    <w:rsid w:val="3AF11286"/>
    <w:rsid w:val="3EE37DB8"/>
    <w:rsid w:val="3EF61F7B"/>
    <w:rsid w:val="3F311167"/>
    <w:rsid w:val="3F3A5D7A"/>
    <w:rsid w:val="3F686A6B"/>
    <w:rsid w:val="3FA056F6"/>
    <w:rsid w:val="4154761E"/>
    <w:rsid w:val="41B50D59"/>
    <w:rsid w:val="42B85889"/>
    <w:rsid w:val="430B19A2"/>
    <w:rsid w:val="43523C28"/>
    <w:rsid w:val="43A12317"/>
    <w:rsid w:val="43A625F2"/>
    <w:rsid w:val="4465549F"/>
    <w:rsid w:val="44C66C6B"/>
    <w:rsid w:val="44F0687A"/>
    <w:rsid w:val="46256387"/>
    <w:rsid w:val="465D2233"/>
    <w:rsid w:val="469240FA"/>
    <w:rsid w:val="46C809D4"/>
    <w:rsid w:val="477016C5"/>
    <w:rsid w:val="47FA65A7"/>
    <w:rsid w:val="48835735"/>
    <w:rsid w:val="48D4779F"/>
    <w:rsid w:val="48F80A21"/>
    <w:rsid w:val="495B4B1B"/>
    <w:rsid w:val="49C86AF5"/>
    <w:rsid w:val="4A880F86"/>
    <w:rsid w:val="4BAB1E23"/>
    <w:rsid w:val="4C7E0DEF"/>
    <w:rsid w:val="4D8E45DA"/>
    <w:rsid w:val="4E2A4C8D"/>
    <w:rsid w:val="4F9F0CD3"/>
    <w:rsid w:val="4FC8076E"/>
    <w:rsid w:val="501227AD"/>
    <w:rsid w:val="50761C01"/>
    <w:rsid w:val="507F12EE"/>
    <w:rsid w:val="512C7D76"/>
    <w:rsid w:val="52E5168B"/>
    <w:rsid w:val="5443031F"/>
    <w:rsid w:val="54530137"/>
    <w:rsid w:val="54FE05C8"/>
    <w:rsid w:val="55B26AEB"/>
    <w:rsid w:val="56E24566"/>
    <w:rsid w:val="572B7BC4"/>
    <w:rsid w:val="57793FAE"/>
    <w:rsid w:val="588B7234"/>
    <w:rsid w:val="58D779ED"/>
    <w:rsid w:val="59A70C4B"/>
    <w:rsid w:val="5AB769F9"/>
    <w:rsid w:val="5B647D62"/>
    <w:rsid w:val="5C563CEE"/>
    <w:rsid w:val="5CA114CA"/>
    <w:rsid w:val="5CB14546"/>
    <w:rsid w:val="5CD86660"/>
    <w:rsid w:val="5CE458B1"/>
    <w:rsid w:val="5D9B70D9"/>
    <w:rsid w:val="5DAB2682"/>
    <w:rsid w:val="5E0C529C"/>
    <w:rsid w:val="5E2E68C0"/>
    <w:rsid w:val="5E9E2F55"/>
    <w:rsid w:val="5EF00BEA"/>
    <w:rsid w:val="5F1F12BC"/>
    <w:rsid w:val="5F2B31F3"/>
    <w:rsid w:val="5F360D08"/>
    <w:rsid w:val="5FBD7237"/>
    <w:rsid w:val="5FD13B69"/>
    <w:rsid w:val="604A3D5E"/>
    <w:rsid w:val="605F7125"/>
    <w:rsid w:val="60A446F7"/>
    <w:rsid w:val="611F7801"/>
    <w:rsid w:val="612B1AE9"/>
    <w:rsid w:val="6137099E"/>
    <w:rsid w:val="62397BA1"/>
    <w:rsid w:val="627D7951"/>
    <w:rsid w:val="628E2491"/>
    <w:rsid w:val="63220D7A"/>
    <w:rsid w:val="638115D0"/>
    <w:rsid w:val="6397692D"/>
    <w:rsid w:val="64CA2B76"/>
    <w:rsid w:val="64FE0E10"/>
    <w:rsid w:val="655A4913"/>
    <w:rsid w:val="66322E8C"/>
    <w:rsid w:val="665C4076"/>
    <w:rsid w:val="66792CED"/>
    <w:rsid w:val="66A71D49"/>
    <w:rsid w:val="67227223"/>
    <w:rsid w:val="67336229"/>
    <w:rsid w:val="67980D50"/>
    <w:rsid w:val="67A96814"/>
    <w:rsid w:val="682B2123"/>
    <w:rsid w:val="684626EB"/>
    <w:rsid w:val="68B953EB"/>
    <w:rsid w:val="68E4781D"/>
    <w:rsid w:val="69747F6F"/>
    <w:rsid w:val="69CB6073"/>
    <w:rsid w:val="6A1F1DF9"/>
    <w:rsid w:val="6A80220D"/>
    <w:rsid w:val="6AF23B1E"/>
    <w:rsid w:val="6BD5690D"/>
    <w:rsid w:val="6DCF2E94"/>
    <w:rsid w:val="6EE35F7E"/>
    <w:rsid w:val="6F6E058A"/>
    <w:rsid w:val="6FE653A4"/>
    <w:rsid w:val="70F91EC6"/>
    <w:rsid w:val="7112300B"/>
    <w:rsid w:val="71262BBF"/>
    <w:rsid w:val="715A7B9C"/>
    <w:rsid w:val="740D1489"/>
    <w:rsid w:val="74972205"/>
    <w:rsid w:val="74A17D45"/>
    <w:rsid w:val="74C37BA3"/>
    <w:rsid w:val="751C068B"/>
    <w:rsid w:val="76D424FE"/>
    <w:rsid w:val="77C30497"/>
    <w:rsid w:val="78A118D0"/>
    <w:rsid w:val="798E70BB"/>
    <w:rsid w:val="7A196980"/>
    <w:rsid w:val="7A696070"/>
    <w:rsid w:val="7AC26692"/>
    <w:rsid w:val="7AC65A2A"/>
    <w:rsid w:val="7B212F63"/>
    <w:rsid w:val="7B61443A"/>
    <w:rsid w:val="7BCB3DC3"/>
    <w:rsid w:val="7CD15065"/>
    <w:rsid w:val="7D561D8A"/>
    <w:rsid w:val="7DDB03E7"/>
    <w:rsid w:val="7E040A29"/>
    <w:rsid w:val="7E357C8C"/>
    <w:rsid w:val="7E4A60A8"/>
    <w:rsid w:val="7E4A75C8"/>
    <w:rsid w:val="7EBD0174"/>
    <w:rsid w:val="7ECE7477"/>
    <w:rsid w:val="7F661B0E"/>
    <w:rsid w:val="7FE026EE"/>
    <w:rsid w:val="7FE54A97"/>
    <w:rsid w:val="7FF75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6"/>
    <w:next w:val="1"/>
    <w:qFormat/>
    <w:uiPriority w:val="0"/>
    <w:pPr>
      <w:widowControl/>
      <w:jc w:val="left"/>
    </w:pPr>
    <w:rPr>
      <w:rFonts w:ascii="宋体" w:hAnsi="宋体" w:cs="宋体"/>
      <w:kern w:val="36"/>
      <w:sz w:val="28"/>
      <w:szCs w:val="4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annotation text"/>
    <w:basedOn w:val="1"/>
    <w:link w:val="34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b/>
      <w:sz w:val="32"/>
      <w:szCs w:val="20"/>
    </w:rPr>
  </w:style>
  <w:style w:type="paragraph" w:styleId="9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0">
    <w:name w:val="Balloon Text"/>
    <w:basedOn w:val="1"/>
    <w:link w:val="33"/>
    <w:qFormat/>
    <w:uiPriority w:val="0"/>
    <w:rPr>
      <w:sz w:val="18"/>
      <w:szCs w:val="18"/>
    </w:rPr>
  </w:style>
  <w:style w:type="paragraph" w:styleId="11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样式 Z正文 + 首行缩进:  2 字符1"/>
    <w:basedOn w:val="14"/>
    <w:qFormat/>
    <w:uiPriority w:val="0"/>
    <w:pPr>
      <w:ind w:firstLine="480"/>
    </w:pPr>
  </w:style>
  <w:style w:type="paragraph" w:customStyle="1" w:styleId="14">
    <w:name w:val="Z正文"/>
    <w:basedOn w:val="15"/>
    <w:qFormat/>
    <w:uiPriority w:val="0"/>
    <w:pPr>
      <w:ind w:firstLine="200" w:firstLineChars="200"/>
      <w:outlineLvl w:val="9"/>
    </w:pPr>
    <w:rPr>
      <w:rFonts w:ascii="Times New Roman" w:hAnsi="Times New Roman"/>
      <w:sz w:val="24"/>
      <w:szCs w:val="24"/>
    </w:rPr>
  </w:style>
  <w:style w:type="paragraph" w:customStyle="1" w:styleId="15">
    <w:name w:val="样式 标题 1标题 11Head 1wsah1一、标题2Part'Document章Ch + 加粗"/>
    <w:basedOn w:val="5"/>
    <w:qFormat/>
    <w:uiPriority w:val="0"/>
    <w:rPr>
      <w:rFonts w:ascii="黑体"/>
      <w:sz w:val="32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8">
    <w:name w:val="annotation subject"/>
    <w:basedOn w:val="7"/>
    <w:next w:val="7"/>
    <w:link w:val="35"/>
    <w:qFormat/>
    <w:uiPriority w:val="0"/>
    <w:rPr>
      <w:b/>
      <w:bCs/>
    </w:rPr>
  </w:style>
  <w:style w:type="table" w:styleId="20">
    <w:name w:val="Table Grid"/>
    <w:basedOn w:val="19"/>
    <w:qFormat/>
    <w:uiPriority w:val="99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paragraph" w:customStyle="1" w:styleId="25">
    <w:name w:val="Char Char Char Char Char Char1 Char"/>
    <w:basedOn w:val="1"/>
    <w:qFormat/>
    <w:uiPriority w:val="0"/>
  </w:style>
  <w:style w:type="paragraph" w:customStyle="1" w:styleId="26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7">
    <w:name w:val="Char Char Char Char Char Char1 Char1"/>
    <w:basedOn w:val="1"/>
    <w:qFormat/>
    <w:uiPriority w:val="0"/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paragraph" w:customStyle="1" w:styleId="29">
    <w:name w:val="Char Char1 Char Char Char Char Char Char Char Char Char1 Char"/>
    <w:basedOn w:val="1"/>
    <w:autoRedefine/>
    <w:qFormat/>
    <w:uiPriority w:val="0"/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Char Char Char Char Char Char Char Char Char Char"/>
    <w:basedOn w:val="1"/>
    <w:qFormat/>
    <w:uiPriority w:val="0"/>
    <w:pPr>
      <w:widowControl/>
      <w:spacing w:after="160" w:line="240" w:lineRule="exact"/>
      <w:ind w:firstLine="608" w:firstLineChars="200"/>
      <w:jc w:val="left"/>
    </w:pPr>
    <w:rPr>
      <w:sz w:val="28"/>
      <w:szCs w:val="20"/>
    </w:rPr>
  </w:style>
  <w:style w:type="character" w:customStyle="1" w:styleId="32">
    <w:name w:val="页脚 Char"/>
    <w:basedOn w:val="21"/>
    <w:link w:val="11"/>
    <w:qFormat/>
    <w:uiPriority w:val="99"/>
    <w:rPr>
      <w:kern w:val="2"/>
      <w:sz w:val="18"/>
      <w:szCs w:val="18"/>
    </w:rPr>
  </w:style>
  <w:style w:type="character" w:customStyle="1" w:styleId="33">
    <w:name w:val="批注框文本 Char"/>
    <w:basedOn w:val="21"/>
    <w:link w:val="10"/>
    <w:qFormat/>
    <w:uiPriority w:val="0"/>
    <w:rPr>
      <w:kern w:val="2"/>
      <w:sz w:val="18"/>
      <w:szCs w:val="18"/>
    </w:rPr>
  </w:style>
  <w:style w:type="character" w:customStyle="1" w:styleId="34">
    <w:name w:val="批注文字 Char"/>
    <w:basedOn w:val="21"/>
    <w:link w:val="7"/>
    <w:autoRedefine/>
    <w:qFormat/>
    <w:uiPriority w:val="0"/>
    <w:rPr>
      <w:kern w:val="2"/>
      <w:sz w:val="21"/>
      <w:szCs w:val="24"/>
    </w:rPr>
  </w:style>
  <w:style w:type="character" w:customStyle="1" w:styleId="35">
    <w:name w:val="批注主题 Char"/>
    <w:basedOn w:val="34"/>
    <w:link w:val="18"/>
    <w:autoRedefine/>
    <w:qFormat/>
    <w:uiPriority w:val="0"/>
    <w:rPr>
      <w:kern w:val="2"/>
      <w:sz w:val="21"/>
      <w:szCs w:val="24"/>
    </w:rPr>
  </w:style>
  <w:style w:type="character" w:customStyle="1" w:styleId="36">
    <w:name w:val="日期 Char"/>
    <w:basedOn w:val="21"/>
    <w:link w:val="9"/>
    <w:autoRedefine/>
    <w:qFormat/>
    <w:uiPriority w:val="0"/>
    <w:rPr>
      <w:kern w:val="2"/>
      <w:sz w:val="21"/>
      <w:szCs w:val="24"/>
    </w:rPr>
  </w:style>
  <w:style w:type="paragraph" w:customStyle="1" w:styleId="37">
    <w:name w:val="表文字"/>
    <w:autoRedefine/>
    <w:qFormat/>
    <w:uiPriority w:val="0"/>
    <w:pPr>
      <w:widowControl w:val="0"/>
      <w:adjustRightInd w:val="0"/>
      <w:snapToGrid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1966</Words>
  <Characters>2135</Characters>
  <Lines>18</Lines>
  <Paragraphs>5</Paragraphs>
  <TotalTime>7</TotalTime>
  <ScaleCrop>false</ScaleCrop>
  <LinksUpToDate>false</LinksUpToDate>
  <CharactersWithSpaces>2271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2022-04-12T03:31:00Z</dcterms:created>
  <dc:creator>雨林木风</dc:creator>
  <cp:lastModifiedBy>WPS_1469668054</cp:lastModifiedBy>
  <cp:lastPrinted>2024-01-12T01:45:31Z</cp:lastPrinted>
  <dcterms:modified xsi:type="dcterms:W3CDTF">2024-01-12T01:53:34Z</dcterms:modified>
  <dc:title>柳环审字〔2012〕号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FBC8CE707A894EDE9B963CFF9C355F21_13</vt:lpwstr>
  </property>
</Properties>
</file>