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pStyle w:val="5"/>
        <w:spacing w:line="540" w:lineRule="exact"/>
        <w:rPr>
          <w:sz w:val="28"/>
          <w:szCs w:val="28"/>
        </w:rPr>
      </w:pPr>
    </w:p>
    <w:p>
      <w:pPr>
        <w:widowControl w:val="0"/>
        <w:wordWrap/>
        <w:adjustRightInd/>
        <w:snapToGrid/>
        <w:spacing w:line="600" w:lineRule="auto"/>
        <w:jc w:val="center"/>
        <w:textAlignment w:val="auto"/>
        <w:rPr>
          <w:rFonts w:hint="default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关于</w:t>
      </w:r>
      <w:r>
        <w:rPr>
          <w:rFonts w:hint="default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柳州市生活垃圾焚烧处理</w:t>
      </w: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工程</w:t>
      </w:r>
      <w:r>
        <w:rPr>
          <w:rFonts w:hint="default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掺烧污泥</w:t>
      </w:r>
    </w:p>
    <w:p>
      <w:pPr>
        <w:widowControl w:val="0"/>
        <w:wordWrap/>
        <w:adjustRightInd/>
        <w:snapToGrid/>
        <w:spacing w:line="600" w:lineRule="auto"/>
        <w:ind w:firstLine="1767" w:firstLineChars="400"/>
        <w:jc w:val="both"/>
        <w:textAlignment w:val="auto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及一般</w:t>
      </w: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工业</w:t>
      </w:r>
      <w:r>
        <w:rPr>
          <w:rFonts w:hint="default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固体废物</w:t>
      </w: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项目</w:t>
      </w:r>
    </w:p>
    <w:p>
      <w:pPr>
        <w:pStyle w:val="8"/>
        <w:widowControl w:val="0"/>
        <w:wordWrap/>
        <w:adjustRightInd/>
        <w:snapToGrid/>
        <w:spacing w:line="600" w:lineRule="auto"/>
        <w:textAlignment w:val="auto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环境影响报告书的批复</w:t>
      </w:r>
    </w:p>
    <w:p>
      <w:pPr>
        <w:pStyle w:val="8"/>
        <w:spacing w:line="460" w:lineRule="exact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/>
          <w:bCs/>
          <w:sz w:val="32"/>
          <w:szCs w:val="32"/>
          <w:lang w:val="en-US" w:eastAsia="zh-CN" w:bidi="en-US"/>
        </w:rPr>
      </w:pPr>
      <w:r>
        <w:rPr>
          <w:rFonts w:hint="default" w:ascii="仿宋" w:hAnsi="仿宋" w:eastAsia="仿宋"/>
          <w:bCs/>
          <w:sz w:val="32"/>
          <w:szCs w:val="32"/>
          <w:lang w:val="en-US" w:eastAsia="zh-CN" w:bidi="en-US"/>
        </w:rPr>
        <w:t>柳州康恒新能源有限公司</w:t>
      </w:r>
      <w:r>
        <w:rPr>
          <w:rFonts w:hint="eastAsia" w:ascii="仿宋" w:hAnsi="仿宋" w:eastAsia="仿宋"/>
          <w:bCs/>
          <w:sz w:val="32"/>
          <w:szCs w:val="32"/>
          <w:lang w:val="en-US" w:eastAsia="zh-CN" w:bidi="en-US"/>
        </w:rPr>
        <w:t>：</w:t>
      </w:r>
    </w:p>
    <w:p>
      <w:pPr>
        <w:widowControl w:val="0"/>
        <w:wordWrap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/>
          <w:bCs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 w:bidi="en-US"/>
        </w:rPr>
        <w:t>你公司报来《</w:t>
      </w:r>
      <w:r>
        <w:rPr>
          <w:rFonts w:hint="default" w:ascii="仿宋" w:hAnsi="仿宋" w:eastAsia="仿宋"/>
          <w:bCs/>
          <w:sz w:val="32"/>
          <w:szCs w:val="32"/>
          <w:lang w:val="en-US" w:eastAsia="zh-CN" w:bidi="en-US"/>
        </w:rPr>
        <w:t>柳州市生活垃圾焚烧处理</w:t>
      </w:r>
      <w:r>
        <w:rPr>
          <w:rFonts w:hint="eastAsia" w:ascii="仿宋" w:hAnsi="仿宋" w:eastAsia="仿宋"/>
          <w:bCs/>
          <w:sz w:val="32"/>
          <w:szCs w:val="32"/>
          <w:lang w:val="en-US" w:eastAsia="zh-CN" w:bidi="en-US"/>
        </w:rPr>
        <w:t>工程</w:t>
      </w:r>
      <w:r>
        <w:rPr>
          <w:rFonts w:hint="default" w:ascii="仿宋" w:hAnsi="仿宋" w:eastAsia="仿宋"/>
          <w:bCs/>
          <w:sz w:val="32"/>
          <w:szCs w:val="32"/>
          <w:lang w:val="en-US" w:eastAsia="zh-CN" w:bidi="en-US"/>
        </w:rPr>
        <w:t>掺烧污泥及一般</w:t>
      </w:r>
      <w:r>
        <w:rPr>
          <w:rFonts w:hint="eastAsia" w:ascii="仿宋" w:hAnsi="仿宋" w:eastAsia="仿宋"/>
          <w:bCs/>
          <w:sz w:val="32"/>
          <w:szCs w:val="32"/>
          <w:lang w:val="en-US" w:eastAsia="zh-CN" w:bidi="en-US"/>
        </w:rPr>
        <w:t>工业</w:t>
      </w:r>
      <w:r>
        <w:rPr>
          <w:rFonts w:hint="default" w:ascii="仿宋" w:hAnsi="仿宋" w:eastAsia="仿宋"/>
          <w:bCs/>
          <w:sz w:val="32"/>
          <w:szCs w:val="32"/>
          <w:lang w:val="en-US" w:eastAsia="zh-CN" w:bidi="en-US"/>
        </w:rPr>
        <w:t>固体废物</w:t>
      </w:r>
      <w:r>
        <w:rPr>
          <w:rFonts w:hint="eastAsia" w:ascii="仿宋" w:hAnsi="仿宋" w:eastAsia="仿宋"/>
          <w:bCs/>
          <w:sz w:val="32"/>
          <w:szCs w:val="32"/>
          <w:lang w:val="en-US" w:eastAsia="zh-CN" w:bidi="en-US"/>
        </w:rPr>
        <w:t>项目环境影响报告书》（以下简称《报告书》）收悉。经我局审核，现批复如下：</w:t>
      </w:r>
    </w:p>
    <w:p>
      <w:pPr>
        <w:adjustRightInd w:val="0"/>
        <w:spacing w:line="520" w:lineRule="exact"/>
        <w:ind w:firstLine="640" w:firstLineChars="200"/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一、项目性质属于技改，位于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柳州市静脉产业园内，生活垃圾焚烧处理工程现有厂区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。本技改项目不新增用地、不新增生产设施，在现有工程的基础上调整入炉可燃燃料构成，新增掺烧污水厂污泥以及一般工业固体废物，使焚烧炉实现满负荷运行，改善垃圾焚烧工程运行效益，提高区域资源化利用率。</w:t>
      </w:r>
    </w:p>
    <w:p>
      <w:pPr>
        <w:adjustRightInd w:val="0"/>
        <w:spacing w:line="52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</w:pP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本次技改依托现有的垃圾焚烧发电项目进行，主要建设内容如下：（1）利用焚烧炉余量新增掺烧柳州市内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污水处理厂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污泥（柳州市污水厂污泥深度脱水处置工程建成后掺烧干化污泥）、掺烧一般固体废物，协同燃烧静脉产业园内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其他工程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产生的沼气，提高区域资源利用效率。项目技术改造后污泥、一般固体废物掺烧比例不超过20%，工程入炉垃圾焚烧规模不超过2250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吨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/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日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。（2）优化焚烧烟气运行效益，增设烟气再循环系统，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与现有SCR互为备用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。加强现有工程无组织排放废气管控，各料仓废气排放形式由无组织排放变为有组织排放。项目优先保证生活垃圾的处理，在不影响生活垃圾处理的前提下进行一般工业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固体废物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和污水厂污泥的焚烧处理。项目设置一般工业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固体废物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、污泥入厂前专人检查环节，一般工业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固体废物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、污泥进厂后直接卸入垃圾仓，不用再单独建设输送系统，本次技改不改变现有的焚烧发电系统，总入炉规模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2250吨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/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日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（3×750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吨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/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日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）不变。</w:t>
      </w:r>
    </w:p>
    <w:p>
      <w:pPr>
        <w:adjustRightInd w:val="0"/>
        <w:spacing w:line="52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主要新建一条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沼气管道连接柳州市餐厨垃圾资源化利用和无害化处理工程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沼气柜以及生活垃圾无害化处理二期工程渗滤液处理厂沼气柜。改造工程有：烟气净化系统、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粉尘治理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、</w:t>
      </w:r>
      <w:r>
        <w:rPr>
          <w:rFonts w:hint="default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飞灰固化系统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。项目总投资600万元</w:t>
      </w:r>
      <w:r>
        <w:rPr>
          <w:rFonts w:hint="eastAsia" w:ascii="仿宋" w:hAnsi="仿宋" w:eastAsia="仿宋"/>
          <w:sz w:val="32"/>
          <w:szCs w:val="32"/>
        </w:rPr>
        <w:t>，其中环保投资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。</w:t>
      </w:r>
    </w:p>
    <w:p>
      <w:pPr>
        <w:adjustRightInd w:val="0"/>
        <w:spacing w:line="52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项目已获得广西壮族自治区投资项目备案证明，符合</w:t>
      </w:r>
      <w:r>
        <w:rPr>
          <w:rFonts w:hint="eastAsia" w:ascii="仿宋" w:hAnsi="仿宋" w:eastAsia="仿宋"/>
          <w:sz w:val="32"/>
          <w:szCs w:val="32"/>
        </w:rPr>
        <w:t>《柳州市静脉产业园规划》、《柳州市静脉产业园规划环境影响报告书》及其审查意见等相关政策、规划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32"/>
          <w:lang w:val="en-US" w:eastAsia="zh-CN" w:bidi="en-US"/>
        </w:rPr>
        <w:t>从环境影响角度考虑，同意你公司按照《报告书》所列的建设项目的地点、性质、规模、采取的环境保护对策措施及下述要求进行项目建设。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二、项目须落实报告书提出的各项环保要求，重点抓好以下环保工作：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项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沼气燃烧废气与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焚烧炉烟气采用SNCR（炉内喷氨水）+半干法（Ca(OH)</w:t>
      </w:r>
      <w:r>
        <w:rPr>
          <w:rFonts w:hint="default" w:ascii="仿宋" w:hAnsi="仿宋" w:eastAsia="仿宋" w:cs="Times New Roman"/>
          <w:color w:val="auto"/>
          <w:sz w:val="32"/>
          <w:szCs w:val="32"/>
          <w:vertAlign w:val="subscript"/>
          <w:lang w:eastAsia="zh-CN"/>
        </w:rPr>
        <w:t>2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溶液）+干法（消石灰干粉）＋活性炭喷射＋布袋除尘+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烟气再循环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与现有SCR互为备用</w:t>
      </w:r>
      <w:r>
        <w:rPr>
          <w:rFonts w:hint="default" w:ascii="仿宋" w:hAnsi="仿宋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处理工艺处理后，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每条焚烧线</w:t>
      </w:r>
      <w:r>
        <w:rPr>
          <w:rFonts w:hint="eastAsia" w:ascii="仿宋" w:hAnsi="仿宋" w:eastAsia="仿宋"/>
          <w:color w:val="auto"/>
          <w:sz w:val="32"/>
          <w:szCs w:val="32"/>
        </w:rPr>
        <w:t>分别由一根</w:t>
      </w:r>
      <w:r>
        <w:rPr>
          <w:rFonts w:ascii="仿宋" w:hAnsi="仿宋" w:eastAsia="仿宋"/>
          <w:color w:val="auto"/>
          <w:sz w:val="32"/>
          <w:szCs w:val="32"/>
        </w:rPr>
        <w:t>80</w:t>
      </w:r>
      <w:r>
        <w:rPr>
          <w:rFonts w:hint="eastAsia" w:ascii="仿宋" w:hAnsi="仿宋" w:eastAsia="仿宋"/>
          <w:color w:val="auto"/>
          <w:sz w:val="32"/>
          <w:szCs w:val="32"/>
        </w:rPr>
        <w:t>米高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</w:rPr>
        <w:t>烟囱排放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（排气筒编号为DA001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DA003）</w:t>
      </w:r>
      <w:r>
        <w:rPr>
          <w:rFonts w:hint="eastAsia" w:ascii="仿宋" w:hAnsi="仿宋" w:eastAsia="仿宋"/>
          <w:color w:val="auto"/>
          <w:sz w:val="32"/>
          <w:szCs w:val="32"/>
        </w:rPr>
        <w:t>。确保外排烟气中污染物排放浓度达到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GB18485-2014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《生活垃圾焚烧污染控制标准》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表4规定的限值要求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本次技改将现有工程各粉料贮仓无组织排放更改为有组织排放，消石灰储仓、活性炭储仓颗粒物经仓顶除尘器由公用区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一根20米高的</w:t>
      </w:r>
      <w:r>
        <w:rPr>
          <w:rFonts w:hint="eastAsia" w:ascii="仿宋" w:hAnsi="仿宋" w:eastAsia="仿宋"/>
          <w:color w:val="auto"/>
          <w:sz w:val="32"/>
          <w:szCs w:val="32"/>
        </w:rPr>
        <w:t>烟囱排放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（排气筒编号为DA004）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；飞灰储仓经仓顶除尘器处理后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经各自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飞灰储仓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28米高的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排气筒进行排放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（排气筒编号为DA005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DA006）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。将原除氨机无组织排放变更为有组织排放，氨经管道收集+水喷淋处理后由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根15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米高的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排气筒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（排气筒编号为DA007）</w:t>
      </w:r>
      <w:r>
        <w:rPr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进行排放。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（二）项目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应加强和</w:t>
      </w:r>
      <w:r>
        <w:rPr>
          <w:rFonts w:hint="eastAsia" w:ascii="仿宋" w:hAnsi="仿宋" w:eastAsia="仿宋"/>
          <w:sz w:val="32"/>
          <w:szCs w:val="32"/>
          <w:highlight w:val="none"/>
        </w:rPr>
        <w:t>落实</w:t>
      </w:r>
      <w:r>
        <w:rPr>
          <w:rFonts w:hint="eastAsia" w:ascii="仿宋" w:hAnsi="仿宋" w:eastAsia="仿宋"/>
          <w:sz w:val="32"/>
          <w:szCs w:val="32"/>
        </w:rPr>
        <w:t>生产过程中各环节无组织废气污染源防控措施，加强日常管理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确保厂界恶臭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硫化氢、氨</w:t>
      </w:r>
      <w:r>
        <w:rPr>
          <w:rFonts w:hint="eastAsia" w:ascii="仿宋" w:hAnsi="仿宋" w:eastAsia="仿宋"/>
          <w:sz w:val="32"/>
          <w:szCs w:val="32"/>
          <w:highlight w:val="none"/>
        </w:rPr>
        <w:t>污染物浓度达到GB14554-93《恶臭污染物排放标准》表1中二级标准要求。并针对各粉尘产生工序采取有效的除尘措施，确保厂界颗粒物无组织排放浓度达到GB16297-1996《大气污染物综合排放标准》无组织排放监控浓度限值要求。</w:t>
      </w:r>
    </w:p>
    <w:p>
      <w:pPr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（三）厂内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/>
          <w:sz w:val="32"/>
          <w:szCs w:val="32"/>
        </w:rPr>
        <w:t>设置1 座有效容积为1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sz w:val="32"/>
          <w:szCs w:val="32"/>
        </w:rPr>
        <w:t>立方米的初期雨水收集池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default" w:ascii="仿宋" w:hAnsi="仿宋" w:eastAsia="仿宋"/>
          <w:sz w:val="32"/>
          <w:szCs w:val="32"/>
          <w:lang w:eastAsia="zh-CN"/>
        </w:rPr>
        <w:t>本技改完成后</w:t>
      </w:r>
      <w:r>
        <w:rPr>
          <w:rFonts w:hint="eastAsia" w:ascii="仿宋" w:hAnsi="仿宋" w:eastAsia="仿宋"/>
          <w:sz w:val="32"/>
          <w:szCs w:val="32"/>
        </w:rPr>
        <w:t>循环冷却水，厂内循环使用，不得外排。项目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产生的</w:t>
      </w:r>
      <w:r>
        <w:rPr>
          <w:rFonts w:hint="default" w:ascii="仿宋" w:hAnsi="仿宋" w:eastAsia="仿宋"/>
          <w:sz w:val="32"/>
          <w:szCs w:val="32"/>
        </w:rPr>
        <w:t>渗滤液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/>
          <w:sz w:val="32"/>
          <w:szCs w:val="32"/>
        </w:rPr>
        <w:t>生产废水</w:t>
      </w:r>
      <w:r>
        <w:rPr>
          <w:rFonts w:hint="eastAsia" w:ascii="仿宋" w:hAnsi="仿宋" w:eastAsia="仿宋"/>
          <w:sz w:val="32"/>
          <w:szCs w:val="32"/>
        </w:rPr>
        <w:t>、生活污水、场地初期雨水经管网收集后</w:t>
      </w:r>
      <w:r>
        <w:rPr>
          <w:rFonts w:hint="default" w:ascii="仿宋" w:hAnsi="仿宋" w:eastAsia="仿宋"/>
          <w:sz w:val="32"/>
          <w:szCs w:val="32"/>
          <w:lang w:eastAsia="zh-CN"/>
        </w:rPr>
        <w:t>依托静脉产业园</w:t>
      </w:r>
      <w:r>
        <w:rPr>
          <w:rFonts w:hint="eastAsia" w:ascii="仿宋" w:hAnsi="仿宋" w:eastAsia="仿宋"/>
          <w:sz w:val="32"/>
          <w:szCs w:val="32"/>
          <w:lang w:eastAsia="zh-CN"/>
        </w:rPr>
        <w:t>内</w:t>
      </w:r>
      <w:r>
        <w:rPr>
          <w:rFonts w:hint="default" w:ascii="仿宋" w:hAnsi="仿宋" w:eastAsia="仿宋"/>
          <w:sz w:val="32"/>
          <w:szCs w:val="32"/>
          <w:lang w:eastAsia="zh-CN"/>
        </w:rPr>
        <w:t>渗滤液处理厂</w:t>
      </w:r>
      <w:r>
        <w:rPr>
          <w:rFonts w:hint="eastAsia" w:ascii="仿宋" w:hAnsi="仿宋" w:eastAsia="仿宋"/>
          <w:sz w:val="32"/>
          <w:szCs w:val="32"/>
        </w:rPr>
        <w:t>处理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/>
          <w:sz w:val="32"/>
          <w:szCs w:val="32"/>
        </w:rPr>
        <w:t>尾水中第一类污染物执行《生活垃圾填埋场污染控制标准》（GB16889-2008）表2排放限值，其他污染物满足《污水综合排放标准》（GB8978-1996）三级标准限值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/>
          <w:sz w:val="32"/>
          <w:szCs w:val="32"/>
        </w:rPr>
        <w:t>同时满足阳和污水处理厂的进水水质要求</w:t>
      </w:r>
      <w:r>
        <w:rPr>
          <w:rFonts w:hint="default" w:ascii="仿宋" w:hAnsi="仿宋" w:eastAsia="仿宋"/>
          <w:sz w:val="32"/>
          <w:szCs w:val="32"/>
          <w:lang w:eastAsia="zh-CN"/>
        </w:rPr>
        <w:t>后排入阳和污水处理厂处理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达标后</w:t>
      </w:r>
      <w:r>
        <w:rPr>
          <w:rFonts w:hint="eastAsia" w:ascii="仿宋" w:hAnsi="仿宋" w:eastAsia="仿宋"/>
          <w:sz w:val="32"/>
          <w:szCs w:val="32"/>
        </w:rPr>
        <w:t>方可外排</w:t>
      </w:r>
      <w:r>
        <w:rPr>
          <w:rFonts w:hint="default" w:ascii="仿宋" w:hAnsi="仿宋" w:eastAsia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（四）优先选用低噪声设备，合理布局高噪声设备，对高噪设施采取减震、降噪、隔声等措施，加强厂区绿化，确保厂界噪声达到GB12348-2008《工业企业厂界环境噪声排放标准》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类标准。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（五）合理处置项目产生的各类固</w:t>
      </w:r>
      <w:r>
        <w:rPr>
          <w:rFonts w:hint="eastAsia" w:ascii="仿宋" w:hAnsi="仿宋" w:eastAsia="仿宋" w:cs="Times New Roman"/>
          <w:sz w:val="32"/>
          <w:szCs w:val="32"/>
        </w:rPr>
        <w:t>废。制定危险废物管理计划，严禁擅自转移、处理、处置危险废物。焚烧炉渣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柳州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市铭丰环保科技有限公司进行资源化利用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ascii="仿宋" w:hAnsi="仿宋" w:eastAsia="仿宋"/>
          <w:sz w:val="32"/>
          <w:szCs w:val="32"/>
        </w:rPr>
        <w:t>GB18597-20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《危险废物贮存污染控制标准》建设危险废物临时贮存设施，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废活性炭、</w:t>
      </w:r>
      <w:r>
        <w:rPr>
          <w:rFonts w:hint="eastAsia" w:ascii="仿宋" w:hAnsi="仿宋" w:eastAsia="仿宋"/>
          <w:sz w:val="32"/>
          <w:szCs w:val="32"/>
        </w:rPr>
        <w:t>废机油、废布袋、废催化剂等危险废物经暂存后，应委托有危险废物经营许可资质的单位处置。飞灰经固化处理后，按《国家危险废物名录》（环境保护部令 第39号）中</w:t>
      </w:r>
      <w:r>
        <w:rPr>
          <w:rFonts w:ascii="仿宋" w:hAnsi="仿宋" w:eastAsia="仿宋"/>
          <w:sz w:val="32"/>
          <w:szCs w:val="32"/>
        </w:rPr>
        <w:t>危险废物豁免管理清单</w:t>
      </w:r>
      <w:r>
        <w:rPr>
          <w:rFonts w:hint="eastAsia" w:ascii="仿宋" w:hAnsi="仿宋" w:eastAsia="仿宋"/>
          <w:sz w:val="32"/>
          <w:szCs w:val="32"/>
        </w:rPr>
        <w:t>以及GB16889-2008《生活垃圾填埋污染控制标准》中6.3章节的相关要</w:t>
      </w:r>
      <w:r>
        <w:rPr>
          <w:rFonts w:hint="eastAsia" w:ascii="仿宋" w:hAnsi="仿宋" w:eastAsia="仿宋" w:cs="Times New Roman"/>
          <w:sz w:val="32"/>
          <w:szCs w:val="32"/>
        </w:rPr>
        <w:t>求送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静脉产业园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飞灰填埋区</w:t>
      </w:r>
      <w:r>
        <w:rPr>
          <w:rFonts w:hint="eastAsia" w:ascii="仿宋" w:hAnsi="仿宋" w:eastAsia="仿宋" w:cs="Times New Roman"/>
          <w:sz w:val="32"/>
          <w:szCs w:val="32"/>
        </w:rPr>
        <w:t>填埋</w:t>
      </w:r>
      <w:r>
        <w:rPr>
          <w:rFonts w:hint="eastAsia" w:ascii="仿宋" w:hAnsi="仿宋" w:eastAsia="仿宋"/>
          <w:sz w:val="32"/>
          <w:szCs w:val="32"/>
        </w:rPr>
        <w:t>。做好危险废物处置及转移联单的台帐记录。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（六）</w:t>
      </w:r>
      <w:r>
        <w:rPr>
          <w:rFonts w:hint="default" w:ascii="仿宋" w:hAnsi="仿宋" w:eastAsia="仿宋" w:cs="Times New Roman"/>
          <w:sz w:val="32"/>
          <w:szCs w:val="32"/>
          <w:highlight w:val="none"/>
          <w:lang w:eastAsia="zh-CN"/>
        </w:rPr>
        <w:t>本次技改完成后不增加焚烧炉的处理规模，基本不新增运输车辆及车次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做好垃</w:t>
      </w:r>
      <w:r>
        <w:rPr>
          <w:rFonts w:hint="eastAsia" w:ascii="仿宋" w:hAnsi="仿宋" w:eastAsia="仿宋"/>
          <w:sz w:val="32"/>
          <w:szCs w:val="32"/>
          <w:highlight w:val="none"/>
        </w:rPr>
        <w:t>圾运输、装卸工作，合理设置垃圾运输路线，运输车辆须密闭且有防止垃圾渗滤液滴漏的措施，减少运输过程对周边环境的影响。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项目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应加强</w:t>
      </w:r>
      <w:r>
        <w:rPr>
          <w:rFonts w:ascii="仿宋" w:hAnsi="仿宋" w:eastAsia="仿宋"/>
          <w:sz w:val="32"/>
          <w:szCs w:val="32"/>
          <w:highlight w:val="none"/>
        </w:rPr>
        <w:t>落实</w:t>
      </w:r>
      <w:r>
        <w:rPr>
          <w:rFonts w:hint="eastAsia" w:ascii="仿宋" w:hAnsi="仿宋" w:eastAsia="仿宋"/>
          <w:sz w:val="32"/>
          <w:szCs w:val="32"/>
        </w:rPr>
        <w:t>各项防渗措施。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加强对</w:t>
      </w:r>
      <w:r>
        <w:rPr>
          <w:rFonts w:hint="eastAsia" w:ascii="仿宋" w:hAnsi="仿宋" w:eastAsia="仿宋"/>
          <w:sz w:val="32"/>
          <w:szCs w:val="32"/>
        </w:rPr>
        <w:t>厂区及周边建立地下水水质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和土壤环境</w:t>
      </w:r>
      <w:r>
        <w:rPr>
          <w:rFonts w:hint="eastAsia" w:ascii="仿宋" w:hAnsi="仿宋" w:eastAsia="仿宋"/>
          <w:sz w:val="32"/>
          <w:szCs w:val="32"/>
        </w:rPr>
        <w:t>监控点，对地下水水质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及土壤</w:t>
      </w:r>
      <w:r>
        <w:rPr>
          <w:rFonts w:hint="eastAsia" w:ascii="仿宋" w:hAnsi="仿宋" w:eastAsia="仿宋"/>
          <w:sz w:val="32"/>
          <w:szCs w:val="32"/>
        </w:rPr>
        <w:t>进行定期动态监测，做好地下水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及土壤</w:t>
      </w:r>
      <w:r>
        <w:rPr>
          <w:rFonts w:hint="eastAsia" w:ascii="仿宋" w:hAnsi="仿宋" w:eastAsia="仿宋"/>
          <w:sz w:val="32"/>
          <w:szCs w:val="32"/>
        </w:rPr>
        <w:t>污染预警预报。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）落实施工期污染防治措施，加强施工期环境保护管理。在施工招标文件、施工合同和工程监理招标文件中明确环境保护条款和责任。开展项目施工期环境监测和环境监理工作。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）按照《环境保护图形标志—排污口（源）》和《排污口规范化整治要求（试行）》有关规定建设规范化的废气排放口及采样平台。项目在生产时，建设单位须按《报告书》所列的环境监测方案实施监测。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次技改</w:t>
      </w: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t>项目不涉及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废水总量指标变动</w:t>
      </w:r>
      <w:r>
        <w:rPr>
          <w:rFonts w:hint="eastAsia" w:ascii="仿宋" w:hAnsi="仿宋" w:eastAsia="仿宋"/>
          <w:color w:val="auto"/>
          <w:sz w:val="32"/>
          <w:szCs w:val="32"/>
        </w:rPr>
        <w:t>；废气主要污染物排放量为：二氧化硫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192</w:t>
      </w:r>
      <w:r>
        <w:rPr>
          <w:rFonts w:hint="eastAsia" w:ascii="仿宋" w:hAnsi="仿宋" w:eastAsia="仿宋"/>
          <w:color w:val="auto"/>
          <w:sz w:val="32"/>
          <w:szCs w:val="32"/>
        </w:rPr>
        <w:t>吨/年、氮氧化物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510</w:t>
      </w:r>
      <w:r>
        <w:rPr>
          <w:rFonts w:hint="eastAsia" w:ascii="仿宋" w:hAnsi="仿宋" w:eastAsia="仿宋"/>
          <w:color w:val="auto"/>
          <w:sz w:val="32"/>
          <w:szCs w:val="32"/>
        </w:rPr>
        <w:t>吨/年。项目主要污染物排放总量纳入柳州市地方总量控制计划。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）主动做好项目运营期与周边公众的沟通协调，及时解决公众提出的环境问题，采纳公众的合理意见，满足公众合理的环境诉求。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）项目环境防护距离为厂界外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米。该防护距离范围内不得新建居民区、学校、医院等环境敏感建筑。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）按照《关于印发〈企业事业单位突发环境事件应急预案备案管理办法（试行）〉的通知》（环发〔</w:t>
      </w:r>
      <w:r>
        <w:rPr>
          <w:rFonts w:ascii="仿宋" w:hAnsi="仿宋" w:eastAsia="仿宋"/>
          <w:sz w:val="32"/>
          <w:szCs w:val="32"/>
        </w:rPr>
        <w:t>2015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 xml:space="preserve">4 </w:t>
      </w:r>
      <w:r>
        <w:rPr>
          <w:rFonts w:hint="eastAsia" w:ascii="仿宋" w:hAnsi="仿宋" w:eastAsia="仿宋"/>
          <w:sz w:val="32"/>
          <w:szCs w:val="32"/>
        </w:rPr>
        <w:t>号）等相关要求，开展企业突发环境事件风险评估，确定风险等级，制订突发环境事件应急预案并报当地生态就主管部门备案，定期组织应急演练；按照《突发环境事件应急管理办法（试行）（环境保护部第34号）、《企业突发环境事件隐患排查和治理工作指南（试行）》（环境保护部公告2016年第74号）相关要求，制定环境安全隐患排查治理制度，建立隐患排查治理档案，落实相关环境风险防控措施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>
      <w:pPr>
        <w:widowControl w:val="0"/>
        <w:tabs>
          <w:tab w:val="left" w:pos="4905"/>
        </w:tabs>
        <w:wordWrap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、建设单位在接到本批复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日内，将批复文件及批准后的《报告书》（报批稿）送达柳州市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鱼峰</w:t>
      </w:r>
      <w:r>
        <w:rPr>
          <w:rFonts w:hint="eastAsia" w:ascii="仿宋" w:hAnsi="仿宋" w:eastAsia="仿宋"/>
          <w:sz w:val="32"/>
          <w:szCs w:val="32"/>
        </w:rPr>
        <w:t>生态环境局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并按规定接受辖区生态环境部门的监管检查。请柳州</w:t>
      </w:r>
      <w:r>
        <w:rPr>
          <w:rFonts w:hint="eastAsia" w:ascii="仿宋" w:hAnsi="仿宋" w:eastAsia="仿宋"/>
          <w:sz w:val="32"/>
          <w:szCs w:val="32"/>
          <w:highlight w:val="none"/>
        </w:rPr>
        <w:t>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鱼峰</w:t>
      </w:r>
      <w:r>
        <w:rPr>
          <w:rFonts w:hint="eastAsia" w:ascii="仿宋" w:hAnsi="仿宋" w:eastAsia="仿宋"/>
          <w:sz w:val="32"/>
          <w:szCs w:val="32"/>
          <w:highlight w:val="none"/>
        </w:rPr>
        <w:t>生态环境局</w:t>
      </w:r>
      <w:r>
        <w:rPr>
          <w:rFonts w:hint="eastAsia" w:ascii="仿宋" w:hAnsi="仿宋" w:eastAsia="仿宋"/>
          <w:sz w:val="32"/>
          <w:szCs w:val="32"/>
        </w:rPr>
        <w:t>按规定对项目执行环保“三同时”情况进行日常监督管理，发现环境问题及时上报柳州市生态环境局。</w:t>
      </w:r>
    </w:p>
    <w:p>
      <w:pPr>
        <w:pStyle w:val="2"/>
        <w:numPr>
          <w:ilvl w:val="2"/>
          <w:numId w:val="0"/>
        </w:numPr>
        <w:ind w:leftChars="0"/>
      </w:pPr>
    </w:p>
    <w:p>
      <w:pPr>
        <w:tabs>
          <w:tab w:val="left" w:pos="4905"/>
        </w:tabs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tabs>
          <w:tab w:val="left" w:pos="4905"/>
        </w:tabs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（信息是否公开：主动公开）</w:t>
      </w:r>
    </w:p>
    <w:p>
      <w:pPr>
        <w:spacing w:line="520" w:lineRule="exact"/>
        <w:rPr>
          <w:rFonts w:ascii="黑体" w:eastAsia="黑体"/>
          <w:sz w:val="30"/>
          <w:u w:val="single"/>
        </w:rPr>
      </w:pP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投资项目在线审批监管平台项目代码：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2311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-4502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7-0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887484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</w:t>
      </w:r>
    </w:p>
    <w:p>
      <w:pPr>
        <w:spacing w:line="520" w:lineRule="exact"/>
        <w:jc w:val="lef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抄送:柳州市环境保护局                                 </w:t>
      </w:r>
    </w:p>
    <w:p>
      <w:pPr>
        <w:spacing w:line="52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>柳州市行政审批局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年1月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 xml:space="preserve">日印发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/>
        </w:rPr>
        <w:t xml:space="preserve">                                                                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1469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4564024">
    <w:nsid w:val="5FA3B438"/>
    <w:multiLevelType w:val="multilevel"/>
    <w:tmpl w:val="5FA3B438"/>
    <w:lvl w:ilvl="0" w:tentative="1">
      <w:start w:val="5"/>
      <w:numFmt w:val="decimal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</w:rPr>
    </w:lvl>
    <w:lvl w:ilvl="1" w:tentative="1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  <w:sz w:val="30"/>
        <w:szCs w:val="30"/>
      </w:rPr>
    </w:lvl>
    <w:lvl w:ilvl="2" w:tentative="1">
      <w:start w:val="1"/>
      <w:numFmt w:val="decimal"/>
      <w:pStyle w:val="2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sz w:val="28"/>
        <w:szCs w:val="28"/>
      </w:rPr>
    </w:lvl>
    <w:lvl w:ilvl="3" w:tentative="1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  <w:sz w:val="24"/>
        <w:szCs w:val="24"/>
      </w:rPr>
    </w:lvl>
    <w:lvl w:ilvl="4" w:tentative="1">
      <w:start w:val="1"/>
      <w:numFmt w:val="decimal"/>
      <w:lvlRestart w:val="0"/>
      <w:suff w:val="space"/>
      <w:lvlText w:val="表%1.%2-%5 "/>
      <w:lvlJc w:val="left"/>
      <w:pPr>
        <w:tabs>
          <w:tab w:val="left" w:pos="0"/>
        </w:tabs>
        <w:ind w:left="240" w:firstLine="0"/>
      </w:pPr>
      <w:rPr>
        <w:rFonts w:hint="default" w:ascii="Times New Roman" w:hAnsi="Times New Roman" w:eastAsia="宋体" w:cs="宋体"/>
        <w:szCs w:val="24"/>
      </w:rPr>
    </w:lvl>
    <w:lvl w:ilvl="5" w:tentative="1">
      <w:start w:val="1"/>
      <w:numFmt w:val="decimal"/>
      <w:lvlRestart w:val="2"/>
      <w:suff w:val="space"/>
      <w:lvlText w:val="图%1.%2-%6 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  <w:szCs w:val="24"/>
      </w:rPr>
    </w:lvl>
    <w:lvl w:ilvl="6" w:tentative="1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Arial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6045640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DY0OGFmZjczYjI5ZTg3OGY1MzA1ODI0NDc3ZmM0ODUifQ=="/>
  </w:docVars>
  <w:rsids>
    <w:rsidRoot w:val="001115C6"/>
    <w:rsid w:val="0000092F"/>
    <w:rsid w:val="00002DB3"/>
    <w:rsid w:val="00007473"/>
    <w:rsid w:val="00007663"/>
    <w:rsid w:val="0002263A"/>
    <w:rsid w:val="00022C75"/>
    <w:rsid w:val="00026733"/>
    <w:rsid w:val="00027A25"/>
    <w:rsid w:val="00036983"/>
    <w:rsid w:val="00040C73"/>
    <w:rsid w:val="000417E0"/>
    <w:rsid w:val="00044BF4"/>
    <w:rsid w:val="00046318"/>
    <w:rsid w:val="0005107C"/>
    <w:rsid w:val="00054F44"/>
    <w:rsid w:val="00057910"/>
    <w:rsid w:val="00062CCC"/>
    <w:rsid w:val="0006394D"/>
    <w:rsid w:val="00063B2D"/>
    <w:rsid w:val="000646BE"/>
    <w:rsid w:val="0006514E"/>
    <w:rsid w:val="00071B0E"/>
    <w:rsid w:val="00072D60"/>
    <w:rsid w:val="000853BD"/>
    <w:rsid w:val="000856E5"/>
    <w:rsid w:val="0008742C"/>
    <w:rsid w:val="00087ADD"/>
    <w:rsid w:val="00090B19"/>
    <w:rsid w:val="00090F88"/>
    <w:rsid w:val="00092089"/>
    <w:rsid w:val="00095F22"/>
    <w:rsid w:val="000A152D"/>
    <w:rsid w:val="000A2136"/>
    <w:rsid w:val="000A7066"/>
    <w:rsid w:val="000B113F"/>
    <w:rsid w:val="000B1860"/>
    <w:rsid w:val="000B2807"/>
    <w:rsid w:val="000B5364"/>
    <w:rsid w:val="000B549C"/>
    <w:rsid w:val="000C0B5E"/>
    <w:rsid w:val="000C1905"/>
    <w:rsid w:val="000C4333"/>
    <w:rsid w:val="000D0A91"/>
    <w:rsid w:val="000D1CFB"/>
    <w:rsid w:val="000D5A63"/>
    <w:rsid w:val="000D616A"/>
    <w:rsid w:val="000E0183"/>
    <w:rsid w:val="000E02F2"/>
    <w:rsid w:val="000F046C"/>
    <w:rsid w:val="000F099B"/>
    <w:rsid w:val="000F0B87"/>
    <w:rsid w:val="000F1F05"/>
    <w:rsid w:val="000F3BB2"/>
    <w:rsid w:val="000F463A"/>
    <w:rsid w:val="00106192"/>
    <w:rsid w:val="00110963"/>
    <w:rsid w:val="001115C6"/>
    <w:rsid w:val="00111F78"/>
    <w:rsid w:val="00113A98"/>
    <w:rsid w:val="00114206"/>
    <w:rsid w:val="00116E10"/>
    <w:rsid w:val="00127CF8"/>
    <w:rsid w:val="00133D7D"/>
    <w:rsid w:val="0013449B"/>
    <w:rsid w:val="00136860"/>
    <w:rsid w:val="001443DF"/>
    <w:rsid w:val="00146025"/>
    <w:rsid w:val="00152C21"/>
    <w:rsid w:val="00154740"/>
    <w:rsid w:val="001622EC"/>
    <w:rsid w:val="001656AD"/>
    <w:rsid w:val="00165BA6"/>
    <w:rsid w:val="00171E90"/>
    <w:rsid w:val="00171FF9"/>
    <w:rsid w:val="001754BB"/>
    <w:rsid w:val="00181C17"/>
    <w:rsid w:val="00183EF3"/>
    <w:rsid w:val="001858BB"/>
    <w:rsid w:val="00187053"/>
    <w:rsid w:val="00187D31"/>
    <w:rsid w:val="00190225"/>
    <w:rsid w:val="00190D38"/>
    <w:rsid w:val="0019214C"/>
    <w:rsid w:val="00193D99"/>
    <w:rsid w:val="00194B2C"/>
    <w:rsid w:val="001A2704"/>
    <w:rsid w:val="001A40E3"/>
    <w:rsid w:val="001A7727"/>
    <w:rsid w:val="001B107E"/>
    <w:rsid w:val="001B1AB7"/>
    <w:rsid w:val="001C125A"/>
    <w:rsid w:val="001C15AB"/>
    <w:rsid w:val="001C7251"/>
    <w:rsid w:val="001C73D3"/>
    <w:rsid w:val="001D078B"/>
    <w:rsid w:val="001D6CBB"/>
    <w:rsid w:val="001E35AB"/>
    <w:rsid w:val="001E4923"/>
    <w:rsid w:val="001E4AED"/>
    <w:rsid w:val="001E68CD"/>
    <w:rsid w:val="001F051E"/>
    <w:rsid w:val="001F0DE6"/>
    <w:rsid w:val="001F3A6D"/>
    <w:rsid w:val="001F3D1A"/>
    <w:rsid w:val="001F694E"/>
    <w:rsid w:val="00204D49"/>
    <w:rsid w:val="00206103"/>
    <w:rsid w:val="002148A2"/>
    <w:rsid w:val="00214B2A"/>
    <w:rsid w:val="0021756E"/>
    <w:rsid w:val="00217C9E"/>
    <w:rsid w:val="00223DE7"/>
    <w:rsid w:val="00224251"/>
    <w:rsid w:val="00224AF9"/>
    <w:rsid w:val="00226937"/>
    <w:rsid w:val="00231496"/>
    <w:rsid w:val="00234128"/>
    <w:rsid w:val="00240F7B"/>
    <w:rsid w:val="00241CF6"/>
    <w:rsid w:val="00242AF9"/>
    <w:rsid w:val="0024751C"/>
    <w:rsid w:val="00247DEE"/>
    <w:rsid w:val="00251ED7"/>
    <w:rsid w:val="00254C13"/>
    <w:rsid w:val="002551C0"/>
    <w:rsid w:val="00256363"/>
    <w:rsid w:val="00257C39"/>
    <w:rsid w:val="00265D7F"/>
    <w:rsid w:val="002700B4"/>
    <w:rsid w:val="00270F50"/>
    <w:rsid w:val="00277B17"/>
    <w:rsid w:val="002845CC"/>
    <w:rsid w:val="002859C5"/>
    <w:rsid w:val="00292F07"/>
    <w:rsid w:val="0029777E"/>
    <w:rsid w:val="002A129D"/>
    <w:rsid w:val="002B005B"/>
    <w:rsid w:val="002C371F"/>
    <w:rsid w:val="002C6F75"/>
    <w:rsid w:val="002D4CED"/>
    <w:rsid w:val="002E3738"/>
    <w:rsid w:val="002E5EA9"/>
    <w:rsid w:val="002E7ACC"/>
    <w:rsid w:val="003020EF"/>
    <w:rsid w:val="00302D0C"/>
    <w:rsid w:val="0030373E"/>
    <w:rsid w:val="00313D52"/>
    <w:rsid w:val="00322363"/>
    <w:rsid w:val="0033497B"/>
    <w:rsid w:val="003366A5"/>
    <w:rsid w:val="003379A6"/>
    <w:rsid w:val="003430B0"/>
    <w:rsid w:val="00344C34"/>
    <w:rsid w:val="00345700"/>
    <w:rsid w:val="0035756F"/>
    <w:rsid w:val="003618C0"/>
    <w:rsid w:val="003619B9"/>
    <w:rsid w:val="003633E6"/>
    <w:rsid w:val="00363E53"/>
    <w:rsid w:val="0036432D"/>
    <w:rsid w:val="003652AC"/>
    <w:rsid w:val="00370FA6"/>
    <w:rsid w:val="00373598"/>
    <w:rsid w:val="003747F9"/>
    <w:rsid w:val="00376875"/>
    <w:rsid w:val="0037695A"/>
    <w:rsid w:val="0038003F"/>
    <w:rsid w:val="0038692A"/>
    <w:rsid w:val="00395F49"/>
    <w:rsid w:val="003A14F2"/>
    <w:rsid w:val="003A50D6"/>
    <w:rsid w:val="003A6447"/>
    <w:rsid w:val="003A766B"/>
    <w:rsid w:val="003B01C7"/>
    <w:rsid w:val="003B57DD"/>
    <w:rsid w:val="003C0BC9"/>
    <w:rsid w:val="003C59DB"/>
    <w:rsid w:val="003C7777"/>
    <w:rsid w:val="003D43BC"/>
    <w:rsid w:val="003D7117"/>
    <w:rsid w:val="003E3D95"/>
    <w:rsid w:val="003E7AF5"/>
    <w:rsid w:val="003E7EE8"/>
    <w:rsid w:val="003F0448"/>
    <w:rsid w:val="00403FB6"/>
    <w:rsid w:val="004045A3"/>
    <w:rsid w:val="00410C02"/>
    <w:rsid w:val="00412691"/>
    <w:rsid w:val="00414740"/>
    <w:rsid w:val="00414E2F"/>
    <w:rsid w:val="00415D6B"/>
    <w:rsid w:val="00422E60"/>
    <w:rsid w:val="00424DB6"/>
    <w:rsid w:val="00425F30"/>
    <w:rsid w:val="00436E64"/>
    <w:rsid w:val="00437CCC"/>
    <w:rsid w:val="00437F7E"/>
    <w:rsid w:val="00443286"/>
    <w:rsid w:val="00444C0A"/>
    <w:rsid w:val="0044684F"/>
    <w:rsid w:val="0044794A"/>
    <w:rsid w:val="00447A14"/>
    <w:rsid w:val="0045376C"/>
    <w:rsid w:val="00454DD0"/>
    <w:rsid w:val="004628FC"/>
    <w:rsid w:val="00463416"/>
    <w:rsid w:val="00463DC4"/>
    <w:rsid w:val="004659FE"/>
    <w:rsid w:val="0046757F"/>
    <w:rsid w:val="00467E56"/>
    <w:rsid w:val="004707EE"/>
    <w:rsid w:val="00470AA8"/>
    <w:rsid w:val="00470D27"/>
    <w:rsid w:val="0047177A"/>
    <w:rsid w:val="004734D5"/>
    <w:rsid w:val="0047501A"/>
    <w:rsid w:val="0047767F"/>
    <w:rsid w:val="004828A3"/>
    <w:rsid w:val="004869AE"/>
    <w:rsid w:val="0049257D"/>
    <w:rsid w:val="00493156"/>
    <w:rsid w:val="004945BA"/>
    <w:rsid w:val="00494704"/>
    <w:rsid w:val="004A0213"/>
    <w:rsid w:val="004A0CAC"/>
    <w:rsid w:val="004A1790"/>
    <w:rsid w:val="004A36F6"/>
    <w:rsid w:val="004A4E6C"/>
    <w:rsid w:val="004A6981"/>
    <w:rsid w:val="004A6D89"/>
    <w:rsid w:val="004B3C3A"/>
    <w:rsid w:val="004B634A"/>
    <w:rsid w:val="004B65E5"/>
    <w:rsid w:val="004B6B3B"/>
    <w:rsid w:val="004B785D"/>
    <w:rsid w:val="004C0857"/>
    <w:rsid w:val="004C3F04"/>
    <w:rsid w:val="004C5938"/>
    <w:rsid w:val="004C61D3"/>
    <w:rsid w:val="004D3BA9"/>
    <w:rsid w:val="004E4B09"/>
    <w:rsid w:val="004E7E3A"/>
    <w:rsid w:val="004F5BE5"/>
    <w:rsid w:val="004F64B3"/>
    <w:rsid w:val="005033E8"/>
    <w:rsid w:val="00504F2C"/>
    <w:rsid w:val="005111D3"/>
    <w:rsid w:val="00512CE1"/>
    <w:rsid w:val="0051428F"/>
    <w:rsid w:val="00515FDC"/>
    <w:rsid w:val="00517981"/>
    <w:rsid w:val="0052283E"/>
    <w:rsid w:val="005517C1"/>
    <w:rsid w:val="0055426E"/>
    <w:rsid w:val="005557C2"/>
    <w:rsid w:val="005607DA"/>
    <w:rsid w:val="00570964"/>
    <w:rsid w:val="00574FCC"/>
    <w:rsid w:val="005813C9"/>
    <w:rsid w:val="00583ACB"/>
    <w:rsid w:val="00583BDA"/>
    <w:rsid w:val="005850C3"/>
    <w:rsid w:val="00585212"/>
    <w:rsid w:val="005861EB"/>
    <w:rsid w:val="00592C2B"/>
    <w:rsid w:val="005939B4"/>
    <w:rsid w:val="00593F03"/>
    <w:rsid w:val="005A1652"/>
    <w:rsid w:val="005A7A9D"/>
    <w:rsid w:val="005B4670"/>
    <w:rsid w:val="005B7FC6"/>
    <w:rsid w:val="005C4703"/>
    <w:rsid w:val="005D2461"/>
    <w:rsid w:val="005D2B9C"/>
    <w:rsid w:val="005D4FD0"/>
    <w:rsid w:val="005D5BFC"/>
    <w:rsid w:val="005D70AE"/>
    <w:rsid w:val="005D7D94"/>
    <w:rsid w:val="005E35EE"/>
    <w:rsid w:val="005E4D5B"/>
    <w:rsid w:val="005E5376"/>
    <w:rsid w:val="005E5797"/>
    <w:rsid w:val="005F2ABC"/>
    <w:rsid w:val="005F3497"/>
    <w:rsid w:val="005F3748"/>
    <w:rsid w:val="00601AE0"/>
    <w:rsid w:val="006057EC"/>
    <w:rsid w:val="00617BEC"/>
    <w:rsid w:val="006235B7"/>
    <w:rsid w:val="00623F57"/>
    <w:rsid w:val="006253C8"/>
    <w:rsid w:val="00625491"/>
    <w:rsid w:val="00626699"/>
    <w:rsid w:val="00632798"/>
    <w:rsid w:val="0063386C"/>
    <w:rsid w:val="0064055A"/>
    <w:rsid w:val="00641BA3"/>
    <w:rsid w:val="0064499A"/>
    <w:rsid w:val="00645351"/>
    <w:rsid w:val="006474A4"/>
    <w:rsid w:val="006515F9"/>
    <w:rsid w:val="006538C5"/>
    <w:rsid w:val="00656CA8"/>
    <w:rsid w:val="00657810"/>
    <w:rsid w:val="006618B0"/>
    <w:rsid w:val="00662B28"/>
    <w:rsid w:val="00665BFD"/>
    <w:rsid w:val="006671F3"/>
    <w:rsid w:val="00672E2A"/>
    <w:rsid w:val="00673777"/>
    <w:rsid w:val="0068110D"/>
    <w:rsid w:val="00681813"/>
    <w:rsid w:val="00682811"/>
    <w:rsid w:val="00686463"/>
    <w:rsid w:val="006869E8"/>
    <w:rsid w:val="00690829"/>
    <w:rsid w:val="00695835"/>
    <w:rsid w:val="006A036F"/>
    <w:rsid w:val="006A70A6"/>
    <w:rsid w:val="006A79E0"/>
    <w:rsid w:val="006B74ED"/>
    <w:rsid w:val="006C5AC4"/>
    <w:rsid w:val="006C6202"/>
    <w:rsid w:val="006D490B"/>
    <w:rsid w:val="006D6704"/>
    <w:rsid w:val="006D7E1C"/>
    <w:rsid w:val="006E14F9"/>
    <w:rsid w:val="006E55FC"/>
    <w:rsid w:val="006F1151"/>
    <w:rsid w:val="006F28A8"/>
    <w:rsid w:val="006F5DB6"/>
    <w:rsid w:val="006F6131"/>
    <w:rsid w:val="007006F6"/>
    <w:rsid w:val="00700D26"/>
    <w:rsid w:val="00702A74"/>
    <w:rsid w:val="007031AE"/>
    <w:rsid w:val="00706988"/>
    <w:rsid w:val="007124F6"/>
    <w:rsid w:val="00712E6A"/>
    <w:rsid w:val="007200A4"/>
    <w:rsid w:val="007210C9"/>
    <w:rsid w:val="00726639"/>
    <w:rsid w:val="007272DD"/>
    <w:rsid w:val="00727DAB"/>
    <w:rsid w:val="00727F6E"/>
    <w:rsid w:val="00730E3C"/>
    <w:rsid w:val="00731907"/>
    <w:rsid w:val="00733E42"/>
    <w:rsid w:val="007371C8"/>
    <w:rsid w:val="00737B95"/>
    <w:rsid w:val="00742B35"/>
    <w:rsid w:val="0074664D"/>
    <w:rsid w:val="00750A56"/>
    <w:rsid w:val="007533C8"/>
    <w:rsid w:val="007551EA"/>
    <w:rsid w:val="00755AB5"/>
    <w:rsid w:val="00760D58"/>
    <w:rsid w:val="00760F6E"/>
    <w:rsid w:val="00761F9C"/>
    <w:rsid w:val="00770B25"/>
    <w:rsid w:val="00771BFC"/>
    <w:rsid w:val="007831EB"/>
    <w:rsid w:val="00785C85"/>
    <w:rsid w:val="007872E4"/>
    <w:rsid w:val="00787781"/>
    <w:rsid w:val="00794201"/>
    <w:rsid w:val="0079793B"/>
    <w:rsid w:val="007A2667"/>
    <w:rsid w:val="007A4E54"/>
    <w:rsid w:val="007B1A8D"/>
    <w:rsid w:val="007B339A"/>
    <w:rsid w:val="007C046D"/>
    <w:rsid w:val="007D04B3"/>
    <w:rsid w:val="007D22C5"/>
    <w:rsid w:val="007D2C5B"/>
    <w:rsid w:val="007D39AB"/>
    <w:rsid w:val="007D5AA4"/>
    <w:rsid w:val="007E35DF"/>
    <w:rsid w:val="007E6622"/>
    <w:rsid w:val="007F3AC1"/>
    <w:rsid w:val="007F6B20"/>
    <w:rsid w:val="007F6DCA"/>
    <w:rsid w:val="008007B2"/>
    <w:rsid w:val="00801A56"/>
    <w:rsid w:val="00801EC5"/>
    <w:rsid w:val="00810D2E"/>
    <w:rsid w:val="008205C8"/>
    <w:rsid w:val="008230D2"/>
    <w:rsid w:val="00823C64"/>
    <w:rsid w:val="008255CA"/>
    <w:rsid w:val="00826E7F"/>
    <w:rsid w:val="00827518"/>
    <w:rsid w:val="00846F52"/>
    <w:rsid w:val="008474D9"/>
    <w:rsid w:val="00853043"/>
    <w:rsid w:val="0085355D"/>
    <w:rsid w:val="00856C2F"/>
    <w:rsid w:val="0086260D"/>
    <w:rsid w:val="00870B81"/>
    <w:rsid w:val="00880814"/>
    <w:rsid w:val="00880AC0"/>
    <w:rsid w:val="00881BF6"/>
    <w:rsid w:val="00882CB8"/>
    <w:rsid w:val="00892041"/>
    <w:rsid w:val="008939FE"/>
    <w:rsid w:val="008940E4"/>
    <w:rsid w:val="00896CD6"/>
    <w:rsid w:val="008A090B"/>
    <w:rsid w:val="008B370D"/>
    <w:rsid w:val="008B6705"/>
    <w:rsid w:val="008B6C62"/>
    <w:rsid w:val="008B7250"/>
    <w:rsid w:val="008C083D"/>
    <w:rsid w:val="008C3A91"/>
    <w:rsid w:val="008C7D26"/>
    <w:rsid w:val="008D2D02"/>
    <w:rsid w:val="008D5900"/>
    <w:rsid w:val="008D7AA1"/>
    <w:rsid w:val="008E0A1D"/>
    <w:rsid w:val="008E3D36"/>
    <w:rsid w:val="008F5B45"/>
    <w:rsid w:val="00906891"/>
    <w:rsid w:val="009068A5"/>
    <w:rsid w:val="00906C99"/>
    <w:rsid w:val="00907534"/>
    <w:rsid w:val="00910DEE"/>
    <w:rsid w:val="009136AB"/>
    <w:rsid w:val="00914124"/>
    <w:rsid w:val="00914807"/>
    <w:rsid w:val="009151CF"/>
    <w:rsid w:val="00920647"/>
    <w:rsid w:val="0093313B"/>
    <w:rsid w:val="00935094"/>
    <w:rsid w:val="0094293D"/>
    <w:rsid w:val="009524B7"/>
    <w:rsid w:val="00953B50"/>
    <w:rsid w:val="00956644"/>
    <w:rsid w:val="00956C29"/>
    <w:rsid w:val="009577EB"/>
    <w:rsid w:val="009617F7"/>
    <w:rsid w:val="009637F3"/>
    <w:rsid w:val="00966E0C"/>
    <w:rsid w:val="00967084"/>
    <w:rsid w:val="00970B6C"/>
    <w:rsid w:val="00980E86"/>
    <w:rsid w:val="00982F05"/>
    <w:rsid w:val="00983D96"/>
    <w:rsid w:val="00985DFA"/>
    <w:rsid w:val="00992994"/>
    <w:rsid w:val="0099335F"/>
    <w:rsid w:val="009A0076"/>
    <w:rsid w:val="009A5027"/>
    <w:rsid w:val="009B440E"/>
    <w:rsid w:val="009C2C37"/>
    <w:rsid w:val="009C35A4"/>
    <w:rsid w:val="009C47F2"/>
    <w:rsid w:val="009C6AE9"/>
    <w:rsid w:val="009D03BE"/>
    <w:rsid w:val="009E119C"/>
    <w:rsid w:val="009E1E32"/>
    <w:rsid w:val="009E22F0"/>
    <w:rsid w:val="009E75A2"/>
    <w:rsid w:val="009F069A"/>
    <w:rsid w:val="009F0EC7"/>
    <w:rsid w:val="009F43B3"/>
    <w:rsid w:val="00A01879"/>
    <w:rsid w:val="00A045FE"/>
    <w:rsid w:val="00A11AEB"/>
    <w:rsid w:val="00A128A8"/>
    <w:rsid w:val="00A14494"/>
    <w:rsid w:val="00A147DE"/>
    <w:rsid w:val="00A14E22"/>
    <w:rsid w:val="00A165DA"/>
    <w:rsid w:val="00A2008D"/>
    <w:rsid w:val="00A217B0"/>
    <w:rsid w:val="00A23CD1"/>
    <w:rsid w:val="00A276DC"/>
    <w:rsid w:val="00A307CD"/>
    <w:rsid w:val="00A33414"/>
    <w:rsid w:val="00A336C6"/>
    <w:rsid w:val="00A3533A"/>
    <w:rsid w:val="00A35FAA"/>
    <w:rsid w:val="00A40675"/>
    <w:rsid w:val="00A41F8C"/>
    <w:rsid w:val="00A56C32"/>
    <w:rsid w:val="00A6009D"/>
    <w:rsid w:val="00A60AF8"/>
    <w:rsid w:val="00A60C85"/>
    <w:rsid w:val="00A61817"/>
    <w:rsid w:val="00A628DA"/>
    <w:rsid w:val="00A64F52"/>
    <w:rsid w:val="00A64FB2"/>
    <w:rsid w:val="00A8414A"/>
    <w:rsid w:val="00A86877"/>
    <w:rsid w:val="00A86EDC"/>
    <w:rsid w:val="00A931A5"/>
    <w:rsid w:val="00A9382E"/>
    <w:rsid w:val="00AA6016"/>
    <w:rsid w:val="00AA78E9"/>
    <w:rsid w:val="00AA7C8F"/>
    <w:rsid w:val="00AB0761"/>
    <w:rsid w:val="00AB159E"/>
    <w:rsid w:val="00AB6634"/>
    <w:rsid w:val="00AC532A"/>
    <w:rsid w:val="00AD1D33"/>
    <w:rsid w:val="00AD31A3"/>
    <w:rsid w:val="00AD428E"/>
    <w:rsid w:val="00AD5164"/>
    <w:rsid w:val="00AE0B06"/>
    <w:rsid w:val="00AE4183"/>
    <w:rsid w:val="00AE4D7C"/>
    <w:rsid w:val="00AF2C0D"/>
    <w:rsid w:val="00AF4502"/>
    <w:rsid w:val="00AF4691"/>
    <w:rsid w:val="00AF4710"/>
    <w:rsid w:val="00AF5117"/>
    <w:rsid w:val="00AF5D18"/>
    <w:rsid w:val="00B03470"/>
    <w:rsid w:val="00B05A5B"/>
    <w:rsid w:val="00B05E9E"/>
    <w:rsid w:val="00B06718"/>
    <w:rsid w:val="00B06D59"/>
    <w:rsid w:val="00B10904"/>
    <w:rsid w:val="00B11CF4"/>
    <w:rsid w:val="00B12347"/>
    <w:rsid w:val="00B14BB1"/>
    <w:rsid w:val="00B14F24"/>
    <w:rsid w:val="00B17EC1"/>
    <w:rsid w:val="00B203FF"/>
    <w:rsid w:val="00B238D7"/>
    <w:rsid w:val="00B24B63"/>
    <w:rsid w:val="00B33E5A"/>
    <w:rsid w:val="00B35952"/>
    <w:rsid w:val="00B46F25"/>
    <w:rsid w:val="00B50BD1"/>
    <w:rsid w:val="00B52016"/>
    <w:rsid w:val="00B628FF"/>
    <w:rsid w:val="00B64A32"/>
    <w:rsid w:val="00B703BC"/>
    <w:rsid w:val="00B71A1F"/>
    <w:rsid w:val="00B77306"/>
    <w:rsid w:val="00B77328"/>
    <w:rsid w:val="00B81F4A"/>
    <w:rsid w:val="00B84C82"/>
    <w:rsid w:val="00B86E5C"/>
    <w:rsid w:val="00B90B45"/>
    <w:rsid w:val="00B92768"/>
    <w:rsid w:val="00B92C86"/>
    <w:rsid w:val="00B9395E"/>
    <w:rsid w:val="00B93FA3"/>
    <w:rsid w:val="00B95AC2"/>
    <w:rsid w:val="00B95CA6"/>
    <w:rsid w:val="00B972EB"/>
    <w:rsid w:val="00B9748A"/>
    <w:rsid w:val="00BA5536"/>
    <w:rsid w:val="00BA5821"/>
    <w:rsid w:val="00BB0D22"/>
    <w:rsid w:val="00BB3FF5"/>
    <w:rsid w:val="00BB7C74"/>
    <w:rsid w:val="00BC06DE"/>
    <w:rsid w:val="00BD0304"/>
    <w:rsid w:val="00BD0D80"/>
    <w:rsid w:val="00BD497A"/>
    <w:rsid w:val="00BE028A"/>
    <w:rsid w:val="00BE184F"/>
    <w:rsid w:val="00BE3503"/>
    <w:rsid w:val="00BE5A70"/>
    <w:rsid w:val="00BE65BD"/>
    <w:rsid w:val="00BE6C9B"/>
    <w:rsid w:val="00C01787"/>
    <w:rsid w:val="00C0337F"/>
    <w:rsid w:val="00C03959"/>
    <w:rsid w:val="00C03F73"/>
    <w:rsid w:val="00C0455F"/>
    <w:rsid w:val="00C07594"/>
    <w:rsid w:val="00C13906"/>
    <w:rsid w:val="00C14746"/>
    <w:rsid w:val="00C15289"/>
    <w:rsid w:val="00C15B09"/>
    <w:rsid w:val="00C23CFD"/>
    <w:rsid w:val="00C2537F"/>
    <w:rsid w:val="00C2767B"/>
    <w:rsid w:val="00C32B06"/>
    <w:rsid w:val="00C35D53"/>
    <w:rsid w:val="00C37DE5"/>
    <w:rsid w:val="00C5666F"/>
    <w:rsid w:val="00C57EB9"/>
    <w:rsid w:val="00C6114A"/>
    <w:rsid w:val="00C62471"/>
    <w:rsid w:val="00C71783"/>
    <w:rsid w:val="00C72570"/>
    <w:rsid w:val="00C77453"/>
    <w:rsid w:val="00C80326"/>
    <w:rsid w:val="00C915E8"/>
    <w:rsid w:val="00C93E97"/>
    <w:rsid w:val="00CA1F9E"/>
    <w:rsid w:val="00CA3AD7"/>
    <w:rsid w:val="00CA3B16"/>
    <w:rsid w:val="00CA611A"/>
    <w:rsid w:val="00CB1D5F"/>
    <w:rsid w:val="00CB23E1"/>
    <w:rsid w:val="00CC0F24"/>
    <w:rsid w:val="00CC26CC"/>
    <w:rsid w:val="00CC3038"/>
    <w:rsid w:val="00CC4D58"/>
    <w:rsid w:val="00CC7E1B"/>
    <w:rsid w:val="00CD3CC4"/>
    <w:rsid w:val="00CD5785"/>
    <w:rsid w:val="00CD6B31"/>
    <w:rsid w:val="00CD7602"/>
    <w:rsid w:val="00CE4C3D"/>
    <w:rsid w:val="00CE5310"/>
    <w:rsid w:val="00CE6055"/>
    <w:rsid w:val="00CE71FF"/>
    <w:rsid w:val="00CE7B42"/>
    <w:rsid w:val="00CF4AC4"/>
    <w:rsid w:val="00D049F4"/>
    <w:rsid w:val="00D05BA4"/>
    <w:rsid w:val="00D11422"/>
    <w:rsid w:val="00D1233E"/>
    <w:rsid w:val="00D23168"/>
    <w:rsid w:val="00D239C6"/>
    <w:rsid w:val="00D25CF5"/>
    <w:rsid w:val="00D31FE6"/>
    <w:rsid w:val="00D323AD"/>
    <w:rsid w:val="00D41676"/>
    <w:rsid w:val="00D41DD0"/>
    <w:rsid w:val="00D500A5"/>
    <w:rsid w:val="00D52433"/>
    <w:rsid w:val="00D54CDC"/>
    <w:rsid w:val="00D72925"/>
    <w:rsid w:val="00D75235"/>
    <w:rsid w:val="00D81DB9"/>
    <w:rsid w:val="00D820B8"/>
    <w:rsid w:val="00D87465"/>
    <w:rsid w:val="00D950CC"/>
    <w:rsid w:val="00D96583"/>
    <w:rsid w:val="00DA1314"/>
    <w:rsid w:val="00DA20CA"/>
    <w:rsid w:val="00DA2D1B"/>
    <w:rsid w:val="00DA2DDC"/>
    <w:rsid w:val="00DB242C"/>
    <w:rsid w:val="00DB6B67"/>
    <w:rsid w:val="00DC1407"/>
    <w:rsid w:val="00DC15FE"/>
    <w:rsid w:val="00DC1BB1"/>
    <w:rsid w:val="00DC2721"/>
    <w:rsid w:val="00DC49B5"/>
    <w:rsid w:val="00DD22D0"/>
    <w:rsid w:val="00DD2B19"/>
    <w:rsid w:val="00DE05A7"/>
    <w:rsid w:val="00DE39C1"/>
    <w:rsid w:val="00DF0908"/>
    <w:rsid w:val="00DF2646"/>
    <w:rsid w:val="00DF3DFC"/>
    <w:rsid w:val="00DF47B8"/>
    <w:rsid w:val="00E005BA"/>
    <w:rsid w:val="00E02248"/>
    <w:rsid w:val="00E07290"/>
    <w:rsid w:val="00E12D90"/>
    <w:rsid w:val="00E15396"/>
    <w:rsid w:val="00E243BC"/>
    <w:rsid w:val="00E24852"/>
    <w:rsid w:val="00E26D6E"/>
    <w:rsid w:val="00E27E89"/>
    <w:rsid w:val="00E305E3"/>
    <w:rsid w:val="00E30A31"/>
    <w:rsid w:val="00E32C2A"/>
    <w:rsid w:val="00E3338E"/>
    <w:rsid w:val="00E35997"/>
    <w:rsid w:val="00E40802"/>
    <w:rsid w:val="00E4145E"/>
    <w:rsid w:val="00E43B65"/>
    <w:rsid w:val="00E5151C"/>
    <w:rsid w:val="00E55AE0"/>
    <w:rsid w:val="00E570B3"/>
    <w:rsid w:val="00E60531"/>
    <w:rsid w:val="00E6207A"/>
    <w:rsid w:val="00E702B1"/>
    <w:rsid w:val="00E743C2"/>
    <w:rsid w:val="00E769FD"/>
    <w:rsid w:val="00E807F1"/>
    <w:rsid w:val="00E83429"/>
    <w:rsid w:val="00E912E2"/>
    <w:rsid w:val="00E924F7"/>
    <w:rsid w:val="00E95942"/>
    <w:rsid w:val="00E97AA0"/>
    <w:rsid w:val="00EA1227"/>
    <w:rsid w:val="00EA168E"/>
    <w:rsid w:val="00EA18BE"/>
    <w:rsid w:val="00EA787C"/>
    <w:rsid w:val="00EB3887"/>
    <w:rsid w:val="00EB768F"/>
    <w:rsid w:val="00EC4EDA"/>
    <w:rsid w:val="00EC777D"/>
    <w:rsid w:val="00ED00BB"/>
    <w:rsid w:val="00ED0BB4"/>
    <w:rsid w:val="00ED18B9"/>
    <w:rsid w:val="00ED6610"/>
    <w:rsid w:val="00EE6D69"/>
    <w:rsid w:val="00EF0BD9"/>
    <w:rsid w:val="00EF175B"/>
    <w:rsid w:val="00EF2F86"/>
    <w:rsid w:val="00EF33C3"/>
    <w:rsid w:val="00F00A74"/>
    <w:rsid w:val="00F04731"/>
    <w:rsid w:val="00F072C1"/>
    <w:rsid w:val="00F226C3"/>
    <w:rsid w:val="00F244D9"/>
    <w:rsid w:val="00F251C0"/>
    <w:rsid w:val="00F332F3"/>
    <w:rsid w:val="00F33506"/>
    <w:rsid w:val="00F3423B"/>
    <w:rsid w:val="00F35532"/>
    <w:rsid w:val="00F37E5C"/>
    <w:rsid w:val="00F41159"/>
    <w:rsid w:val="00F427CE"/>
    <w:rsid w:val="00F436D9"/>
    <w:rsid w:val="00F44F43"/>
    <w:rsid w:val="00F47627"/>
    <w:rsid w:val="00F476F7"/>
    <w:rsid w:val="00F478C7"/>
    <w:rsid w:val="00F51AB5"/>
    <w:rsid w:val="00F54A7A"/>
    <w:rsid w:val="00F55072"/>
    <w:rsid w:val="00F57C9A"/>
    <w:rsid w:val="00F623F4"/>
    <w:rsid w:val="00F675D7"/>
    <w:rsid w:val="00F67E08"/>
    <w:rsid w:val="00F7034F"/>
    <w:rsid w:val="00F73850"/>
    <w:rsid w:val="00F815CD"/>
    <w:rsid w:val="00F82E1E"/>
    <w:rsid w:val="00F83274"/>
    <w:rsid w:val="00F83AB3"/>
    <w:rsid w:val="00F86206"/>
    <w:rsid w:val="00F87372"/>
    <w:rsid w:val="00F904B2"/>
    <w:rsid w:val="00F90F50"/>
    <w:rsid w:val="00F91CA2"/>
    <w:rsid w:val="00F92F20"/>
    <w:rsid w:val="00F97BA6"/>
    <w:rsid w:val="00FA474F"/>
    <w:rsid w:val="00FA657A"/>
    <w:rsid w:val="00FB7497"/>
    <w:rsid w:val="00FC02E2"/>
    <w:rsid w:val="00FC02FE"/>
    <w:rsid w:val="00FC3176"/>
    <w:rsid w:val="00FC6C07"/>
    <w:rsid w:val="00FD55BA"/>
    <w:rsid w:val="00FD5F07"/>
    <w:rsid w:val="00FE038D"/>
    <w:rsid w:val="00FE0EEA"/>
    <w:rsid w:val="00FE1483"/>
    <w:rsid w:val="00FE31B6"/>
    <w:rsid w:val="00FE41E4"/>
    <w:rsid w:val="00FE649A"/>
    <w:rsid w:val="00FF298E"/>
    <w:rsid w:val="00FF351A"/>
    <w:rsid w:val="073F07BE"/>
    <w:rsid w:val="0AA5333C"/>
    <w:rsid w:val="20234AC9"/>
    <w:rsid w:val="21514264"/>
    <w:rsid w:val="28F81B3B"/>
    <w:rsid w:val="2AE404BA"/>
    <w:rsid w:val="2DA325A1"/>
    <w:rsid w:val="3CDC6B79"/>
    <w:rsid w:val="3DF35A1B"/>
    <w:rsid w:val="43A0531B"/>
    <w:rsid w:val="44C34EE7"/>
    <w:rsid w:val="4EE757E6"/>
    <w:rsid w:val="5CCA5B9E"/>
    <w:rsid w:val="68460BDF"/>
    <w:rsid w:val="6AE931F9"/>
    <w:rsid w:val="6D7F433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line="500" w:lineRule="exact"/>
      <w:outlineLvl w:val="2"/>
    </w:pPr>
    <w:rPr>
      <w:rFonts w:ascii="Times New Roman" w:hAnsi="Times New Roman" w:eastAsia="宋体"/>
      <w:b/>
      <w:bCs/>
      <w:kern w:val="0"/>
      <w:sz w:val="28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Indent"/>
    <w:basedOn w:val="1"/>
    <w:qFormat/>
    <w:uiPriority w:val="0"/>
    <w:pPr>
      <w:ind w:firstLine="420" w:firstLineChars="200"/>
    </w:pPr>
    <w:rPr>
      <w:bCs/>
      <w:color w:val="000000"/>
      <w:kern w:val="0"/>
      <w:sz w:val="20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b/>
      <w:sz w:val="32"/>
      <w:szCs w:val="20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9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  <w:rPr/>
  </w:style>
  <w:style w:type="paragraph" w:customStyle="1" w:styleId="14">
    <w:name w:val="Char Char Char Char Char Char1 Char"/>
    <w:basedOn w:val="1"/>
    <w:qFormat/>
    <w:uiPriority w:val="0"/>
  </w:style>
  <w:style w:type="paragraph" w:customStyle="1" w:styleId="15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6">
    <w:name w:val="Char Char Char Char Char Char1 Char1"/>
    <w:basedOn w:val="1"/>
    <w:qFormat/>
    <w:uiPriority w:val="0"/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表文字"/>
    <w:link w:val="20"/>
    <w:semiHidden/>
    <w:qFormat/>
    <w:uiPriority w:val="0"/>
    <w:pPr>
      <w:widowControl w:val="0"/>
      <w:adjustRightInd w:val="0"/>
      <w:spacing w:line="240" w:lineRule="exac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9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20">
    <w:name w:val="表文字 Char1"/>
    <w:basedOn w:val="10"/>
    <w:link w:val="18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475</Words>
  <Characters>2708</Characters>
  <Lines>22</Lines>
  <Paragraphs>6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2015-12-21T09:34:00Z</dcterms:created>
  <dc:creator>雨林木风</dc:creator>
  <cp:lastModifiedBy>1</cp:lastModifiedBy>
  <cp:lastPrinted>2018-01-09T09:16:00Z</cp:lastPrinted>
  <dcterms:modified xsi:type="dcterms:W3CDTF">2024-12-11T07:56:27Z</dcterms:modified>
  <dc:title>柳环审字〔2012〕号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343D2EA86D584861818306CE8A28B161_13</vt:lpwstr>
  </property>
</Properties>
</file>