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DCA4F">
      <w:pPr>
        <w:spacing w:line="640" w:lineRule="exact"/>
        <w:rPr>
          <w:rFonts w:ascii="仿宋_GB2312" w:eastAsia="仿宋_GB2312"/>
          <w:sz w:val="32"/>
        </w:rPr>
      </w:pPr>
    </w:p>
    <w:p w14:paraId="35EF1227">
      <w:pPr>
        <w:spacing w:line="640" w:lineRule="exact"/>
        <w:jc w:val="center"/>
        <w:rPr>
          <w:rFonts w:ascii="仿宋_GB2312" w:eastAsia="仿宋_GB2312"/>
          <w:sz w:val="32"/>
        </w:rPr>
      </w:pPr>
    </w:p>
    <w:p w14:paraId="5C56A8CC">
      <w:pPr>
        <w:spacing w:line="640" w:lineRule="exact"/>
        <w:jc w:val="center"/>
        <w:rPr>
          <w:rFonts w:ascii="仿宋_GB2312" w:eastAsia="仿宋_GB2312"/>
          <w:sz w:val="32"/>
        </w:rPr>
      </w:pPr>
    </w:p>
    <w:p w14:paraId="531F99F0">
      <w:pPr>
        <w:spacing w:line="640" w:lineRule="exact"/>
        <w:rPr>
          <w:rFonts w:ascii="仿宋_GB2312" w:eastAsia="仿宋_GB2312"/>
          <w:sz w:val="32"/>
        </w:rPr>
      </w:pPr>
    </w:p>
    <w:p w14:paraId="2590A110">
      <w:pPr>
        <w:spacing w:line="540" w:lineRule="exact"/>
        <w:jc w:val="center"/>
        <w:rPr>
          <w:rFonts w:ascii="仿宋" w:hAnsi="仿宋" w:eastAsia="仿宋"/>
          <w:sz w:val="30"/>
          <w:szCs w:val="30"/>
        </w:rPr>
      </w:pPr>
    </w:p>
    <w:p w14:paraId="11D6309E">
      <w:pPr>
        <w:spacing w:line="540" w:lineRule="exact"/>
        <w:jc w:val="center"/>
        <w:rPr>
          <w:rFonts w:ascii="仿宋" w:hAnsi="仿宋" w:eastAsia="仿宋"/>
          <w:color w:val="auto"/>
          <w:sz w:val="30"/>
          <w:szCs w:val="30"/>
          <w:highlight w:val="none"/>
        </w:rPr>
      </w:pPr>
      <w:r>
        <w:rPr>
          <w:rFonts w:hint="eastAsia" w:ascii="仿宋" w:hAnsi="仿宋" w:eastAsia="仿宋"/>
          <w:color w:val="auto"/>
          <w:sz w:val="30"/>
          <w:szCs w:val="30"/>
          <w:highlight w:val="none"/>
        </w:rPr>
        <w:t>柳审环城审字〔</w:t>
      </w:r>
      <w:r>
        <w:rPr>
          <w:rFonts w:ascii="仿宋" w:hAnsi="仿宋" w:eastAsia="仿宋"/>
          <w:color w:val="auto"/>
          <w:sz w:val="30"/>
          <w:szCs w:val="30"/>
          <w:highlight w:val="none"/>
        </w:rPr>
        <w:t>20</w:t>
      </w:r>
      <w:r>
        <w:rPr>
          <w:rFonts w:hint="eastAsia" w:ascii="仿宋" w:hAnsi="仿宋" w:eastAsia="仿宋"/>
          <w:color w:val="auto"/>
          <w:sz w:val="30"/>
          <w:szCs w:val="30"/>
          <w:highlight w:val="none"/>
        </w:rPr>
        <w:t>2</w:t>
      </w:r>
      <w:r>
        <w:rPr>
          <w:rFonts w:hint="eastAsia" w:ascii="仿宋" w:hAnsi="仿宋" w:eastAsia="仿宋"/>
          <w:color w:val="auto"/>
          <w:sz w:val="30"/>
          <w:szCs w:val="30"/>
          <w:highlight w:val="none"/>
          <w:lang w:val="en-US" w:eastAsia="zh-CN"/>
        </w:rPr>
        <w:t>5</w:t>
      </w: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23</w:t>
      </w:r>
      <w:r>
        <w:rPr>
          <w:rFonts w:hint="eastAsia" w:ascii="仿宋" w:hAnsi="仿宋" w:eastAsia="仿宋"/>
          <w:color w:val="auto"/>
          <w:sz w:val="30"/>
          <w:szCs w:val="30"/>
          <w:highlight w:val="none"/>
        </w:rPr>
        <w:t>号</w:t>
      </w:r>
    </w:p>
    <w:p w14:paraId="61DC2B4E">
      <w:pPr>
        <w:pStyle w:val="3"/>
        <w:spacing w:line="540" w:lineRule="exact"/>
        <w:rPr>
          <w:color w:val="auto"/>
          <w:sz w:val="28"/>
          <w:szCs w:val="28"/>
          <w:highlight w:val="none"/>
        </w:rPr>
      </w:pPr>
    </w:p>
    <w:p w14:paraId="091A3ECD">
      <w:pPr>
        <w:pStyle w:val="19"/>
        <w:rPr>
          <w:rFonts w:hint="eastAsia" w:ascii="宋体" w:hAnsi="宋体" w:eastAsia="宋体" w:cs="Times New Roman"/>
          <w:b/>
          <w:color w:val="auto"/>
          <w:highlight w:val="none"/>
          <w:lang w:eastAsia="zh-CN"/>
        </w:rPr>
      </w:pPr>
      <w:r>
        <w:rPr>
          <w:rFonts w:hint="eastAsia" w:ascii="宋体" w:hAnsi="宋体" w:eastAsia="宋体"/>
          <w:b/>
          <w:color w:val="auto"/>
          <w:highlight w:val="none"/>
        </w:rPr>
        <w:t>关</w:t>
      </w:r>
      <w:r>
        <w:rPr>
          <w:rFonts w:hint="eastAsia" w:ascii="宋体" w:hAnsi="宋体" w:eastAsia="宋体" w:cs="Times New Roman"/>
          <w:b/>
          <w:color w:val="auto"/>
          <w:highlight w:val="none"/>
        </w:rPr>
        <w:t>于</w:t>
      </w:r>
      <w:r>
        <w:rPr>
          <w:rFonts w:hint="eastAsia" w:ascii="宋体" w:hAnsi="宋体" w:eastAsia="宋体" w:cs="Times New Roman"/>
          <w:b/>
          <w:color w:val="auto"/>
          <w:highlight w:val="none"/>
          <w:lang w:eastAsia="zh-CN"/>
        </w:rPr>
        <w:t>融安县工业集中区竹木加工配套</w:t>
      </w:r>
    </w:p>
    <w:p w14:paraId="48399AB4">
      <w:pPr>
        <w:pStyle w:val="19"/>
        <w:rPr>
          <w:rFonts w:asciiTheme="minorEastAsia" w:hAnsiTheme="minorEastAsia" w:eastAsiaTheme="minorEastAsia"/>
          <w:b/>
          <w:color w:val="auto"/>
          <w:highlight w:val="none"/>
        </w:rPr>
      </w:pPr>
      <w:r>
        <w:rPr>
          <w:rFonts w:hint="eastAsia" w:ascii="宋体" w:hAnsi="宋体" w:eastAsia="宋体" w:cs="Times New Roman"/>
          <w:b/>
          <w:color w:val="auto"/>
          <w:highlight w:val="none"/>
          <w:lang w:eastAsia="zh-CN"/>
        </w:rPr>
        <w:t>项目</w:t>
      </w:r>
      <w:r>
        <w:rPr>
          <w:rFonts w:hint="eastAsia" w:ascii="宋体" w:hAnsi="宋体" w:eastAsia="宋体"/>
          <w:b/>
          <w:color w:val="auto"/>
          <w:highlight w:val="none"/>
        </w:rPr>
        <w:t>环境影响报告书的批复</w:t>
      </w:r>
    </w:p>
    <w:p w14:paraId="35F5EAEC">
      <w:pPr>
        <w:pStyle w:val="19"/>
        <w:spacing w:line="460" w:lineRule="exact"/>
        <w:rPr>
          <w:color w:val="auto"/>
          <w:sz w:val="30"/>
          <w:szCs w:val="30"/>
          <w:highlight w:val="none"/>
        </w:rPr>
      </w:pPr>
    </w:p>
    <w:p w14:paraId="7E6ECE8A">
      <w:pPr>
        <w:spacing w:line="440" w:lineRule="exact"/>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广西联富建材科技有限公司</w:t>
      </w:r>
      <w:r>
        <w:rPr>
          <w:rFonts w:hint="eastAsia" w:ascii="仿宋" w:hAnsi="仿宋" w:eastAsia="仿宋" w:cs="Times New Roman"/>
          <w:color w:val="auto"/>
          <w:sz w:val="32"/>
          <w:szCs w:val="32"/>
          <w:highlight w:val="none"/>
        </w:rPr>
        <w:t>：</w:t>
      </w:r>
    </w:p>
    <w:p w14:paraId="776A5FFF">
      <w:pPr>
        <w:spacing w:line="440" w:lineRule="exact"/>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olor w:val="auto"/>
          <w:sz w:val="32"/>
          <w:szCs w:val="32"/>
          <w:highlight w:val="none"/>
        </w:rPr>
        <w:t>你公司报来</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融安县工业集中区竹木加工配套项目环境影响报告书</w:t>
      </w:r>
      <w:r>
        <w:rPr>
          <w:rFonts w:hint="eastAsia" w:ascii="仿宋" w:hAnsi="仿宋" w:eastAsia="仿宋" w:cs="Times New Roman"/>
          <w:color w:val="auto"/>
          <w:sz w:val="32"/>
          <w:szCs w:val="32"/>
          <w:highlight w:val="none"/>
        </w:rPr>
        <w:t>》（以下简称《报告书</w:t>
      </w:r>
      <w:r>
        <w:rPr>
          <w:rFonts w:hint="eastAsia" w:ascii="仿宋" w:hAnsi="仿宋" w:eastAsia="仿宋" w:cs="Times New Roman"/>
          <w:color w:val="auto"/>
          <w:sz w:val="32"/>
          <w:szCs w:val="32"/>
          <w:highlight w:val="none"/>
          <w:lang w:eastAsia="zh-CN"/>
        </w:rPr>
        <w:t>》）及技术评估报告收悉。经我局审核，现批复如下：</w:t>
      </w:r>
    </w:p>
    <w:p w14:paraId="6B1C8F3F">
      <w:pPr>
        <w:spacing w:line="44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eastAsia="zh-CN"/>
        </w:rPr>
        <w:t>一、项目性质为新建，</w:t>
      </w:r>
      <w:r>
        <w:rPr>
          <w:rFonts w:hint="eastAsia" w:ascii="仿宋" w:hAnsi="仿宋" w:eastAsia="仿宋" w:cs="Times New Roman"/>
          <w:color w:val="auto"/>
          <w:sz w:val="32"/>
          <w:szCs w:val="32"/>
          <w:highlight w:val="none"/>
          <w:lang w:val="en-US" w:eastAsia="zh-CN"/>
        </w:rPr>
        <w:t>位于柳州市融安县浮石镇香杉工业园，项目总占地面积约40亩。建设规模及内容：建设融安县工业集中区竹木加工企业配套原辅材料、辅助设施；项目分两期建设，一期建设10万吨环保树脂胶，二期建设4200万张浸渍纸，本次仅对项目一期进行评价。项目总投资1000万元，其中环保投资47万元。</w:t>
      </w:r>
    </w:p>
    <w:p w14:paraId="674CA185">
      <w:pPr>
        <w:spacing w:line="440" w:lineRule="exact"/>
        <w:ind w:firstLine="640" w:firstLineChars="200"/>
        <w:rPr>
          <w:rFonts w:ascii="仿宋" w:hAnsi="仿宋" w:eastAsia="仿宋"/>
          <w:color w:val="auto"/>
          <w:sz w:val="32"/>
          <w:szCs w:val="32"/>
          <w:highlight w:val="none"/>
        </w:rPr>
      </w:pPr>
      <w:r>
        <w:rPr>
          <w:rFonts w:hint="eastAsia" w:ascii="仿宋" w:hAnsi="仿宋" w:eastAsia="仿宋" w:cs="Times New Roman"/>
          <w:color w:val="auto"/>
          <w:sz w:val="32"/>
          <w:szCs w:val="32"/>
          <w:highlight w:val="none"/>
          <w:lang w:eastAsia="zh-CN"/>
        </w:rPr>
        <w:t>项目已获得广西壮族自治区投资项目备案证明，符合《融安县工业集中区总体规划（2020-2035）环境影响报告书》及其审查意见。从环境影响角度考虑，同意你公司按照报告书所列的建设项目的地点、性质、规模、采取的环境保护对策措施及下</w:t>
      </w:r>
      <w:r>
        <w:rPr>
          <w:rFonts w:hint="eastAsia" w:ascii="仿宋" w:hAnsi="仿宋" w:eastAsia="仿宋"/>
          <w:color w:val="auto"/>
          <w:sz w:val="32"/>
          <w:szCs w:val="32"/>
          <w:highlight w:val="none"/>
        </w:rPr>
        <w:t>述要求进行项目建设。</w:t>
      </w:r>
    </w:p>
    <w:p w14:paraId="4E6BB142">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二、项目须落实报告书提出的各项环保要求，重点抓好以下环保工作：</w:t>
      </w:r>
    </w:p>
    <w:p w14:paraId="4F8BE2AF">
      <w:pPr>
        <w:spacing w:line="440" w:lineRule="exact"/>
        <w:ind w:firstLine="640" w:firstLineChars="200"/>
        <w:rPr>
          <w:rFonts w:hint="eastAsia" w:ascii="仿宋" w:hAnsi="仿宋" w:eastAsia="仿宋"/>
          <w:color w:val="auto"/>
          <w:sz w:val="32"/>
          <w:szCs w:val="32"/>
          <w:highlight w:val="none"/>
          <w:lang w:val="zh-CN" w:eastAsia="zh-CN"/>
        </w:rPr>
      </w:pPr>
      <w:r>
        <w:rPr>
          <w:rFonts w:hint="eastAsia" w:ascii="仿宋" w:hAnsi="仿宋" w:eastAsia="仿宋"/>
          <w:color w:val="auto"/>
          <w:sz w:val="32"/>
          <w:szCs w:val="32"/>
          <w:highlight w:val="none"/>
        </w:rPr>
        <w:t>（一）项目制胶过程反应釜不凝气</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甲醛溶液储罐呼吸废气、胶水暂存罐呼吸废气</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危废间废气收集</w:t>
      </w:r>
      <w:r>
        <w:rPr>
          <w:rFonts w:hint="eastAsia" w:ascii="仿宋" w:hAnsi="仿宋" w:eastAsia="仿宋"/>
          <w:color w:val="auto"/>
          <w:sz w:val="32"/>
          <w:szCs w:val="32"/>
          <w:highlight w:val="none"/>
          <w:lang w:eastAsia="zh-CN"/>
        </w:rPr>
        <w:t>至废气处理装置，</w:t>
      </w:r>
      <w:r>
        <w:rPr>
          <w:rFonts w:hint="eastAsia" w:ascii="仿宋" w:hAnsi="仿宋" w:eastAsia="仿宋"/>
          <w:color w:val="auto"/>
          <w:sz w:val="32"/>
          <w:szCs w:val="32"/>
          <w:highlight w:val="none"/>
        </w:rPr>
        <w:t>经三级冷凝器+喷淋塔（附除雾箱）+活性炭吸附处理</w:t>
      </w:r>
      <w:r>
        <w:rPr>
          <w:rFonts w:hint="eastAsia" w:ascii="仿宋" w:hAnsi="仿宋" w:eastAsia="仿宋"/>
          <w:color w:val="auto"/>
          <w:sz w:val="32"/>
          <w:szCs w:val="32"/>
          <w:highlight w:val="none"/>
          <w:lang w:eastAsia="zh-CN"/>
        </w:rPr>
        <w:t>后由一根</w:t>
      </w:r>
      <w:r>
        <w:rPr>
          <w:rFonts w:hint="eastAsia" w:ascii="仿宋" w:hAnsi="仿宋" w:eastAsia="仿宋"/>
          <w:color w:val="auto"/>
          <w:sz w:val="32"/>
          <w:szCs w:val="32"/>
          <w:highlight w:val="none"/>
        </w:rPr>
        <w:t>高16</w:t>
      </w:r>
      <w:r>
        <w:rPr>
          <w:rFonts w:hint="eastAsia" w:ascii="仿宋" w:hAnsi="仿宋" w:eastAsia="仿宋"/>
          <w:color w:val="auto"/>
          <w:sz w:val="32"/>
          <w:szCs w:val="32"/>
          <w:highlight w:val="none"/>
          <w:lang w:eastAsia="zh-CN"/>
        </w:rPr>
        <w:t>米的</w:t>
      </w:r>
      <w:r>
        <w:rPr>
          <w:rFonts w:hint="eastAsia" w:ascii="仿宋" w:hAnsi="仿宋" w:eastAsia="仿宋"/>
          <w:color w:val="auto"/>
          <w:sz w:val="32"/>
          <w:szCs w:val="32"/>
          <w:highlight w:val="none"/>
        </w:rPr>
        <w:t>排气筒</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DA001</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排放</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须确保排气筒外排废气中的甲醛、氨、非甲烷总烃排放浓度符合GB31572-2015《合成树脂工业污染物排放标准》</w:t>
      </w:r>
      <w:r>
        <w:rPr>
          <w:rFonts w:hint="eastAsia" w:ascii="仿宋" w:hAnsi="仿宋" w:eastAsia="仿宋"/>
          <w:color w:val="auto"/>
          <w:sz w:val="32"/>
          <w:szCs w:val="32"/>
          <w:highlight w:val="none"/>
          <w:lang w:val="zh-CN" w:eastAsia="zh-CN"/>
        </w:rPr>
        <w:t>表</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lang w:val="zh-CN" w:eastAsia="zh-CN"/>
        </w:rPr>
        <w:t>大气污染物排放限值要求。</w:t>
      </w:r>
    </w:p>
    <w:p w14:paraId="0BE5B0AA">
      <w:pPr>
        <w:spacing w:line="44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（二）应加强生产过程中物料</w:t>
      </w:r>
      <w:r>
        <w:rPr>
          <w:rFonts w:hint="eastAsia" w:ascii="仿宋" w:hAnsi="仿宋" w:eastAsia="仿宋"/>
          <w:color w:val="auto"/>
          <w:sz w:val="32"/>
          <w:szCs w:val="32"/>
          <w:highlight w:val="none"/>
          <w:lang w:val="en-US" w:eastAsia="zh-CN"/>
        </w:rPr>
        <w:t>转移和</w:t>
      </w:r>
      <w:r>
        <w:rPr>
          <w:rFonts w:hint="eastAsia" w:ascii="仿宋" w:hAnsi="仿宋" w:eastAsia="仿宋"/>
          <w:color w:val="auto"/>
          <w:sz w:val="32"/>
          <w:szCs w:val="32"/>
          <w:highlight w:val="none"/>
        </w:rPr>
        <w:t>输送、进出料包装、生产使用过程、末端治理等各环节无组织废气控制措施。加强泵、阀门、管线、法兰等设备的维护保养，确保厂界颗粒物、非甲烷总烃排放浓度符合GB31572-2015《合成树脂工业污染物排放标准》表</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企业边界大气污染物</w:t>
      </w:r>
      <w:r>
        <w:rPr>
          <w:rFonts w:hint="eastAsia" w:ascii="仿宋" w:hAnsi="仿宋" w:eastAsia="仿宋"/>
          <w:color w:val="auto"/>
          <w:sz w:val="32"/>
          <w:szCs w:val="32"/>
          <w:highlight w:val="none"/>
          <w:lang w:eastAsia="zh-CN"/>
        </w:rPr>
        <w:t>浓度</w:t>
      </w:r>
      <w:r>
        <w:rPr>
          <w:rFonts w:hint="eastAsia" w:ascii="仿宋" w:hAnsi="仿宋" w:eastAsia="仿宋"/>
          <w:color w:val="auto"/>
          <w:sz w:val="32"/>
          <w:szCs w:val="32"/>
          <w:highlight w:val="none"/>
        </w:rPr>
        <w:t>限值要求,厂界</w:t>
      </w:r>
      <w:r>
        <w:rPr>
          <w:rFonts w:hint="eastAsia" w:ascii="仿宋" w:hAnsi="仿宋" w:eastAsia="仿宋"/>
          <w:color w:val="auto"/>
          <w:sz w:val="32"/>
          <w:szCs w:val="32"/>
          <w:highlight w:val="none"/>
          <w:lang w:eastAsia="zh-CN"/>
        </w:rPr>
        <w:t>甲醛</w:t>
      </w:r>
      <w:r>
        <w:rPr>
          <w:rFonts w:hint="eastAsia" w:ascii="仿宋" w:hAnsi="仿宋" w:eastAsia="仿宋"/>
          <w:color w:val="auto"/>
          <w:sz w:val="32"/>
          <w:szCs w:val="32"/>
          <w:highlight w:val="none"/>
        </w:rPr>
        <w:t>排放浓度符合GB16297-1996《大气污染物综合排放标准》表2新污染源大气污染物排放限值（无组织排放监控浓度限值）要求</w:t>
      </w:r>
      <w:r>
        <w:rPr>
          <w:rFonts w:hint="eastAsia" w:ascii="仿宋" w:hAnsi="仿宋" w:eastAsia="仿宋"/>
          <w:color w:val="auto"/>
          <w:sz w:val="32"/>
          <w:szCs w:val="32"/>
          <w:highlight w:val="none"/>
          <w:lang w:eastAsia="zh-CN"/>
        </w:rPr>
        <w:t>，厂界氨、臭气浓度排放浓度符合GB14554-1993《恶臭污染物排放标准》表</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eastAsia="zh-CN"/>
        </w:rPr>
        <w:t>恶臭污染物厂界标准值（二级新扩改建）要求。</w:t>
      </w:r>
    </w:p>
    <w:p w14:paraId="736C5C8D">
      <w:pPr>
        <w:spacing w:line="44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（三）项目反应釜冷却水、冷凝器冷凝用水循环使用，不外排；喷淋塔喷淋用水循环使用，每周更换后用作氯化铵溶液配制的工艺用水回用，不外排</w:t>
      </w:r>
      <w:r>
        <w:rPr>
          <w:rFonts w:hint="eastAsia" w:ascii="仿宋" w:hAnsi="仿宋" w:eastAsia="仿宋"/>
          <w:color w:val="auto"/>
          <w:sz w:val="32"/>
          <w:szCs w:val="32"/>
          <w:highlight w:val="none"/>
          <w:lang w:eastAsia="zh-CN"/>
        </w:rPr>
        <w:t>；生活污水经化粪池处理后，确保符合GB8978-1996《污水综合排放标准》三级排放标准要求，方可由污水管网排入浮石镇污水处理厂处理。</w:t>
      </w:r>
    </w:p>
    <w:p w14:paraId="40E50E91">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（四）合理布局高噪音设备，对噪声源强较大的泵、风机等设备采取有效的隔声降噪减震措施，确保厂界噪声符合</w:t>
      </w:r>
      <w:r>
        <w:rPr>
          <w:rFonts w:ascii="仿宋" w:hAnsi="仿宋" w:eastAsia="仿宋"/>
          <w:color w:val="auto"/>
          <w:sz w:val="32"/>
          <w:szCs w:val="32"/>
          <w:highlight w:val="none"/>
        </w:rPr>
        <w:t>GB12348-2008</w:t>
      </w:r>
      <w:r>
        <w:rPr>
          <w:rFonts w:hint="eastAsia" w:ascii="仿宋" w:hAnsi="仿宋" w:eastAsia="仿宋"/>
          <w:color w:val="auto"/>
          <w:sz w:val="32"/>
          <w:szCs w:val="32"/>
          <w:highlight w:val="none"/>
        </w:rPr>
        <w:t>《工业企业厂界环境噪声排放标准》</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类标准。</w:t>
      </w:r>
    </w:p>
    <w:p w14:paraId="2C8427F0">
      <w:pPr>
        <w:spacing w:line="44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（五）按分区防渗原则落实各项防渗措施。厂区内须进行雨污分流、清污分流，须对</w:t>
      </w:r>
      <w:r>
        <w:rPr>
          <w:rFonts w:hint="eastAsia" w:ascii="仿宋" w:hAnsi="仿宋" w:eastAsia="仿宋"/>
          <w:color w:val="auto"/>
          <w:sz w:val="32"/>
          <w:szCs w:val="32"/>
          <w:highlight w:val="none"/>
          <w:lang w:eastAsia="zh-CN"/>
        </w:rPr>
        <w:t>生产区、胶水暂存罐区</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危废</w:t>
      </w:r>
      <w:r>
        <w:rPr>
          <w:rFonts w:hint="eastAsia" w:ascii="仿宋" w:hAnsi="仿宋" w:eastAsia="仿宋"/>
          <w:color w:val="auto"/>
          <w:sz w:val="32"/>
          <w:szCs w:val="32"/>
          <w:highlight w:val="none"/>
        </w:rPr>
        <w:t>间、初期雨水池、</w:t>
      </w:r>
      <w:r>
        <w:rPr>
          <w:rFonts w:hint="eastAsia" w:ascii="仿宋" w:hAnsi="仿宋" w:eastAsia="仿宋"/>
          <w:color w:val="auto"/>
          <w:sz w:val="32"/>
          <w:szCs w:val="32"/>
          <w:highlight w:val="none"/>
          <w:lang w:eastAsia="zh-CN"/>
        </w:rPr>
        <w:t>事故应急池、甲醛溶液储罐区</w:t>
      </w:r>
      <w:r>
        <w:rPr>
          <w:rFonts w:hint="eastAsia" w:ascii="仿宋" w:hAnsi="仿宋" w:eastAsia="仿宋"/>
          <w:color w:val="auto"/>
          <w:sz w:val="32"/>
          <w:szCs w:val="32"/>
          <w:highlight w:val="none"/>
        </w:rPr>
        <w:t>及污水排放管道等按要求进行防腐蚀和防渗漏处理。按照《环境保护图形标志</w:t>
      </w:r>
      <w:r>
        <w:rPr>
          <w:rFonts w:ascii="仿宋" w:hAnsi="仿宋" w:eastAsia="仿宋"/>
          <w:color w:val="auto"/>
          <w:sz w:val="32"/>
          <w:szCs w:val="32"/>
          <w:highlight w:val="none"/>
        </w:rPr>
        <w:t>—</w:t>
      </w:r>
      <w:r>
        <w:rPr>
          <w:rFonts w:hint="eastAsia" w:ascii="仿宋" w:hAnsi="仿宋" w:eastAsia="仿宋"/>
          <w:color w:val="auto"/>
          <w:sz w:val="32"/>
          <w:szCs w:val="32"/>
          <w:highlight w:val="none"/>
        </w:rPr>
        <w:t>排污口（源）》和《排污口规范化整治要求（试行）》有关规定建设规范化的排污口。须按排污许可相关管理要求定期进行监测。</w:t>
      </w:r>
    </w:p>
    <w:p w14:paraId="0E300A73">
      <w:pPr>
        <w:spacing w:line="44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（六）在厂区及周边建立地下水和土壤监控点，委托有资质的监测机构对地下水水质和土壤进行定期动态监测，做好地下水和土壤污染预警预报。</w:t>
      </w:r>
    </w:p>
    <w:p w14:paraId="71C9DB80">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（七）做好一般固体废物的综合利用和妥善处置工作。须按</w:t>
      </w:r>
      <w:r>
        <w:rPr>
          <w:rFonts w:hint="eastAsia" w:ascii="仿宋" w:hAnsi="仿宋" w:eastAsia="仿宋"/>
          <w:sz w:val="32"/>
          <w:szCs w:val="32"/>
          <w:highlight w:val="none"/>
        </w:rPr>
        <w:t>GB18599-2020《一般工业固体废物贮存和填埋污染控制标准》</w:t>
      </w:r>
      <w:r>
        <w:rPr>
          <w:rFonts w:hint="eastAsia" w:ascii="仿宋" w:hAnsi="仿宋" w:eastAsia="仿宋"/>
          <w:color w:val="auto"/>
          <w:sz w:val="32"/>
          <w:szCs w:val="32"/>
          <w:highlight w:val="none"/>
        </w:rPr>
        <w:t>要求设置相关污染防治设施。</w:t>
      </w:r>
    </w:p>
    <w:p w14:paraId="3DC52969">
      <w:pPr>
        <w:keepNext w:val="0"/>
        <w:keepLines w:val="0"/>
        <w:pageBreakBefore w:val="0"/>
        <w:widowControl w:val="0"/>
        <w:kinsoku/>
        <w:wordWrap/>
        <w:overflowPunct/>
        <w:topLinePunct w:val="0"/>
        <w:autoSpaceDE/>
        <w:autoSpaceDN/>
        <w:bidi w:val="0"/>
        <w:spacing w:line="440" w:lineRule="exact"/>
        <w:ind w:firstLine="640" w:firstLineChars="200"/>
        <w:textAlignment w:val="auto"/>
        <w:rPr>
          <w:highlight w:val="none"/>
        </w:rPr>
      </w:pPr>
      <w:r>
        <w:rPr>
          <w:rFonts w:hint="eastAsia" w:ascii="仿宋" w:hAnsi="仿宋" w:eastAsia="仿宋"/>
          <w:color w:val="auto"/>
          <w:sz w:val="32"/>
          <w:szCs w:val="32"/>
          <w:highlight w:val="none"/>
        </w:rPr>
        <w:t>（八）</w:t>
      </w:r>
      <w:r>
        <w:rPr>
          <w:rFonts w:hint="eastAsia" w:ascii="仿宋" w:hAnsi="仿宋" w:eastAsia="仿宋"/>
          <w:sz w:val="32"/>
          <w:szCs w:val="32"/>
          <w:highlight w:val="none"/>
        </w:rPr>
        <w:t>须按GB18597-20</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《危险废物贮存污染控制标准》要求，建设规范的</w:t>
      </w:r>
      <w:r>
        <w:rPr>
          <w:rFonts w:hint="eastAsia" w:ascii="仿宋" w:hAnsi="仿宋" w:eastAsia="仿宋"/>
          <w:sz w:val="32"/>
          <w:szCs w:val="32"/>
          <w:highlight w:val="none"/>
          <w:lang w:val="en-US" w:eastAsia="zh-CN"/>
        </w:rPr>
        <w:t>废胶渣、废胶水桶、废活性炭、废机油、废填料及废过滤棉等</w:t>
      </w:r>
      <w:r>
        <w:rPr>
          <w:rFonts w:hint="eastAsia" w:ascii="仿宋" w:hAnsi="仿宋" w:eastAsia="仿宋"/>
          <w:sz w:val="32"/>
          <w:szCs w:val="32"/>
          <w:highlight w:val="none"/>
        </w:rPr>
        <w:t>危险废物的收集临时存放设施，并设立明显的危废标志，危险废物须定期收集并交由有危险废物处置资质的单位按规定处理、处置，不得随意堆放、擅自外排。做好危险废物处置及转移联单的台帐记录。</w:t>
      </w:r>
    </w:p>
    <w:p w14:paraId="02540D93">
      <w:pPr>
        <w:spacing w:line="44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（九）加强厂区管理，</w:t>
      </w:r>
      <w:r>
        <w:rPr>
          <w:rFonts w:ascii="仿宋" w:hAnsi="仿宋" w:eastAsia="仿宋"/>
          <w:color w:val="auto"/>
          <w:sz w:val="32"/>
          <w:szCs w:val="32"/>
          <w:highlight w:val="none"/>
        </w:rPr>
        <w:t>合理布置危险物质储存区域，</w:t>
      </w:r>
      <w:r>
        <w:rPr>
          <w:rFonts w:hint="eastAsia" w:ascii="仿宋" w:hAnsi="仿宋" w:eastAsia="仿宋"/>
          <w:color w:val="auto"/>
          <w:sz w:val="32"/>
          <w:szCs w:val="32"/>
          <w:highlight w:val="none"/>
        </w:rPr>
        <w:t>合理设置事故应急池、围堰、导排水管以及生产区防泄漏措施。</w:t>
      </w:r>
      <w:r>
        <w:rPr>
          <w:rFonts w:ascii="仿宋" w:hAnsi="仿宋" w:eastAsia="仿宋"/>
          <w:color w:val="auto"/>
          <w:sz w:val="32"/>
          <w:szCs w:val="32"/>
          <w:highlight w:val="none"/>
        </w:rPr>
        <w:t>配套建设应急救援设施、救援通道、应急疏散路线、应急疏散避难所等防护设施。定期对生产设备、</w:t>
      </w:r>
      <w:r>
        <w:rPr>
          <w:rFonts w:hint="eastAsia" w:ascii="仿宋" w:hAnsi="仿宋" w:eastAsia="仿宋"/>
          <w:color w:val="auto"/>
          <w:sz w:val="32"/>
          <w:szCs w:val="32"/>
          <w:highlight w:val="none"/>
        </w:rPr>
        <w:t>阀门、管件及</w:t>
      </w:r>
      <w:r>
        <w:rPr>
          <w:rFonts w:ascii="仿宋" w:hAnsi="仿宋" w:eastAsia="仿宋"/>
          <w:color w:val="auto"/>
          <w:sz w:val="32"/>
          <w:szCs w:val="32"/>
          <w:highlight w:val="none"/>
        </w:rPr>
        <w:t>尾气处理系统等设备进行检查。</w:t>
      </w:r>
      <w:r>
        <w:rPr>
          <w:rFonts w:hint="eastAsia" w:ascii="仿宋" w:hAnsi="仿宋" w:eastAsia="仿宋"/>
          <w:color w:val="auto"/>
          <w:sz w:val="32"/>
          <w:szCs w:val="32"/>
          <w:highlight w:val="none"/>
        </w:rPr>
        <w:t>按照《关于印发〈企业事业单位突发环境事件应急预案备案管理办法（试行）〉的通知》（环发〔</w:t>
      </w:r>
      <w:r>
        <w:rPr>
          <w:rFonts w:ascii="仿宋" w:hAnsi="仿宋" w:eastAsia="仿宋"/>
          <w:color w:val="auto"/>
          <w:sz w:val="32"/>
          <w:szCs w:val="32"/>
          <w:highlight w:val="none"/>
        </w:rPr>
        <w:t>2015</w:t>
      </w:r>
      <w:r>
        <w:rPr>
          <w:rFonts w:hint="eastAsia" w:ascii="仿宋" w:hAnsi="仿宋" w:eastAsia="仿宋"/>
          <w:color w:val="auto"/>
          <w:sz w:val="32"/>
          <w:szCs w:val="32"/>
          <w:highlight w:val="none"/>
        </w:rPr>
        <w:t>〕</w:t>
      </w:r>
      <w:r>
        <w:rPr>
          <w:rFonts w:ascii="仿宋" w:hAnsi="仿宋" w:eastAsia="仿宋"/>
          <w:color w:val="auto"/>
          <w:sz w:val="32"/>
          <w:szCs w:val="32"/>
          <w:highlight w:val="none"/>
        </w:rPr>
        <w:t xml:space="preserve">4 </w:t>
      </w:r>
      <w:r>
        <w:rPr>
          <w:rFonts w:hint="eastAsia" w:ascii="仿宋" w:hAnsi="仿宋" w:eastAsia="仿宋"/>
          <w:color w:val="auto"/>
          <w:sz w:val="32"/>
          <w:szCs w:val="32"/>
          <w:highlight w:val="none"/>
        </w:rPr>
        <w:t>号）等相关要求，制订应急预案，配备相应的应急保障物资，落实环境风险防范措施，定期进行应急演练。加强环境管理，落实环境保护规章制度，确保环保设施的正常运转以及各项污染物稳定达标排放。</w:t>
      </w:r>
    </w:p>
    <w:p w14:paraId="0B060D75">
      <w:pPr>
        <w:spacing w:line="44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（十）加强环境管理，落实环境保护规章制度，确保环保设施的正常运转以及各项污染物稳定达标排放。</w:t>
      </w:r>
    </w:p>
    <w:p w14:paraId="0D2AA967">
      <w:pPr>
        <w:widowControl w:val="0"/>
        <w:wordWrap/>
        <w:spacing w:line="440" w:lineRule="exact"/>
        <w:ind w:firstLine="640" w:firstLineChars="200"/>
        <w:textAlignment w:val="auto"/>
        <w:rPr>
          <w:rFonts w:hint="eastAsia" w:ascii="仿宋" w:hAnsi="仿宋" w:eastAsia="仿宋"/>
          <w:color w:val="auto"/>
          <w:sz w:val="32"/>
          <w:szCs w:val="32"/>
        </w:rPr>
      </w:pPr>
      <w:r>
        <w:rPr>
          <w:rFonts w:hint="eastAsia" w:ascii="仿宋" w:hAnsi="仿宋" w:eastAsia="仿宋"/>
          <w:sz w:val="32"/>
          <w:szCs w:val="32"/>
          <w:highlight w:val="none"/>
        </w:rPr>
        <w:t>（十</w:t>
      </w:r>
      <w:r>
        <w:rPr>
          <w:rFonts w:hint="eastAsia" w:ascii="仿宋" w:hAnsi="仿宋" w:eastAsia="仿宋"/>
          <w:sz w:val="32"/>
          <w:szCs w:val="32"/>
          <w:highlight w:val="none"/>
          <w:lang w:eastAsia="zh-CN"/>
        </w:rPr>
        <w:t>一</w:t>
      </w:r>
      <w:r>
        <w:rPr>
          <w:rFonts w:hint="eastAsia" w:ascii="仿宋" w:hAnsi="仿宋" w:eastAsia="仿宋"/>
          <w:sz w:val="32"/>
          <w:szCs w:val="32"/>
          <w:highlight w:val="none"/>
        </w:rPr>
        <w:t>）</w:t>
      </w:r>
      <w:r>
        <w:rPr>
          <w:rFonts w:hint="eastAsia" w:ascii="仿宋" w:hAnsi="仿宋" w:eastAsia="仿宋"/>
          <w:color w:val="auto"/>
          <w:sz w:val="32"/>
          <w:szCs w:val="32"/>
        </w:rPr>
        <w:t>落实《建设项目环境影响评价信息公开机制方案》（环发〔2015〕162号），公开项目环境信息，接受社会监督，并主动做好项目建设和运营期与周边公众的沟通协调，及时解决公众提出的环境问题，采纳公众的合理意见，满足公众合理的环境诉求。</w:t>
      </w:r>
    </w:p>
    <w:p w14:paraId="0454703D">
      <w:pPr>
        <w:widowControl w:val="0"/>
        <w:wordWrap/>
        <w:spacing w:line="4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三、该项目建设必须严格执行环境保护设施与主体工程同时设计、同时施工、同时投产使用的环境保护“三同时”制度并依法申报排污许可证。在落实本批复和《报告书》提出的各项环境保护措施和要求后，建设单位可自行决定项目投入调试的具体时间并请以书面形式向当地生态环境主管部门备案。调试生产前，建设单位应按国家和自治区有关规定对排污许可证进行申报工作。工程建成后，须按《建设项目竣工环境保护验收暂行办法》要求实施竣工环境保护验收。未落实本批复和《报告书》提出的各项环境保护措施、未取得排污许可证擅自投入调试生产、未经竣工环境验收擅自投入生产的，未向社会公开有关信息的，应承担相应的法律责任。</w:t>
      </w:r>
    </w:p>
    <w:p w14:paraId="59E697C2">
      <w:pPr>
        <w:widowControl w:val="0"/>
        <w:wordWrap/>
        <w:spacing w:line="44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rPr>
        <w:t>四、</w:t>
      </w:r>
      <w:r>
        <w:rPr>
          <w:rFonts w:hint="eastAsia" w:ascii="仿宋" w:hAnsi="仿宋" w:eastAsia="仿宋"/>
          <w:color w:val="auto"/>
          <w:sz w:val="32"/>
          <w:szCs w:val="32"/>
          <w:lang w:eastAsia="zh-CN"/>
        </w:rPr>
        <w:t>项目申报时已开工建设。</w:t>
      </w:r>
      <w:r>
        <w:rPr>
          <w:rFonts w:hint="eastAsia" w:ascii="仿宋" w:hAnsi="仿宋" w:eastAsia="仿宋"/>
          <w:color w:val="auto"/>
          <w:sz w:val="32"/>
          <w:szCs w:val="32"/>
        </w:rPr>
        <w:t>建设项目的性质、规模、地点、采用的生产工艺或者防治污染、</w:t>
      </w:r>
      <w:r>
        <w:rPr>
          <w:rFonts w:hint="eastAsia" w:ascii="仿宋" w:hAnsi="仿宋" w:eastAsia="仿宋"/>
          <w:color w:val="auto"/>
          <w:sz w:val="32"/>
          <w:szCs w:val="32"/>
          <w:highlight w:val="none"/>
        </w:rPr>
        <w:t>防止生态破坏的措施发生重大变动的，建设单位应当重新报批建设项目的环境影响评价文件。</w:t>
      </w:r>
    </w:p>
    <w:p w14:paraId="40F8D663">
      <w:pPr>
        <w:tabs>
          <w:tab w:val="left" w:pos="4905"/>
        </w:tabs>
        <w:spacing w:line="44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五、建设单位在接到本批复</w:t>
      </w:r>
      <w:r>
        <w:rPr>
          <w:rFonts w:ascii="仿宋" w:hAnsi="仿宋" w:eastAsia="仿宋"/>
          <w:color w:val="auto"/>
          <w:sz w:val="32"/>
          <w:szCs w:val="32"/>
          <w:highlight w:val="none"/>
        </w:rPr>
        <w:t>5</w:t>
      </w:r>
      <w:r>
        <w:rPr>
          <w:rFonts w:hint="eastAsia" w:ascii="仿宋" w:hAnsi="仿宋" w:eastAsia="仿宋"/>
          <w:color w:val="auto"/>
          <w:sz w:val="32"/>
          <w:szCs w:val="32"/>
          <w:highlight w:val="none"/>
        </w:rPr>
        <w:t>日内，将批复文件及批准后的《报告书》（报</w:t>
      </w:r>
      <w:bookmarkStart w:id="0" w:name="_GoBack"/>
      <w:bookmarkEnd w:id="0"/>
      <w:r>
        <w:rPr>
          <w:rFonts w:hint="eastAsia" w:ascii="仿宋" w:hAnsi="仿宋" w:eastAsia="仿宋"/>
          <w:color w:val="auto"/>
          <w:sz w:val="32"/>
          <w:szCs w:val="32"/>
          <w:highlight w:val="none"/>
        </w:rPr>
        <w:t>批稿）送达柳州市</w:t>
      </w:r>
      <w:r>
        <w:rPr>
          <w:rFonts w:hint="eastAsia" w:ascii="仿宋" w:hAnsi="仿宋" w:eastAsia="仿宋"/>
          <w:color w:val="auto"/>
          <w:sz w:val="32"/>
          <w:szCs w:val="32"/>
          <w:highlight w:val="none"/>
          <w:lang w:eastAsia="zh-CN"/>
        </w:rPr>
        <w:t>融安</w:t>
      </w:r>
      <w:r>
        <w:rPr>
          <w:rFonts w:hint="eastAsia" w:ascii="仿宋" w:hAnsi="仿宋" w:eastAsia="仿宋"/>
          <w:color w:val="auto"/>
          <w:sz w:val="32"/>
          <w:szCs w:val="32"/>
          <w:highlight w:val="none"/>
        </w:rPr>
        <w:t>生态环境局,并按规定接受辖区生态环境部门的监管检查。请柳州市</w:t>
      </w:r>
      <w:r>
        <w:rPr>
          <w:rFonts w:hint="eastAsia" w:ascii="仿宋" w:hAnsi="仿宋" w:eastAsia="仿宋"/>
          <w:color w:val="auto"/>
          <w:sz w:val="32"/>
          <w:szCs w:val="32"/>
          <w:highlight w:val="none"/>
          <w:lang w:eastAsia="zh-CN"/>
        </w:rPr>
        <w:t>融安</w:t>
      </w:r>
      <w:r>
        <w:rPr>
          <w:rFonts w:hint="eastAsia" w:ascii="仿宋" w:hAnsi="仿宋" w:eastAsia="仿宋"/>
          <w:color w:val="auto"/>
          <w:sz w:val="32"/>
          <w:szCs w:val="32"/>
          <w:highlight w:val="none"/>
        </w:rPr>
        <w:t>生态环境局按规定对项目执行环保“三同时”情况进行日常监督管理，发现环境问题及时上报柳州市生态环境局。</w:t>
      </w:r>
    </w:p>
    <w:p w14:paraId="16237227">
      <w:pPr>
        <w:tabs>
          <w:tab w:val="left" w:pos="4905"/>
        </w:tabs>
        <w:spacing w:line="340" w:lineRule="exact"/>
        <w:rPr>
          <w:rFonts w:ascii="仿宋" w:hAnsi="仿宋" w:eastAsia="仿宋"/>
          <w:sz w:val="32"/>
          <w:szCs w:val="32"/>
        </w:rPr>
      </w:pPr>
    </w:p>
    <w:p w14:paraId="14EC10CD">
      <w:pPr>
        <w:tabs>
          <w:tab w:val="left" w:pos="4905"/>
        </w:tabs>
        <w:spacing w:line="340" w:lineRule="exact"/>
        <w:rPr>
          <w:rFonts w:ascii="仿宋" w:hAnsi="仿宋" w:eastAsia="仿宋"/>
          <w:sz w:val="32"/>
          <w:szCs w:val="32"/>
        </w:rPr>
      </w:pPr>
    </w:p>
    <w:p w14:paraId="2066241B">
      <w:pPr>
        <w:tabs>
          <w:tab w:val="left" w:pos="4905"/>
        </w:tabs>
        <w:spacing w:line="340" w:lineRule="exact"/>
        <w:ind w:firstLine="640" w:firstLineChars="200"/>
        <w:rPr>
          <w:rFonts w:ascii="仿宋" w:hAnsi="仿宋" w:eastAsia="仿宋"/>
          <w:sz w:val="32"/>
          <w:szCs w:val="32"/>
        </w:rPr>
      </w:pPr>
      <w:r>
        <w:rPr>
          <w:rFonts w:ascii="仿宋" w:hAnsi="仿宋" w:eastAsia="仿宋"/>
          <w:sz w:val="32"/>
          <w:szCs w:val="32"/>
        </w:rPr>
        <w:t xml:space="preserve">                       </w:t>
      </w:r>
    </w:p>
    <w:p w14:paraId="017B2D95">
      <w:pPr>
        <w:tabs>
          <w:tab w:val="left" w:pos="4905"/>
        </w:tabs>
        <w:spacing w:line="340" w:lineRule="exact"/>
        <w:ind w:firstLine="640" w:firstLineChars="200"/>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p>
    <w:p w14:paraId="57D64853">
      <w:pPr>
        <w:tabs>
          <w:tab w:val="left" w:pos="4905"/>
        </w:tabs>
        <w:spacing w:line="340" w:lineRule="exact"/>
        <w:ind w:firstLine="640" w:firstLineChars="200"/>
        <w:rPr>
          <w:rFonts w:hint="eastAsia" w:ascii="仿宋" w:hAnsi="仿宋" w:eastAsia="仿宋"/>
          <w:sz w:val="32"/>
          <w:szCs w:val="32"/>
        </w:rPr>
      </w:pPr>
    </w:p>
    <w:p w14:paraId="0B3EE376">
      <w:pPr>
        <w:tabs>
          <w:tab w:val="left" w:pos="4905"/>
        </w:tabs>
        <w:spacing w:line="340" w:lineRule="exact"/>
        <w:ind w:firstLine="640" w:firstLineChars="200"/>
        <w:rPr>
          <w:rFonts w:ascii="仿宋" w:hAnsi="仿宋" w:eastAsia="仿宋"/>
          <w:sz w:val="32"/>
          <w:szCs w:val="32"/>
          <w:highlight w:val="none"/>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highlight w:val="none"/>
        </w:rPr>
        <w:t xml:space="preserve"> 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29</w:t>
      </w:r>
      <w:r>
        <w:rPr>
          <w:rFonts w:hint="eastAsia" w:ascii="仿宋" w:hAnsi="仿宋" w:eastAsia="仿宋"/>
          <w:sz w:val="32"/>
          <w:szCs w:val="32"/>
          <w:highlight w:val="none"/>
        </w:rPr>
        <w:t>日</w:t>
      </w:r>
    </w:p>
    <w:p w14:paraId="65D0432E">
      <w:pPr>
        <w:tabs>
          <w:tab w:val="left" w:pos="4905"/>
        </w:tabs>
        <w:spacing w:line="340" w:lineRule="exact"/>
        <w:rPr>
          <w:rFonts w:ascii="仿宋" w:hAnsi="仿宋" w:eastAsia="仿宋"/>
          <w:sz w:val="32"/>
          <w:szCs w:val="32"/>
        </w:rPr>
      </w:pPr>
    </w:p>
    <w:p w14:paraId="270D1C77">
      <w:pPr>
        <w:tabs>
          <w:tab w:val="left" w:pos="4905"/>
        </w:tabs>
        <w:spacing w:line="340" w:lineRule="exact"/>
        <w:rPr>
          <w:rFonts w:ascii="仿宋" w:hAnsi="仿宋" w:eastAsia="仿宋"/>
          <w:sz w:val="32"/>
          <w:szCs w:val="32"/>
        </w:rPr>
      </w:pPr>
    </w:p>
    <w:p w14:paraId="426A734F">
      <w:pPr>
        <w:pStyle w:val="2"/>
        <w:rPr>
          <w:rFonts w:ascii="仿宋" w:hAnsi="仿宋" w:eastAsia="仿宋"/>
          <w:sz w:val="32"/>
          <w:szCs w:val="32"/>
        </w:rPr>
      </w:pPr>
    </w:p>
    <w:p w14:paraId="711C3B5D">
      <w:pPr>
        <w:pStyle w:val="6"/>
        <w:rPr>
          <w:rFonts w:ascii="仿宋" w:hAnsi="仿宋" w:eastAsia="仿宋"/>
          <w:sz w:val="32"/>
          <w:szCs w:val="32"/>
        </w:rPr>
      </w:pPr>
    </w:p>
    <w:p w14:paraId="42ECB753">
      <w:pPr>
        <w:pStyle w:val="7"/>
      </w:pPr>
    </w:p>
    <w:p w14:paraId="63A690F3">
      <w:pPr>
        <w:tabs>
          <w:tab w:val="left" w:pos="4905"/>
        </w:tabs>
        <w:spacing w:line="340" w:lineRule="exact"/>
        <w:rPr>
          <w:rFonts w:ascii="仿宋" w:hAnsi="仿宋" w:eastAsia="仿宋"/>
          <w:sz w:val="32"/>
          <w:szCs w:val="32"/>
        </w:rPr>
      </w:pPr>
    </w:p>
    <w:p w14:paraId="505B0316">
      <w:pPr>
        <w:tabs>
          <w:tab w:val="left" w:pos="4905"/>
        </w:tabs>
        <w:spacing w:line="340" w:lineRule="exact"/>
        <w:rPr>
          <w:rFonts w:ascii="仿宋" w:hAnsi="仿宋" w:eastAsia="仿宋"/>
          <w:sz w:val="32"/>
          <w:szCs w:val="32"/>
        </w:rPr>
      </w:pPr>
    </w:p>
    <w:p w14:paraId="3CC129ED">
      <w:pPr>
        <w:tabs>
          <w:tab w:val="left" w:pos="4905"/>
        </w:tabs>
        <w:spacing w:line="34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此件公开发布</w:t>
      </w:r>
      <w:r>
        <w:rPr>
          <w:rFonts w:hint="eastAsia" w:ascii="仿宋" w:hAnsi="仿宋" w:eastAsia="仿宋"/>
          <w:sz w:val="32"/>
          <w:szCs w:val="32"/>
        </w:rPr>
        <w:t>）</w:t>
      </w:r>
    </w:p>
    <w:p w14:paraId="6221E76E">
      <w:pPr>
        <w:spacing w:line="340" w:lineRule="exact"/>
        <w:rPr>
          <w:rFonts w:ascii="仿宋" w:hAnsi="仿宋" w:eastAsia="仿宋"/>
          <w:bCs/>
          <w:sz w:val="28"/>
          <w:szCs w:val="28"/>
          <w:highlight w:val="none"/>
          <w:u w:val="single"/>
        </w:rPr>
      </w:pPr>
      <w:r>
        <w:rPr>
          <w:rFonts w:ascii="仿宋" w:hAnsi="仿宋" w:eastAsia="仿宋"/>
          <w:bCs/>
          <w:sz w:val="28"/>
          <w:szCs w:val="28"/>
          <w:u w:val="single"/>
        </w:rPr>
        <w:t xml:space="preserve">    </w:t>
      </w:r>
      <w:r>
        <w:rPr>
          <w:rFonts w:hint="eastAsia" w:ascii="仿宋" w:hAnsi="仿宋" w:eastAsia="仿宋"/>
          <w:bCs/>
          <w:sz w:val="28"/>
          <w:szCs w:val="28"/>
          <w:u w:val="single"/>
        </w:rPr>
        <w:t>投资项目在线审批监管平台项目代码：</w:t>
      </w:r>
      <w:r>
        <w:rPr>
          <w:rFonts w:hint="eastAsia" w:ascii="仿宋" w:hAnsi="仿宋" w:eastAsia="仿宋"/>
          <w:bCs/>
          <w:sz w:val="28"/>
          <w:szCs w:val="28"/>
          <w:highlight w:val="none"/>
          <w:u w:val="single"/>
          <w:lang w:val="en-US" w:eastAsia="zh-CN"/>
        </w:rPr>
        <w:t>2207-450224-04-01-647465</w:t>
      </w:r>
      <w:r>
        <w:rPr>
          <w:rFonts w:ascii="仿宋" w:hAnsi="仿宋" w:eastAsia="仿宋"/>
          <w:bCs/>
          <w:sz w:val="28"/>
          <w:szCs w:val="28"/>
          <w:highlight w:val="none"/>
          <w:u w:val="single"/>
        </w:rPr>
        <w:t xml:space="preserve">    </w:t>
      </w:r>
    </w:p>
    <w:p w14:paraId="7B8AE29E">
      <w:pPr>
        <w:spacing w:line="340" w:lineRule="exact"/>
        <w:jc w:val="left"/>
        <w:rPr>
          <w:rFonts w:ascii="仿宋" w:hAnsi="仿宋" w:eastAsia="仿宋"/>
          <w:sz w:val="30"/>
          <w:u w:val="single"/>
        </w:rPr>
      </w:pPr>
      <w:r>
        <w:rPr>
          <w:rFonts w:hint="eastAsia" w:ascii="仿宋" w:hAnsi="仿宋" w:eastAsia="仿宋"/>
          <w:sz w:val="32"/>
          <w:szCs w:val="32"/>
          <w:u w:val="single"/>
        </w:rPr>
        <w:t>抄送</w:t>
      </w:r>
      <w:r>
        <w:rPr>
          <w:rFonts w:ascii="仿宋" w:hAnsi="仿宋" w:eastAsia="仿宋"/>
          <w:sz w:val="32"/>
          <w:szCs w:val="32"/>
          <w:u w:val="single"/>
        </w:rPr>
        <w:t>:</w:t>
      </w:r>
      <w:r>
        <w:rPr>
          <w:rFonts w:hint="eastAsia" w:ascii="仿宋" w:hAnsi="仿宋" w:eastAsia="仿宋"/>
          <w:sz w:val="32"/>
          <w:szCs w:val="32"/>
          <w:u w:val="single"/>
        </w:rPr>
        <w:t xml:space="preserve">柳州市生态环境局   </w:t>
      </w:r>
      <w:r>
        <w:rPr>
          <w:rFonts w:ascii="仿宋" w:hAnsi="仿宋" w:eastAsia="仿宋"/>
          <w:sz w:val="32"/>
          <w:szCs w:val="32"/>
          <w:u w:val="single"/>
        </w:rPr>
        <w:t xml:space="preserve">                                 </w:t>
      </w:r>
    </w:p>
    <w:p w14:paraId="361A5B36">
      <w:pPr>
        <w:spacing w:line="340" w:lineRule="exact"/>
        <w:ind w:left="5440" w:hanging="5440" w:hangingChars="1700"/>
      </w:pPr>
      <w:r>
        <w:rPr>
          <w:rFonts w:hint="eastAsia" w:ascii="仿宋" w:hAnsi="仿宋" w:eastAsia="仿宋"/>
          <w:sz w:val="32"/>
          <w:szCs w:val="32"/>
        </w:rPr>
        <w:t>柳州市行政审批局</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20</w:t>
      </w:r>
      <w:r>
        <w:rPr>
          <w:rFonts w:hint="eastAsia" w:ascii="仿宋" w:hAnsi="仿宋" w:eastAsia="仿宋"/>
          <w:sz w:val="32"/>
          <w:szCs w:val="32"/>
        </w:rPr>
        <w:t>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29</w:t>
      </w:r>
      <w:r>
        <w:rPr>
          <w:rFonts w:hint="eastAsia" w:ascii="仿宋" w:hAnsi="仿宋" w:eastAsia="仿宋"/>
          <w:sz w:val="32"/>
          <w:szCs w:val="32"/>
          <w:highlight w:val="none"/>
        </w:rPr>
        <w:t>日</w:t>
      </w:r>
      <w:r>
        <w:rPr>
          <w:rFonts w:hint="eastAsia" w:ascii="仿宋" w:hAnsi="仿宋" w:eastAsia="仿宋"/>
          <w:sz w:val="32"/>
          <w:szCs w:val="32"/>
        </w:rPr>
        <w:t>印发</w:t>
      </w:r>
      <w:r>
        <w:rPr>
          <w:rFonts w:ascii="仿宋" w:hAnsi="仿宋" w:eastAsia="仿宋"/>
          <w:sz w:val="32"/>
          <w:szCs w:val="32"/>
        </w:rPr>
        <w:t xml:space="preserve"> </w:t>
      </w:r>
    </w:p>
    <w:sectPr>
      <w:headerReference r:id="rId3" w:type="default"/>
      <w:footerReference r:id="rId4" w:type="default"/>
      <w:footerReference r:id="rId5" w:type="even"/>
      <w:pgSz w:w="11906" w:h="16838"/>
      <w:pgMar w:top="1440" w:right="1469"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7CA0">
    <w:pPr>
      <w:pStyle w:val="12"/>
      <w:jc w:val="center"/>
    </w:pPr>
    <w:r>
      <w:fldChar w:fldCharType="begin"/>
    </w:r>
    <w:r>
      <w:instrText xml:space="preserve"> PAGE   \* MERGEFORMAT </w:instrText>
    </w:r>
    <w:r>
      <w:fldChar w:fldCharType="separate"/>
    </w:r>
    <w:r>
      <w:rPr>
        <w:lang w:val="zh-CN"/>
      </w:rPr>
      <w:t>1</w:t>
    </w:r>
    <w:r>
      <w:rPr>
        <w:lang w:val="zh-CN"/>
      </w:rPr>
      <w:fldChar w:fldCharType="end"/>
    </w:r>
  </w:p>
  <w:p w14:paraId="103D5CE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887E">
    <w:pPr>
      <w:pStyle w:val="12"/>
      <w:jc w:val="center"/>
    </w:pPr>
    <w:r>
      <w:fldChar w:fldCharType="begin"/>
    </w:r>
    <w:r>
      <w:instrText xml:space="preserve"> PAGE   \* MERGEFORMAT </w:instrText>
    </w:r>
    <w:r>
      <w:fldChar w:fldCharType="separate"/>
    </w:r>
    <w:r>
      <w:rPr>
        <w:lang w:val="zh-CN"/>
      </w:rPr>
      <w:t>2</w:t>
    </w:r>
    <w:r>
      <w:rPr>
        <w:lang w:val="zh-CN"/>
      </w:rPr>
      <w:fldChar w:fldCharType="end"/>
    </w:r>
  </w:p>
  <w:p w14:paraId="1A6D5F6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3B29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7A3E55"/>
    <w:multiLevelType w:val="multilevel"/>
    <w:tmpl w:val="4B7A3E55"/>
    <w:lvl w:ilvl="0" w:tentative="0">
      <w:start w:val="1"/>
      <w:numFmt w:val="decimal"/>
      <w:pStyle w:val="8"/>
      <w:suff w:val="space"/>
      <w:lvlText w:val="%1"/>
      <w:lvlJc w:val="left"/>
      <w:pPr>
        <w:ind w:left="120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mYTZlNzI5YTEyN2U1YmUzMTMyMjE0YzhiMWVkN2UifQ=="/>
  </w:docVars>
  <w:rsids>
    <w:rsidRoot w:val="001115C6"/>
    <w:rsid w:val="0000092F"/>
    <w:rsid w:val="00001603"/>
    <w:rsid w:val="00002DB3"/>
    <w:rsid w:val="00003D8F"/>
    <w:rsid w:val="00007094"/>
    <w:rsid w:val="00007473"/>
    <w:rsid w:val="00007663"/>
    <w:rsid w:val="000161DA"/>
    <w:rsid w:val="00016931"/>
    <w:rsid w:val="00016CC7"/>
    <w:rsid w:val="00017F77"/>
    <w:rsid w:val="0002263A"/>
    <w:rsid w:val="00022C75"/>
    <w:rsid w:val="00023C01"/>
    <w:rsid w:val="00024C74"/>
    <w:rsid w:val="00026733"/>
    <w:rsid w:val="00027A25"/>
    <w:rsid w:val="00027E19"/>
    <w:rsid w:val="000303A7"/>
    <w:rsid w:val="0003050D"/>
    <w:rsid w:val="00040C73"/>
    <w:rsid w:val="00040DE0"/>
    <w:rsid w:val="000417E0"/>
    <w:rsid w:val="00041851"/>
    <w:rsid w:val="00042511"/>
    <w:rsid w:val="00042944"/>
    <w:rsid w:val="00043CEA"/>
    <w:rsid w:val="00043D5F"/>
    <w:rsid w:val="00044BF4"/>
    <w:rsid w:val="00045087"/>
    <w:rsid w:val="00045671"/>
    <w:rsid w:val="00046318"/>
    <w:rsid w:val="00046A10"/>
    <w:rsid w:val="000477B1"/>
    <w:rsid w:val="000510DB"/>
    <w:rsid w:val="000521A2"/>
    <w:rsid w:val="0005281C"/>
    <w:rsid w:val="00054F44"/>
    <w:rsid w:val="00057910"/>
    <w:rsid w:val="000625B3"/>
    <w:rsid w:val="00062CCC"/>
    <w:rsid w:val="0006394D"/>
    <w:rsid w:val="00063B2D"/>
    <w:rsid w:val="000646BE"/>
    <w:rsid w:val="0006514E"/>
    <w:rsid w:val="00066FA4"/>
    <w:rsid w:val="00071B0E"/>
    <w:rsid w:val="00072D60"/>
    <w:rsid w:val="000731E8"/>
    <w:rsid w:val="00074553"/>
    <w:rsid w:val="00075F94"/>
    <w:rsid w:val="000775EB"/>
    <w:rsid w:val="00082883"/>
    <w:rsid w:val="000853BD"/>
    <w:rsid w:val="00086DCA"/>
    <w:rsid w:val="0008742C"/>
    <w:rsid w:val="00087ADD"/>
    <w:rsid w:val="00087D43"/>
    <w:rsid w:val="00090B19"/>
    <w:rsid w:val="00090F88"/>
    <w:rsid w:val="000912D6"/>
    <w:rsid w:val="00092089"/>
    <w:rsid w:val="00095F22"/>
    <w:rsid w:val="000A152D"/>
    <w:rsid w:val="000A2009"/>
    <w:rsid w:val="000A2136"/>
    <w:rsid w:val="000A2FDF"/>
    <w:rsid w:val="000A529B"/>
    <w:rsid w:val="000A7066"/>
    <w:rsid w:val="000B113F"/>
    <w:rsid w:val="000B1860"/>
    <w:rsid w:val="000B2CD0"/>
    <w:rsid w:val="000B39A8"/>
    <w:rsid w:val="000B533E"/>
    <w:rsid w:val="000C0B5E"/>
    <w:rsid w:val="000C1905"/>
    <w:rsid w:val="000C4139"/>
    <w:rsid w:val="000C4333"/>
    <w:rsid w:val="000C6039"/>
    <w:rsid w:val="000C75CA"/>
    <w:rsid w:val="000D08B2"/>
    <w:rsid w:val="000D0A91"/>
    <w:rsid w:val="000D1CFB"/>
    <w:rsid w:val="000D28E6"/>
    <w:rsid w:val="000D5A63"/>
    <w:rsid w:val="000D616A"/>
    <w:rsid w:val="000D7F39"/>
    <w:rsid w:val="000E0183"/>
    <w:rsid w:val="000E02F2"/>
    <w:rsid w:val="000E090C"/>
    <w:rsid w:val="000E5B35"/>
    <w:rsid w:val="000E63FE"/>
    <w:rsid w:val="000F099B"/>
    <w:rsid w:val="000F0B87"/>
    <w:rsid w:val="000F1F05"/>
    <w:rsid w:val="000F351A"/>
    <w:rsid w:val="000F3BB2"/>
    <w:rsid w:val="00102CBB"/>
    <w:rsid w:val="00103D54"/>
    <w:rsid w:val="001055B6"/>
    <w:rsid w:val="001108F0"/>
    <w:rsid w:val="00110963"/>
    <w:rsid w:val="001115C6"/>
    <w:rsid w:val="00111F78"/>
    <w:rsid w:val="00113A98"/>
    <w:rsid w:val="0011522B"/>
    <w:rsid w:val="00116E10"/>
    <w:rsid w:val="00116EF7"/>
    <w:rsid w:val="001209C0"/>
    <w:rsid w:val="001233DF"/>
    <w:rsid w:val="0012553F"/>
    <w:rsid w:val="00125CAF"/>
    <w:rsid w:val="00127CF8"/>
    <w:rsid w:val="00130277"/>
    <w:rsid w:val="00133D7D"/>
    <w:rsid w:val="0013449B"/>
    <w:rsid w:val="00137474"/>
    <w:rsid w:val="001443DF"/>
    <w:rsid w:val="00145DBC"/>
    <w:rsid w:val="00146025"/>
    <w:rsid w:val="00146C3E"/>
    <w:rsid w:val="001503F1"/>
    <w:rsid w:val="0015148B"/>
    <w:rsid w:val="001514B5"/>
    <w:rsid w:val="0015207D"/>
    <w:rsid w:val="00152C21"/>
    <w:rsid w:val="00154740"/>
    <w:rsid w:val="00154B79"/>
    <w:rsid w:val="00161BA4"/>
    <w:rsid w:val="001622EC"/>
    <w:rsid w:val="00164CBD"/>
    <w:rsid w:val="001656AD"/>
    <w:rsid w:val="00165BA6"/>
    <w:rsid w:val="001710B9"/>
    <w:rsid w:val="001716C7"/>
    <w:rsid w:val="00171D64"/>
    <w:rsid w:val="00171E90"/>
    <w:rsid w:val="00171FF9"/>
    <w:rsid w:val="00175212"/>
    <w:rsid w:val="001754BB"/>
    <w:rsid w:val="00177EF2"/>
    <w:rsid w:val="00181C17"/>
    <w:rsid w:val="001832FA"/>
    <w:rsid w:val="00183EF3"/>
    <w:rsid w:val="00183FFA"/>
    <w:rsid w:val="001858BB"/>
    <w:rsid w:val="00187053"/>
    <w:rsid w:val="00187C58"/>
    <w:rsid w:val="00187D31"/>
    <w:rsid w:val="00190225"/>
    <w:rsid w:val="00190D38"/>
    <w:rsid w:val="0019214C"/>
    <w:rsid w:val="00193D99"/>
    <w:rsid w:val="00193E9B"/>
    <w:rsid w:val="00194B2C"/>
    <w:rsid w:val="0019716D"/>
    <w:rsid w:val="001A2704"/>
    <w:rsid w:val="001A40E3"/>
    <w:rsid w:val="001A7727"/>
    <w:rsid w:val="001B107E"/>
    <w:rsid w:val="001B1AB7"/>
    <w:rsid w:val="001B2480"/>
    <w:rsid w:val="001B41A6"/>
    <w:rsid w:val="001B48B2"/>
    <w:rsid w:val="001B6E7E"/>
    <w:rsid w:val="001B6ECD"/>
    <w:rsid w:val="001C125A"/>
    <w:rsid w:val="001C15AB"/>
    <w:rsid w:val="001C58F9"/>
    <w:rsid w:val="001C7251"/>
    <w:rsid w:val="001C73D3"/>
    <w:rsid w:val="001C7EA4"/>
    <w:rsid w:val="001D05C0"/>
    <w:rsid w:val="001D078B"/>
    <w:rsid w:val="001D0EC8"/>
    <w:rsid w:val="001D3AF1"/>
    <w:rsid w:val="001D6CBB"/>
    <w:rsid w:val="001D6DAA"/>
    <w:rsid w:val="001E0938"/>
    <w:rsid w:val="001E35AB"/>
    <w:rsid w:val="001E3C34"/>
    <w:rsid w:val="001E4923"/>
    <w:rsid w:val="001E4AED"/>
    <w:rsid w:val="001E5783"/>
    <w:rsid w:val="001E597B"/>
    <w:rsid w:val="001E5EE7"/>
    <w:rsid w:val="001E60F4"/>
    <w:rsid w:val="001E68CD"/>
    <w:rsid w:val="001E6CB9"/>
    <w:rsid w:val="001F051E"/>
    <w:rsid w:val="001F094B"/>
    <w:rsid w:val="001F0DE6"/>
    <w:rsid w:val="001F11EF"/>
    <w:rsid w:val="001F2343"/>
    <w:rsid w:val="001F3A6D"/>
    <w:rsid w:val="001F3D1A"/>
    <w:rsid w:val="001F694E"/>
    <w:rsid w:val="0020159E"/>
    <w:rsid w:val="00202C03"/>
    <w:rsid w:val="00204D49"/>
    <w:rsid w:val="00205ACC"/>
    <w:rsid w:val="00206103"/>
    <w:rsid w:val="0020768B"/>
    <w:rsid w:val="002076E5"/>
    <w:rsid w:val="00207BFD"/>
    <w:rsid w:val="002148A2"/>
    <w:rsid w:val="00214B2A"/>
    <w:rsid w:val="00215D64"/>
    <w:rsid w:val="00217C9E"/>
    <w:rsid w:val="00223DE7"/>
    <w:rsid w:val="00224251"/>
    <w:rsid w:val="00225BCB"/>
    <w:rsid w:val="00226937"/>
    <w:rsid w:val="00231496"/>
    <w:rsid w:val="00231FF8"/>
    <w:rsid w:val="00232045"/>
    <w:rsid w:val="00234128"/>
    <w:rsid w:val="0023474F"/>
    <w:rsid w:val="002355EE"/>
    <w:rsid w:val="002379DC"/>
    <w:rsid w:val="00240F7B"/>
    <w:rsid w:val="00241CF6"/>
    <w:rsid w:val="00242AF9"/>
    <w:rsid w:val="0024751C"/>
    <w:rsid w:val="00247DEE"/>
    <w:rsid w:val="00251ED7"/>
    <w:rsid w:val="00252580"/>
    <w:rsid w:val="00254C13"/>
    <w:rsid w:val="002551C0"/>
    <w:rsid w:val="00257C39"/>
    <w:rsid w:val="002607A3"/>
    <w:rsid w:val="00260FE5"/>
    <w:rsid w:val="00262D96"/>
    <w:rsid w:val="0026353D"/>
    <w:rsid w:val="00264983"/>
    <w:rsid w:val="00264FDB"/>
    <w:rsid w:val="00265D7F"/>
    <w:rsid w:val="0026737B"/>
    <w:rsid w:val="002700B4"/>
    <w:rsid w:val="00270F50"/>
    <w:rsid w:val="00277B17"/>
    <w:rsid w:val="0028048F"/>
    <w:rsid w:val="00280E3A"/>
    <w:rsid w:val="002845CC"/>
    <w:rsid w:val="002859C5"/>
    <w:rsid w:val="00287C91"/>
    <w:rsid w:val="00290A73"/>
    <w:rsid w:val="00292F07"/>
    <w:rsid w:val="00293518"/>
    <w:rsid w:val="002941A0"/>
    <w:rsid w:val="002A129D"/>
    <w:rsid w:val="002A36E8"/>
    <w:rsid w:val="002A4E46"/>
    <w:rsid w:val="002A630D"/>
    <w:rsid w:val="002B005B"/>
    <w:rsid w:val="002B0E78"/>
    <w:rsid w:val="002B2EE7"/>
    <w:rsid w:val="002B3EE6"/>
    <w:rsid w:val="002B416E"/>
    <w:rsid w:val="002B6B9D"/>
    <w:rsid w:val="002C09FC"/>
    <w:rsid w:val="002C371F"/>
    <w:rsid w:val="002C6679"/>
    <w:rsid w:val="002C6F75"/>
    <w:rsid w:val="002D4CED"/>
    <w:rsid w:val="002D6060"/>
    <w:rsid w:val="002D646F"/>
    <w:rsid w:val="002D7670"/>
    <w:rsid w:val="002E3738"/>
    <w:rsid w:val="002E4C99"/>
    <w:rsid w:val="002E5EA9"/>
    <w:rsid w:val="002E7ACC"/>
    <w:rsid w:val="002F07C2"/>
    <w:rsid w:val="002F40C5"/>
    <w:rsid w:val="00300139"/>
    <w:rsid w:val="003020EF"/>
    <w:rsid w:val="00302D0C"/>
    <w:rsid w:val="00303621"/>
    <w:rsid w:val="0030373E"/>
    <w:rsid w:val="00303F41"/>
    <w:rsid w:val="00305572"/>
    <w:rsid w:val="00313D52"/>
    <w:rsid w:val="00314CEE"/>
    <w:rsid w:val="0031550A"/>
    <w:rsid w:val="0031616E"/>
    <w:rsid w:val="00317A6A"/>
    <w:rsid w:val="0032205C"/>
    <w:rsid w:val="00322363"/>
    <w:rsid w:val="003233C0"/>
    <w:rsid w:val="003241B3"/>
    <w:rsid w:val="003307F0"/>
    <w:rsid w:val="00331F21"/>
    <w:rsid w:val="00332DE4"/>
    <w:rsid w:val="0033497B"/>
    <w:rsid w:val="00335CC2"/>
    <w:rsid w:val="003366A5"/>
    <w:rsid w:val="003379A6"/>
    <w:rsid w:val="0034283B"/>
    <w:rsid w:val="003430B0"/>
    <w:rsid w:val="00344C34"/>
    <w:rsid w:val="00345223"/>
    <w:rsid w:val="00345700"/>
    <w:rsid w:val="00346822"/>
    <w:rsid w:val="003507BF"/>
    <w:rsid w:val="00351A3C"/>
    <w:rsid w:val="00352640"/>
    <w:rsid w:val="00355735"/>
    <w:rsid w:val="0035756F"/>
    <w:rsid w:val="00357DAE"/>
    <w:rsid w:val="003618C0"/>
    <w:rsid w:val="003619B9"/>
    <w:rsid w:val="00361D41"/>
    <w:rsid w:val="003622FA"/>
    <w:rsid w:val="003627AE"/>
    <w:rsid w:val="003633E6"/>
    <w:rsid w:val="00363E53"/>
    <w:rsid w:val="0036432D"/>
    <w:rsid w:val="003652AC"/>
    <w:rsid w:val="00366843"/>
    <w:rsid w:val="00370FA6"/>
    <w:rsid w:val="00371199"/>
    <w:rsid w:val="00372EBE"/>
    <w:rsid w:val="003747F9"/>
    <w:rsid w:val="003749F8"/>
    <w:rsid w:val="00375FA8"/>
    <w:rsid w:val="0037695A"/>
    <w:rsid w:val="00377A9B"/>
    <w:rsid w:val="00380592"/>
    <w:rsid w:val="0038475C"/>
    <w:rsid w:val="00385110"/>
    <w:rsid w:val="00385EFA"/>
    <w:rsid w:val="0038692A"/>
    <w:rsid w:val="003957F1"/>
    <w:rsid w:val="00396A47"/>
    <w:rsid w:val="00397F8F"/>
    <w:rsid w:val="003A081C"/>
    <w:rsid w:val="003A14F2"/>
    <w:rsid w:val="003A2C97"/>
    <w:rsid w:val="003A43BC"/>
    <w:rsid w:val="003A50D6"/>
    <w:rsid w:val="003A6447"/>
    <w:rsid w:val="003A766B"/>
    <w:rsid w:val="003B01C7"/>
    <w:rsid w:val="003B2766"/>
    <w:rsid w:val="003B2E9F"/>
    <w:rsid w:val="003B57DD"/>
    <w:rsid w:val="003B58AE"/>
    <w:rsid w:val="003B6648"/>
    <w:rsid w:val="003C449D"/>
    <w:rsid w:val="003C52F0"/>
    <w:rsid w:val="003C59DB"/>
    <w:rsid w:val="003C7777"/>
    <w:rsid w:val="003D0212"/>
    <w:rsid w:val="003D3847"/>
    <w:rsid w:val="003D43BC"/>
    <w:rsid w:val="003D7117"/>
    <w:rsid w:val="003D7651"/>
    <w:rsid w:val="003E3C4E"/>
    <w:rsid w:val="003E3D95"/>
    <w:rsid w:val="003E45C5"/>
    <w:rsid w:val="003E5267"/>
    <w:rsid w:val="003E7EE8"/>
    <w:rsid w:val="003F0448"/>
    <w:rsid w:val="003F12C4"/>
    <w:rsid w:val="003F1774"/>
    <w:rsid w:val="003F3168"/>
    <w:rsid w:val="004035BF"/>
    <w:rsid w:val="00403FB6"/>
    <w:rsid w:val="004045A3"/>
    <w:rsid w:val="00410116"/>
    <w:rsid w:val="00410461"/>
    <w:rsid w:val="00410C02"/>
    <w:rsid w:val="00412691"/>
    <w:rsid w:val="00414740"/>
    <w:rsid w:val="00414E2F"/>
    <w:rsid w:val="00414FCF"/>
    <w:rsid w:val="00415D6B"/>
    <w:rsid w:val="004235B2"/>
    <w:rsid w:val="00424A8B"/>
    <w:rsid w:val="00424ADD"/>
    <w:rsid w:val="00424DB6"/>
    <w:rsid w:val="0042550A"/>
    <w:rsid w:val="00425F30"/>
    <w:rsid w:val="0043316D"/>
    <w:rsid w:val="00436E64"/>
    <w:rsid w:val="00437CCC"/>
    <w:rsid w:val="00437F7E"/>
    <w:rsid w:val="00443286"/>
    <w:rsid w:val="00443E30"/>
    <w:rsid w:val="00444C0A"/>
    <w:rsid w:val="0044684F"/>
    <w:rsid w:val="0044794A"/>
    <w:rsid w:val="00447A14"/>
    <w:rsid w:val="00450378"/>
    <w:rsid w:val="00451A96"/>
    <w:rsid w:val="004533C2"/>
    <w:rsid w:val="0045376C"/>
    <w:rsid w:val="00454DD0"/>
    <w:rsid w:val="00455C27"/>
    <w:rsid w:val="00455F47"/>
    <w:rsid w:val="00460390"/>
    <w:rsid w:val="00460E34"/>
    <w:rsid w:val="004631DC"/>
    <w:rsid w:val="00463416"/>
    <w:rsid w:val="00463D5E"/>
    <w:rsid w:val="00463DC4"/>
    <w:rsid w:val="00464830"/>
    <w:rsid w:val="0046575D"/>
    <w:rsid w:val="004659FE"/>
    <w:rsid w:val="0046615E"/>
    <w:rsid w:val="00467DC6"/>
    <w:rsid w:val="00467E56"/>
    <w:rsid w:val="004707EE"/>
    <w:rsid w:val="00470AA8"/>
    <w:rsid w:val="0047177A"/>
    <w:rsid w:val="004724FA"/>
    <w:rsid w:val="00473082"/>
    <w:rsid w:val="004734D5"/>
    <w:rsid w:val="0047501A"/>
    <w:rsid w:val="0047767F"/>
    <w:rsid w:val="00480C31"/>
    <w:rsid w:val="00481774"/>
    <w:rsid w:val="004828A3"/>
    <w:rsid w:val="004869AE"/>
    <w:rsid w:val="00487E47"/>
    <w:rsid w:val="0049257D"/>
    <w:rsid w:val="00493156"/>
    <w:rsid w:val="00493CED"/>
    <w:rsid w:val="0049431E"/>
    <w:rsid w:val="00494704"/>
    <w:rsid w:val="00495592"/>
    <w:rsid w:val="0049705E"/>
    <w:rsid w:val="004A0CAC"/>
    <w:rsid w:val="004A1790"/>
    <w:rsid w:val="004A36F6"/>
    <w:rsid w:val="004A4E6C"/>
    <w:rsid w:val="004A6981"/>
    <w:rsid w:val="004A6D89"/>
    <w:rsid w:val="004B0527"/>
    <w:rsid w:val="004B1186"/>
    <w:rsid w:val="004B1D75"/>
    <w:rsid w:val="004B3C3A"/>
    <w:rsid w:val="004B411F"/>
    <w:rsid w:val="004B5023"/>
    <w:rsid w:val="004B634A"/>
    <w:rsid w:val="004B648B"/>
    <w:rsid w:val="004B65E5"/>
    <w:rsid w:val="004B6B3B"/>
    <w:rsid w:val="004B785D"/>
    <w:rsid w:val="004C0857"/>
    <w:rsid w:val="004C2A8C"/>
    <w:rsid w:val="004C3F04"/>
    <w:rsid w:val="004C61D3"/>
    <w:rsid w:val="004D3BA9"/>
    <w:rsid w:val="004D415F"/>
    <w:rsid w:val="004D5006"/>
    <w:rsid w:val="004D76F4"/>
    <w:rsid w:val="004E26C8"/>
    <w:rsid w:val="004E2883"/>
    <w:rsid w:val="004E4B09"/>
    <w:rsid w:val="004E4C69"/>
    <w:rsid w:val="004E6DDC"/>
    <w:rsid w:val="004E7E3A"/>
    <w:rsid w:val="004F0670"/>
    <w:rsid w:val="004F3C09"/>
    <w:rsid w:val="004F5BE5"/>
    <w:rsid w:val="004F639C"/>
    <w:rsid w:val="004F64B3"/>
    <w:rsid w:val="00500EF8"/>
    <w:rsid w:val="00502229"/>
    <w:rsid w:val="00502FC0"/>
    <w:rsid w:val="00503032"/>
    <w:rsid w:val="005033E8"/>
    <w:rsid w:val="00504F2C"/>
    <w:rsid w:val="00510FFE"/>
    <w:rsid w:val="005111D3"/>
    <w:rsid w:val="00512CE1"/>
    <w:rsid w:val="0051393A"/>
    <w:rsid w:val="0051428F"/>
    <w:rsid w:val="0051429C"/>
    <w:rsid w:val="005144DB"/>
    <w:rsid w:val="0051510C"/>
    <w:rsid w:val="005155D7"/>
    <w:rsid w:val="00515FDC"/>
    <w:rsid w:val="00517958"/>
    <w:rsid w:val="00517981"/>
    <w:rsid w:val="00520055"/>
    <w:rsid w:val="00522543"/>
    <w:rsid w:val="00522774"/>
    <w:rsid w:val="0052283E"/>
    <w:rsid w:val="00531346"/>
    <w:rsid w:val="0053742A"/>
    <w:rsid w:val="00540717"/>
    <w:rsid w:val="0054325E"/>
    <w:rsid w:val="00544213"/>
    <w:rsid w:val="00546476"/>
    <w:rsid w:val="00546A00"/>
    <w:rsid w:val="00546DA3"/>
    <w:rsid w:val="005514EB"/>
    <w:rsid w:val="005517C1"/>
    <w:rsid w:val="00551E47"/>
    <w:rsid w:val="00552017"/>
    <w:rsid w:val="00552383"/>
    <w:rsid w:val="0055261F"/>
    <w:rsid w:val="0055426E"/>
    <w:rsid w:val="00554B1E"/>
    <w:rsid w:val="005557C2"/>
    <w:rsid w:val="0056111C"/>
    <w:rsid w:val="00563804"/>
    <w:rsid w:val="00563B41"/>
    <w:rsid w:val="0056667F"/>
    <w:rsid w:val="00567552"/>
    <w:rsid w:val="0057010A"/>
    <w:rsid w:val="0057306F"/>
    <w:rsid w:val="005735AF"/>
    <w:rsid w:val="00574FCC"/>
    <w:rsid w:val="005813C9"/>
    <w:rsid w:val="00582660"/>
    <w:rsid w:val="00582913"/>
    <w:rsid w:val="00583BDA"/>
    <w:rsid w:val="005850C3"/>
    <w:rsid w:val="00585212"/>
    <w:rsid w:val="005861EB"/>
    <w:rsid w:val="005913E0"/>
    <w:rsid w:val="005914FD"/>
    <w:rsid w:val="00592C2B"/>
    <w:rsid w:val="005939B4"/>
    <w:rsid w:val="00593F03"/>
    <w:rsid w:val="00594E75"/>
    <w:rsid w:val="005A05CD"/>
    <w:rsid w:val="005A1652"/>
    <w:rsid w:val="005A4448"/>
    <w:rsid w:val="005A7A9D"/>
    <w:rsid w:val="005B30D6"/>
    <w:rsid w:val="005B42D9"/>
    <w:rsid w:val="005B4670"/>
    <w:rsid w:val="005B7FC6"/>
    <w:rsid w:val="005C0ED2"/>
    <w:rsid w:val="005C2346"/>
    <w:rsid w:val="005C4703"/>
    <w:rsid w:val="005C6FBB"/>
    <w:rsid w:val="005C7C46"/>
    <w:rsid w:val="005D00C3"/>
    <w:rsid w:val="005D2461"/>
    <w:rsid w:val="005D2B9C"/>
    <w:rsid w:val="005D4FD0"/>
    <w:rsid w:val="005D5BFC"/>
    <w:rsid w:val="005D70AE"/>
    <w:rsid w:val="005D7331"/>
    <w:rsid w:val="005D77ED"/>
    <w:rsid w:val="005D7D94"/>
    <w:rsid w:val="005E1F40"/>
    <w:rsid w:val="005E35EE"/>
    <w:rsid w:val="005E4D5B"/>
    <w:rsid w:val="005E5376"/>
    <w:rsid w:val="005E5797"/>
    <w:rsid w:val="005E6FDA"/>
    <w:rsid w:val="005F18B4"/>
    <w:rsid w:val="005F1B5D"/>
    <w:rsid w:val="005F1BF0"/>
    <w:rsid w:val="005F2ABC"/>
    <w:rsid w:val="005F3497"/>
    <w:rsid w:val="005F3748"/>
    <w:rsid w:val="005F3C33"/>
    <w:rsid w:val="005F7D9A"/>
    <w:rsid w:val="00600E02"/>
    <w:rsid w:val="00601AE0"/>
    <w:rsid w:val="00601C74"/>
    <w:rsid w:val="00601FF3"/>
    <w:rsid w:val="006057EC"/>
    <w:rsid w:val="0060764F"/>
    <w:rsid w:val="0061246E"/>
    <w:rsid w:val="00612CC5"/>
    <w:rsid w:val="00614D08"/>
    <w:rsid w:val="00617BEC"/>
    <w:rsid w:val="0062035D"/>
    <w:rsid w:val="00621851"/>
    <w:rsid w:val="00622E78"/>
    <w:rsid w:val="006235B7"/>
    <w:rsid w:val="00623F57"/>
    <w:rsid w:val="006253C8"/>
    <w:rsid w:val="00625491"/>
    <w:rsid w:val="00626699"/>
    <w:rsid w:val="00630D89"/>
    <w:rsid w:val="00632798"/>
    <w:rsid w:val="0063386C"/>
    <w:rsid w:val="00634BCB"/>
    <w:rsid w:val="006357C5"/>
    <w:rsid w:val="00636C12"/>
    <w:rsid w:val="00636FAF"/>
    <w:rsid w:val="0064055A"/>
    <w:rsid w:val="00640E2E"/>
    <w:rsid w:val="0064499A"/>
    <w:rsid w:val="00645351"/>
    <w:rsid w:val="006474A4"/>
    <w:rsid w:val="006515F9"/>
    <w:rsid w:val="00652D55"/>
    <w:rsid w:val="006538C5"/>
    <w:rsid w:val="00654189"/>
    <w:rsid w:val="006556F3"/>
    <w:rsid w:val="00656CA8"/>
    <w:rsid w:val="00657810"/>
    <w:rsid w:val="006618B0"/>
    <w:rsid w:val="00661CE9"/>
    <w:rsid w:val="00662B28"/>
    <w:rsid w:val="00665BFD"/>
    <w:rsid w:val="0067268C"/>
    <w:rsid w:val="00672E2A"/>
    <w:rsid w:val="00673777"/>
    <w:rsid w:val="00673F59"/>
    <w:rsid w:val="006755DA"/>
    <w:rsid w:val="00675F99"/>
    <w:rsid w:val="00676822"/>
    <w:rsid w:val="006770FB"/>
    <w:rsid w:val="0068110D"/>
    <w:rsid w:val="00681813"/>
    <w:rsid w:val="00682811"/>
    <w:rsid w:val="00686463"/>
    <w:rsid w:val="006869E8"/>
    <w:rsid w:val="00690829"/>
    <w:rsid w:val="00691399"/>
    <w:rsid w:val="00694139"/>
    <w:rsid w:val="006955C0"/>
    <w:rsid w:val="00695835"/>
    <w:rsid w:val="00695986"/>
    <w:rsid w:val="00696127"/>
    <w:rsid w:val="006A036F"/>
    <w:rsid w:val="006A3C50"/>
    <w:rsid w:val="006A70A6"/>
    <w:rsid w:val="006A79E0"/>
    <w:rsid w:val="006B32D6"/>
    <w:rsid w:val="006B3C37"/>
    <w:rsid w:val="006B74ED"/>
    <w:rsid w:val="006B7A98"/>
    <w:rsid w:val="006C0733"/>
    <w:rsid w:val="006C0997"/>
    <w:rsid w:val="006C5AC4"/>
    <w:rsid w:val="006C6202"/>
    <w:rsid w:val="006C6D11"/>
    <w:rsid w:val="006D3592"/>
    <w:rsid w:val="006D490B"/>
    <w:rsid w:val="006D6704"/>
    <w:rsid w:val="006D7E1C"/>
    <w:rsid w:val="006E14F9"/>
    <w:rsid w:val="006E59A8"/>
    <w:rsid w:val="006F1151"/>
    <w:rsid w:val="006F28A8"/>
    <w:rsid w:val="006F4063"/>
    <w:rsid w:val="006F44E1"/>
    <w:rsid w:val="006F5DB6"/>
    <w:rsid w:val="006F6131"/>
    <w:rsid w:val="007006F6"/>
    <w:rsid w:val="00700D26"/>
    <w:rsid w:val="00702224"/>
    <w:rsid w:val="00702A74"/>
    <w:rsid w:val="007031AE"/>
    <w:rsid w:val="0070411C"/>
    <w:rsid w:val="007059EF"/>
    <w:rsid w:val="00706988"/>
    <w:rsid w:val="007124F6"/>
    <w:rsid w:val="00712E6A"/>
    <w:rsid w:val="0071356D"/>
    <w:rsid w:val="00715871"/>
    <w:rsid w:val="007200A4"/>
    <w:rsid w:val="00720D2C"/>
    <w:rsid w:val="007210C9"/>
    <w:rsid w:val="007240C3"/>
    <w:rsid w:val="0072492E"/>
    <w:rsid w:val="00726639"/>
    <w:rsid w:val="007267B6"/>
    <w:rsid w:val="00726E61"/>
    <w:rsid w:val="007272DD"/>
    <w:rsid w:val="00727DAB"/>
    <w:rsid w:val="00727F6E"/>
    <w:rsid w:val="00731907"/>
    <w:rsid w:val="00731C50"/>
    <w:rsid w:val="0073214F"/>
    <w:rsid w:val="00733E42"/>
    <w:rsid w:val="007346C5"/>
    <w:rsid w:val="00734C60"/>
    <w:rsid w:val="007371C8"/>
    <w:rsid w:val="00737B95"/>
    <w:rsid w:val="00742B35"/>
    <w:rsid w:val="007444CE"/>
    <w:rsid w:val="00744B34"/>
    <w:rsid w:val="007459D1"/>
    <w:rsid w:val="0074664D"/>
    <w:rsid w:val="0075033E"/>
    <w:rsid w:val="00750A56"/>
    <w:rsid w:val="00752C65"/>
    <w:rsid w:val="007533C8"/>
    <w:rsid w:val="00754B55"/>
    <w:rsid w:val="007551EA"/>
    <w:rsid w:val="00755918"/>
    <w:rsid w:val="00755933"/>
    <w:rsid w:val="00755AB5"/>
    <w:rsid w:val="00756483"/>
    <w:rsid w:val="00760D58"/>
    <w:rsid w:val="00760F6E"/>
    <w:rsid w:val="00761F9C"/>
    <w:rsid w:val="00762FDD"/>
    <w:rsid w:val="00770B25"/>
    <w:rsid w:val="00771BFC"/>
    <w:rsid w:val="00772EDE"/>
    <w:rsid w:val="00773932"/>
    <w:rsid w:val="00774021"/>
    <w:rsid w:val="00777773"/>
    <w:rsid w:val="007831EB"/>
    <w:rsid w:val="00783B9C"/>
    <w:rsid w:val="00785B11"/>
    <w:rsid w:val="00785C85"/>
    <w:rsid w:val="007872E4"/>
    <w:rsid w:val="00787781"/>
    <w:rsid w:val="00791DE2"/>
    <w:rsid w:val="007929A9"/>
    <w:rsid w:val="00792E84"/>
    <w:rsid w:val="0079361D"/>
    <w:rsid w:val="007940AE"/>
    <w:rsid w:val="00794201"/>
    <w:rsid w:val="00795F56"/>
    <w:rsid w:val="007974D2"/>
    <w:rsid w:val="0079793B"/>
    <w:rsid w:val="007A2667"/>
    <w:rsid w:val="007A2794"/>
    <w:rsid w:val="007A4E54"/>
    <w:rsid w:val="007A6F04"/>
    <w:rsid w:val="007A7034"/>
    <w:rsid w:val="007B0B64"/>
    <w:rsid w:val="007B0B89"/>
    <w:rsid w:val="007B1A8D"/>
    <w:rsid w:val="007B2555"/>
    <w:rsid w:val="007B339A"/>
    <w:rsid w:val="007C046D"/>
    <w:rsid w:val="007D17E0"/>
    <w:rsid w:val="007D2C5B"/>
    <w:rsid w:val="007D3069"/>
    <w:rsid w:val="007D3251"/>
    <w:rsid w:val="007D39AB"/>
    <w:rsid w:val="007D556D"/>
    <w:rsid w:val="007D5AA4"/>
    <w:rsid w:val="007D5D3B"/>
    <w:rsid w:val="007D766B"/>
    <w:rsid w:val="007E0A83"/>
    <w:rsid w:val="007E160F"/>
    <w:rsid w:val="007E35DF"/>
    <w:rsid w:val="007E55DC"/>
    <w:rsid w:val="007E6622"/>
    <w:rsid w:val="007E66F8"/>
    <w:rsid w:val="007F1DB2"/>
    <w:rsid w:val="007F2164"/>
    <w:rsid w:val="007F6B20"/>
    <w:rsid w:val="007F6DCA"/>
    <w:rsid w:val="007F7081"/>
    <w:rsid w:val="007F7817"/>
    <w:rsid w:val="007F7CE9"/>
    <w:rsid w:val="007F7FDD"/>
    <w:rsid w:val="00800360"/>
    <w:rsid w:val="00800EAD"/>
    <w:rsid w:val="00800F88"/>
    <w:rsid w:val="00801048"/>
    <w:rsid w:val="00801A56"/>
    <w:rsid w:val="00801EC5"/>
    <w:rsid w:val="00810D2E"/>
    <w:rsid w:val="008122EF"/>
    <w:rsid w:val="008129CE"/>
    <w:rsid w:val="00813753"/>
    <w:rsid w:val="00813D54"/>
    <w:rsid w:val="00815410"/>
    <w:rsid w:val="0081693B"/>
    <w:rsid w:val="00816DF9"/>
    <w:rsid w:val="00817019"/>
    <w:rsid w:val="00817ACB"/>
    <w:rsid w:val="00820479"/>
    <w:rsid w:val="008205C8"/>
    <w:rsid w:val="008206F5"/>
    <w:rsid w:val="008212F2"/>
    <w:rsid w:val="008230D2"/>
    <w:rsid w:val="00823C64"/>
    <w:rsid w:val="008255CA"/>
    <w:rsid w:val="008261D7"/>
    <w:rsid w:val="008262BB"/>
    <w:rsid w:val="00826E7F"/>
    <w:rsid w:val="00827518"/>
    <w:rsid w:val="0083044C"/>
    <w:rsid w:val="00831446"/>
    <w:rsid w:val="00833DEB"/>
    <w:rsid w:val="008347B5"/>
    <w:rsid w:val="008368D2"/>
    <w:rsid w:val="00836F13"/>
    <w:rsid w:val="00842F58"/>
    <w:rsid w:val="00844E7E"/>
    <w:rsid w:val="00846F52"/>
    <w:rsid w:val="008474D9"/>
    <w:rsid w:val="00851583"/>
    <w:rsid w:val="00853043"/>
    <w:rsid w:val="0085355D"/>
    <w:rsid w:val="00853EC2"/>
    <w:rsid w:val="00856AB1"/>
    <w:rsid w:val="00856C2F"/>
    <w:rsid w:val="0086260D"/>
    <w:rsid w:val="0086357A"/>
    <w:rsid w:val="00870B81"/>
    <w:rsid w:val="00871EB7"/>
    <w:rsid w:val="0087593B"/>
    <w:rsid w:val="00880814"/>
    <w:rsid w:val="00880AC0"/>
    <w:rsid w:val="00881BF6"/>
    <w:rsid w:val="0088232E"/>
    <w:rsid w:val="00882AC6"/>
    <w:rsid w:val="00882CB8"/>
    <w:rsid w:val="008839D4"/>
    <w:rsid w:val="00883C78"/>
    <w:rsid w:val="00892041"/>
    <w:rsid w:val="008939FE"/>
    <w:rsid w:val="008940E4"/>
    <w:rsid w:val="00896CD6"/>
    <w:rsid w:val="00897D53"/>
    <w:rsid w:val="008A090B"/>
    <w:rsid w:val="008A0FC3"/>
    <w:rsid w:val="008A6BFF"/>
    <w:rsid w:val="008B370D"/>
    <w:rsid w:val="008B595D"/>
    <w:rsid w:val="008B5D77"/>
    <w:rsid w:val="008B6705"/>
    <w:rsid w:val="008B6C62"/>
    <w:rsid w:val="008B7250"/>
    <w:rsid w:val="008B7AC3"/>
    <w:rsid w:val="008C083D"/>
    <w:rsid w:val="008C3A91"/>
    <w:rsid w:val="008C7D26"/>
    <w:rsid w:val="008D2D02"/>
    <w:rsid w:val="008D3270"/>
    <w:rsid w:val="008D355A"/>
    <w:rsid w:val="008D3F79"/>
    <w:rsid w:val="008D5900"/>
    <w:rsid w:val="008D7AA1"/>
    <w:rsid w:val="008E0A1D"/>
    <w:rsid w:val="008E235E"/>
    <w:rsid w:val="008E3D36"/>
    <w:rsid w:val="008E6276"/>
    <w:rsid w:val="008F0131"/>
    <w:rsid w:val="008F07CC"/>
    <w:rsid w:val="008F1829"/>
    <w:rsid w:val="008F5B45"/>
    <w:rsid w:val="00901212"/>
    <w:rsid w:val="00906891"/>
    <w:rsid w:val="009068A5"/>
    <w:rsid w:val="009068AB"/>
    <w:rsid w:val="00906C99"/>
    <w:rsid w:val="00907534"/>
    <w:rsid w:val="00907A6C"/>
    <w:rsid w:val="00907FCC"/>
    <w:rsid w:val="00910DEE"/>
    <w:rsid w:val="00912507"/>
    <w:rsid w:val="009136AB"/>
    <w:rsid w:val="00914124"/>
    <w:rsid w:val="00914807"/>
    <w:rsid w:val="00915D84"/>
    <w:rsid w:val="00916C2F"/>
    <w:rsid w:val="00920647"/>
    <w:rsid w:val="00927DAE"/>
    <w:rsid w:val="0093313B"/>
    <w:rsid w:val="00934549"/>
    <w:rsid w:val="00934AA0"/>
    <w:rsid w:val="00935094"/>
    <w:rsid w:val="00942169"/>
    <w:rsid w:val="0094293D"/>
    <w:rsid w:val="00953207"/>
    <w:rsid w:val="00953B50"/>
    <w:rsid w:val="00956644"/>
    <w:rsid w:val="00956C29"/>
    <w:rsid w:val="009571EC"/>
    <w:rsid w:val="009577EB"/>
    <w:rsid w:val="00957829"/>
    <w:rsid w:val="009637F3"/>
    <w:rsid w:val="00966E0C"/>
    <w:rsid w:val="00967084"/>
    <w:rsid w:val="009678E8"/>
    <w:rsid w:val="00970166"/>
    <w:rsid w:val="00970B6C"/>
    <w:rsid w:val="00974F39"/>
    <w:rsid w:val="00974FF0"/>
    <w:rsid w:val="00975B12"/>
    <w:rsid w:val="00976E8C"/>
    <w:rsid w:val="00977E0E"/>
    <w:rsid w:val="00980DE1"/>
    <w:rsid w:val="00980E86"/>
    <w:rsid w:val="00981BDF"/>
    <w:rsid w:val="00982AF7"/>
    <w:rsid w:val="00982F05"/>
    <w:rsid w:val="00983D79"/>
    <w:rsid w:val="00983D96"/>
    <w:rsid w:val="00985DFA"/>
    <w:rsid w:val="00987BFA"/>
    <w:rsid w:val="009924A9"/>
    <w:rsid w:val="00992994"/>
    <w:rsid w:val="00992E74"/>
    <w:rsid w:val="0099335F"/>
    <w:rsid w:val="0099393F"/>
    <w:rsid w:val="009952B8"/>
    <w:rsid w:val="009A0076"/>
    <w:rsid w:val="009A13F3"/>
    <w:rsid w:val="009A2868"/>
    <w:rsid w:val="009A2A72"/>
    <w:rsid w:val="009A5027"/>
    <w:rsid w:val="009A6F6B"/>
    <w:rsid w:val="009A79AF"/>
    <w:rsid w:val="009B024E"/>
    <w:rsid w:val="009B206E"/>
    <w:rsid w:val="009B3796"/>
    <w:rsid w:val="009B440E"/>
    <w:rsid w:val="009B5F8E"/>
    <w:rsid w:val="009C2C37"/>
    <w:rsid w:val="009C35A4"/>
    <w:rsid w:val="009C47F2"/>
    <w:rsid w:val="009C6AE9"/>
    <w:rsid w:val="009D03BE"/>
    <w:rsid w:val="009D211C"/>
    <w:rsid w:val="009D3B86"/>
    <w:rsid w:val="009D40DF"/>
    <w:rsid w:val="009D6502"/>
    <w:rsid w:val="009D6625"/>
    <w:rsid w:val="009D78CD"/>
    <w:rsid w:val="009E119C"/>
    <w:rsid w:val="009E1E32"/>
    <w:rsid w:val="009E22F0"/>
    <w:rsid w:val="009E3139"/>
    <w:rsid w:val="009E75A2"/>
    <w:rsid w:val="009F03EF"/>
    <w:rsid w:val="009F069A"/>
    <w:rsid w:val="009F0EC7"/>
    <w:rsid w:val="009F2F79"/>
    <w:rsid w:val="009F335E"/>
    <w:rsid w:val="009F43B3"/>
    <w:rsid w:val="009F5222"/>
    <w:rsid w:val="00A00D5A"/>
    <w:rsid w:val="00A01879"/>
    <w:rsid w:val="00A02043"/>
    <w:rsid w:val="00A045FE"/>
    <w:rsid w:val="00A04751"/>
    <w:rsid w:val="00A07CFF"/>
    <w:rsid w:val="00A10222"/>
    <w:rsid w:val="00A10986"/>
    <w:rsid w:val="00A128A8"/>
    <w:rsid w:val="00A13E2D"/>
    <w:rsid w:val="00A14008"/>
    <w:rsid w:val="00A14494"/>
    <w:rsid w:val="00A147DE"/>
    <w:rsid w:val="00A14E22"/>
    <w:rsid w:val="00A1575A"/>
    <w:rsid w:val="00A165DA"/>
    <w:rsid w:val="00A2008D"/>
    <w:rsid w:val="00A217B0"/>
    <w:rsid w:val="00A21EE8"/>
    <w:rsid w:val="00A22C43"/>
    <w:rsid w:val="00A22ECE"/>
    <w:rsid w:val="00A26076"/>
    <w:rsid w:val="00A276DC"/>
    <w:rsid w:val="00A307CD"/>
    <w:rsid w:val="00A30DCF"/>
    <w:rsid w:val="00A318E2"/>
    <w:rsid w:val="00A33414"/>
    <w:rsid w:val="00A336C6"/>
    <w:rsid w:val="00A3533A"/>
    <w:rsid w:val="00A401F5"/>
    <w:rsid w:val="00A40675"/>
    <w:rsid w:val="00A41F8C"/>
    <w:rsid w:val="00A42E30"/>
    <w:rsid w:val="00A44A92"/>
    <w:rsid w:val="00A50700"/>
    <w:rsid w:val="00A53C0D"/>
    <w:rsid w:val="00A5599A"/>
    <w:rsid w:val="00A5602B"/>
    <w:rsid w:val="00A56C32"/>
    <w:rsid w:val="00A6009D"/>
    <w:rsid w:val="00A60387"/>
    <w:rsid w:val="00A60AF8"/>
    <w:rsid w:val="00A60C85"/>
    <w:rsid w:val="00A61817"/>
    <w:rsid w:val="00A619BE"/>
    <w:rsid w:val="00A61B08"/>
    <w:rsid w:val="00A628DA"/>
    <w:rsid w:val="00A62A13"/>
    <w:rsid w:val="00A64F52"/>
    <w:rsid w:val="00A64FB2"/>
    <w:rsid w:val="00A6621D"/>
    <w:rsid w:val="00A6668B"/>
    <w:rsid w:val="00A70036"/>
    <w:rsid w:val="00A8376B"/>
    <w:rsid w:val="00A8414A"/>
    <w:rsid w:val="00A86877"/>
    <w:rsid w:val="00A86EDC"/>
    <w:rsid w:val="00A9151B"/>
    <w:rsid w:val="00A9382E"/>
    <w:rsid w:val="00A97079"/>
    <w:rsid w:val="00A97434"/>
    <w:rsid w:val="00AA6016"/>
    <w:rsid w:val="00AA7C8F"/>
    <w:rsid w:val="00AB0761"/>
    <w:rsid w:val="00AB0E5B"/>
    <w:rsid w:val="00AB159E"/>
    <w:rsid w:val="00AB1E01"/>
    <w:rsid w:val="00AB2FF0"/>
    <w:rsid w:val="00AB5590"/>
    <w:rsid w:val="00AB5908"/>
    <w:rsid w:val="00AB6634"/>
    <w:rsid w:val="00AB7BF1"/>
    <w:rsid w:val="00AC0B40"/>
    <w:rsid w:val="00AC31C1"/>
    <w:rsid w:val="00AC45F8"/>
    <w:rsid w:val="00AC4CAB"/>
    <w:rsid w:val="00AC532A"/>
    <w:rsid w:val="00AC5B5C"/>
    <w:rsid w:val="00AC6C07"/>
    <w:rsid w:val="00AD1D33"/>
    <w:rsid w:val="00AD1F39"/>
    <w:rsid w:val="00AD24EC"/>
    <w:rsid w:val="00AD31A3"/>
    <w:rsid w:val="00AD428E"/>
    <w:rsid w:val="00AD4871"/>
    <w:rsid w:val="00AD5164"/>
    <w:rsid w:val="00AD6976"/>
    <w:rsid w:val="00AD7628"/>
    <w:rsid w:val="00AE0B06"/>
    <w:rsid w:val="00AE4183"/>
    <w:rsid w:val="00AE44B6"/>
    <w:rsid w:val="00AE4D7C"/>
    <w:rsid w:val="00AF0CFF"/>
    <w:rsid w:val="00AF114F"/>
    <w:rsid w:val="00AF1718"/>
    <w:rsid w:val="00AF2C0D"/>
    <w:rsid w:val="00AF4502"/>
    <w:rsid w:val="00AF4691"/>
    <w:rsid w:val="00AF4710"/>
    <w:rsid w:val="00AF4D74"/>
    <w:rsid w:val="00AF5117"/>
    <w:rsid w:val="00AF7F3E"/>
    <w:rsid w:val="00B026DA"/>
    <w:rsid w:val="00B031F3"/>
    <w:rsid w:val="00B03470"/>
    <w:rsid w:val="00B05A5B"/>
    <w:rsid w:val="00B05E9E"/>
    <w:rsid w:val="00B06718"/>
    <w:rsid w:val="00B06D59"/>
    <w:rsid w:val="00B108FC"/>
    <w:rsid w:val="00B10904"/>
    <w:rsid w:val="00B11CF4"/>
    <w:rsid w:val="00B12347"/>
    <w:rsid w:val="00B14BB1"/>
    <w:rsid w:val="00B14F24"/>
    <w:rsid w:val="00B15B49"/>
    <w:rsid w:val="00B166D7"/>
    <w:rsid w:val="00B178FB"/>
    <w:rsid w:val="00B17EC1"/>
    <w:rsid w:val="00B203FF"/>
    <w:rsid w:val="00B20FF9"/>
    <w:rsid w:val="00B21006"/>
    <w:rsid w:val="00B22D56"/>
    <w:rsid w:val="00B238D7"/>
    <w:rsid w:val="00B24B63"/>
    <w:rsid w:val="00B26E67"/>
    <w:rsid w:val="00B319A6"/>
    <w:rsid w:val="00B31DD9"/>
    <w:rsid w:val="00B31E36"/>
    <w:rsid w:val="00B33E5A"/>
    <w:rsid w:val="00B35952"/>
    <w:rsid w:val="00B36761"/>
    <w:rsid w:val="00B415EB"/>
    <w:rsid w:val="00B416E5"/>
    <w:rsid w:val="00B4345F"/>
    <w:rsid w:val="00B43CA3"/>
    <w:rsid w:val="00B46F25"/>
    <w:rsid w:val="00B50A8F"/>
    <w:rsid w:val="00B50BD1"/>
    <w:rsid w:val="00B513EA"/>
    <w:rsid w:val="00B52016"/>
    <w:rsid w:val="00B530FB"/>
    <w:rsid w:val="00B62079"/>
    <w:rsid w:val="00B628FF"/>
    <w:rsid w:val="00B63D06"/>
    <w:rsid w:val="00B64A32"/>
    <w:rsid w:val="00B662C8"/>
    <w:rsid w:val="00B70A8C"/>
    <w:rsid w:val="00B70CF8"/>
    <w:rsid w:val="00B714C9"/>
    <w:rsid w:val="00B71A1F"/>
    <w:rsid w:val="00B75690"/>
    <w:rsid w:val="00B77306"/>
    <w:rsid w:val="00B77328"/>
    <w:rsid w:val="00B7739B"/>
    <w:rsid w:val="00B7786D"/>
    <w:rsid w:val="00B81E0A"/>
    <w:rsid w:val="00B81F4A"/>
    <w:rsid w:val="00B84C82"/>
    <w:rsid w:val="00B84EA8"/>
    <w:rsid w:val="00B8620D"/>
    <w:rsid w:val="00B90B45"/>
    <w:rsid w:val="00B913B7"/>
    <w:rsid w:val="00B922EB"/>
    <w:rsid w:val="00B92768"/>
    <w:rsid w:val="00B92C86"/>
    <w:rsid w:val="00B9395E"/>
    <w:rsid w:val="00B93FA3"/>
    <w:rsid w:val="00B95AC2"/>
    <w:rsid w:val="00B95CA6"/>
    <w:rsid w:val="00B972EB"/>
    <w:rsid w:val="00B9748A"/>
    <w:rsid w:val="00BA2A7A"/>
    <w:rsid w:val="00BA39EB"/>
    <w:rsid w:val="00BA41EE"/>
    <w:rsid w:val="00BA5536"/>
    <w:rsid w:val="00BA5821"/>
    <w:rsid w:val="00BA595F"/>
    <w:rsid w:val="00BB0521"/>
    <w:rsid w:val="00BB0D22"/>
    <w:rsid w:val="00BB3FF5"/>
    <w:rsid w:val="00BB7C74"/>
    <w:rsid w:val="00BC00AE"/>
    <w:rsid w:val="00BC06DE"/>
    <w:rsid w:val="00BC0F99"/>
    <w:rsid w:val="00BC2EF6"/>
    <w:rsid w:val="00BC3121"/>
    <w:rsid w:val="00BC72B1"/>
    <w:rsid w:val="00BD0304"/>
    <w:rsid w:val="00BD0D80"/>
    <w:rsid w:val="00BD497A"/>
    <w:rsid w:val="00BD5F95"/>
    <w:rsid w:val="00BE028A"/>
    <w:rsid w:val="00BE0BCB"/>
    <w:rsid w:val="00BE1270"/>
    <w:rsid w:val="00BE3503"/>
    <w:rsid w:val="00BE3689"/>
    <w:rsid w:val="00BE4AB3"/>
    <w:rsid w:val="00BE5A70"/>
    <w:rsid w:val="00BE5AC1"/>
    <w:rsid w:val="00BE65BD"/>
    <w:rsid w:val="00BE6C9B"/>
    <w:rsid w:val="00BF061A"/>
    <w:rsid w:val="00BF204A"/>
    <w:rsid w:val="00C0337F"/>
    <w:rsid w:val="00C03959"/>
    <w:rsid w:val="00C03F73"/>
    <w:rsid w:val="00C0455F"/>
    <w:rsid w:val="00C049B7"/>
    <w:rsid w:val="00C050B5"/>
    <w:rsid w:val="00C06F72"/>
    <w:rsid w:val="00C07594"/>
    <w:rsid w:val="00C07754"/>
    <w:rsid w:val="00C10AC8"/>
    <w:rsid w:val="00C11E2B"/>
    <w:rsid w:val="00C13906"/>
    <w:rsid w:val="00C14746"/>
    <w:rsid w:val="00C15289"/>
    <w:rsid w:val="00C15B09"/>
    <w:rsid w:val="00C15CA3"/>
    <w:rsid w:val="00C17246"/>
    <w:rsid w:val="00C23CFD"/>
    <w:rsid w:val="00C242EE"/>
    <w:rsid w:val="00C24FD9"/>
    <w:rsid w:val="00C2537F"/>
    <w:rsid w:val="00C2590B"/>
    <w:rsid w:val="00C262B9"/>
    <w:rsid w:val="00C26D96"/>
    <w:rsid w:val="00C27530"/>
    <w:rsid w:val="00C300ED"/>
    <w:rsid w:val="00C32B06"/>
    <w:rsid w:val="00C33EEC"/>
    <w:rsid w:val="00C34F1B"/>
    <w:rsid w:val="00C35108"/>
    <w:rsid w:val="00C35D53"/>
    <w:rsid w:val="00C3636B"/>
    <w:rsid w:val="00C372FB"/>
    <w:rsid w:val="00C37DE5"/>
    <w:rsid w:val="00C41730"/>
    <w:rsid w:val="00C436D4"/>
    <w:rsid w:val="00C46527"/>
    <w:rsid w:val="00C50FF1"/>
    <w:rsid w:val="00C51F2C"/>
    <w:rsid w:val="00C52834"/>
    <w:rsid w:val="00C54155"/>
    <w:rsid w:val="00C5666F"/>
    <w:rsid w:val="00C574D0"/>
    <w:rsid w:val="00C57EB9"/>
    <w:rsid w:val="00C6114A"/>
    <w:rsid w:val="00C620D4"/>
    <w:rsid w:val="00C62471"/>
    <w:rsid w:val="00C65DF2"/>
    <w:rsid w:val="00C65E82"/>
    <w:rsid w:val="00C667FE"/>
    <w:rsid w:val="00C66D65"/>
    <w:rsid w:val="00C703B1"/>
    <w:rsid w:val="00C71783"/>
    <w:rsid w:val="00C72570"/>
    <w:rsid w:val="00C73A44"/>
    <w:rsid w:val="00C77122"/>
    <w:rsid w:val="00C77453"/>
    <w:rsid w:val="00C80326"/>
    <w:rsid w:val="00C82896"/>
    <w:rsid w:val="00C829F8"/>
    <w:rsid w:val="00C84DF7"/>
    <w:rsid w:val="00C915E8"/>
    <w:rsid w:val="00C920D1"/>
    <w:rsid w:val="00C93E97"/>
    <w:rsid w:val="00C94AC0"/>
    <w:rsid w:val="00CA3AD7"/>
    <w:rsid w:val="00CB1BDC"/>
    <w:rsid w:val="00CB23E1"/>
    <w:rsid w:val="00CB32AC"/>
    <w:rsid w:val="00CC03AD"/>
    <w:rsid w:val="00CC0F24"/>
    <w:rsid w:val="00CC107E"/>
    <w:rsid w:val="00CC26CC"/>
    <w:rsid w:val="00CC3038"/>
    <w:rsid w:val="00CC36BE"/>
    <w:rsid w:val="00CC4D58"/>
    <w:rsid w:val="00CC7E1B"/>
    <w:rsid w:val="00CD0902"/>
    <w:rsid w:val="00CD256D"/>
    <w:rsid w:val="00CD3CC4"/>
    <w:rsid w:val="00CD5785"/>
    <w:rsid w:val="00CD6B31"/>
    <w:rsid w:val="00CE2AFE"/>
    <w:rsid w:val="00CE4C3D"/>
    <w:rsid w:val="00CE5310"/>
    <w:rsid w:val="00CE6055"/>
    <w:rsid w:val="00CE610D"/>
    <w:rsid w:val="00CE6991"/>
    <w:rsid w:val="00CE699C"/>
    <w:rsid w:val="00CE71FF"/>
    <w:rsid w:val="00CE7B42"/>
    <w:rsid w:val="00CF1040"/>
    <w:rsid w:val="00CF1D3D"/>
    <w:rsid w:val="00CF4AC4"/>
    <w:rsid w:val="00CF6E8E"/>
    <w:rsid w:val="00D006D4"/>
    <w:rsid w:val="00D02A33"/>
    <w:rsid w:val="00D049F4"/>
    <w:rsid w:val="00D05BA4"/>
    <w:rsid w:val="00D11422"/>
    <w:rsid w:val="00D122D0"/>
    <w:rsid w:val="00D1233E"/>
    <w:rsid w:val="00D157BA"/>
    <w:rsid w:val="00D23168"/>
    <w:rsid w:val="00D2357A"/>
    <w:rsid w:val="00D2396D"/>
    <w:rsid w:val="00D239C6"/>
    <w:rsid w:val="00D23B3A"/>
    <w:rsid w:val="00D255A7"/>
    <w:rsid w:val="00D25CF5"/>
    <w:rsid w:val="00D26675"/>
    <w:rsid w:val="00D27F0C"/>
    <w:rsid w:val="00D3053B"/>
    <w:rsid w:val="00D31FE6"/>
    <w:rsid w:val="00D33931"/>
    <w:rsid w:val="00D366CC"/>
    <w:rsid w:val="00D371A6"/>
    <w:rsid w:val="00D4019F"/>
    <w:rsid w:val="00D41676"/>
    <w:rsid w:val="00D419C5"/>
    <w:rsid w:val="00D41DD0"/>
    <w:rsid w:val="00D4445E"/>
    <w:rsid w:val="00D500A5"/>
    <w:rsid w:val="00D52433"/>
    <w:rsid w:val="00D54F3A"/>
    <w:rsid w:val="00D5521E"/>
    <w:rsid w:val="00D655EE"/>
    <w:rsid w:val="00D65987"/>
    <w:rsid w:val="00D7107A"/>
    <w:rsid w:val="00D71CD4"/>
    <w:rsid w:val="00D72925"/>
    <w:rsid w:val="00D75235"/>
    <w:rsid w:val="00D7627B"/>
    <w:rsid w:val="00D81DB9"/>
    <w:rsid w:val="00D820B8"/>
    <w:rsid w:val="00D821E1"/>
    <w:rsid w:val="00D87353"/>
    <w:rsid w:val="00D87465"/>
    <w:rsid w:val="00D9028B"/>
    <w:rsid w:val="00D94906"/>
    <w:rsid w:val="00D950CC"/>
    <w:rsid w:val="00D96583"/>
    <w:rsid w:val="00DA1314"/>
    <w:rsid w:val="00DA20CA"/>
    <w:rsid w:val="00DA2626"/>
    <w:rsid w:val="00DA2D1B"/>
    <w:rsid w:val="00DA2DDC"/>
    <w:rsid w:val="00DA3078"/>
    <w:rsid w:val="00DA4121"/>
    <w:rsid w:val="00DA4177"/>
    <w:rsid w:val="00DA4714"/>
    <w:rsid w:val="00DA6E8C"/>
    <w:rsid w:val="00DB26B9"/>
    <w:rsid w:val="00DB6B67"/>
    <w:rsid w:val="00DC0494"/>
    <w:rsid w:val="00DC1407"/>
    <w:rsid w:val="00DC15FE"/>
    <w:rsid w:val="00DC1BB1"/>
    <w:rsid w:val="00DC21B6"/>
    <w:rsid w:val="00DC2721"/>
    <w:rsid w:val="00DC3047"/>
    <w:rsid w:val="00DC3CD4"/>
    <w:rsid w:val="00DC49B5"/>
    <w:rsid w:val="00DC7779"/>
    <w:rsid w:val="00DD1BC2"/>
    <w:rsid w:val="00DD22D0"/>
    <w:rsid w:val="00DD2B19"/>
    <w:rsid w:val="00DD2FF5"/>
    <w:rsid w:val="00DD355C"/>
    <w:rsid w:val="00DD72CD"/>
    <w:rsid w:val="00DE05A7"/>
    <w:rsid w:val="00DE0C49"/>
    <w:rsid w:val="00DE1228"/>
    <w:rsid w:val="00DE39C1"/>
    <w:rsid w:val="00DE5FE3"/>
    <w:rsid w:val="00DE7FDD"/>
    <w:rsid w:val="00DF0549"/>
    <w:rsid w:val="00DF0908"/>
    <w:rsid w:val="00DF15B7"/>
    <w:rsid w:val="00DF2646"/>
    <w:rsid w:val="00DF47B8"/>
    <w:rsid w:val="00E005BA"/>
    <w:rsid w:val="00E01A34"/>
    <w:rsid w:val="00E02248"/>
    <w:rsid w:val="00E023A9"/>
    <w:rsid w:val="00E03729"/>
    <w:rsid w:val="00E04261"/>
    <w:rsid w:val="00E0441A"/>
    <w:rsid w:val="00E0594E"/>
    <w:rsid w:val="00E06467"/>
    <w:rsid w:val="00E07290"/>
    <w:rsid w:val="00E07887"/>
    <w:rsid w:val="00E12579"/>
    <w:rsid w:val="00E12D90"/>
    <w:rsid w:val="00E15396"/>
    <w:rsid w:val="00E20FA6"/>
    <w:rsid w:val="00E2164B"/>
    <w:rsid w:val="00E21D96"/>
    <w:rsid w:val="00E243BC"/>
    <w:rsid w:val="00E24852"/>
    <w:rsid w:val="00E251F1"/>
    <w:rsid w:val="00E26D6E"/>
    <w:rsid w:val="00E27E89"/>
    <w:rsid w:val="00E305E3"/>
    <w:rsid w:val="00E30A31"/>
    <w:rsid w:val="00E32454"/>
    <w:rsid w:val="00E3263E"/>
    <w:rsid w:val="00E32AE8"/>
    <w:rsid w:val="00E32C2A"/>
    <w:rsid w:val="00E32D59"/>
    <w:rsid w:val="00E33040"/>
    <w:rsid w:val="00E3338E"/>
    <w:rsid w:val="00E35191"/>
    <w:rsid w:val="00E35997"/>
    <w:rsid w:val="00E40066"/>
    <w:rsid w:val="00E40802"/>
    <w:rsid w:val="00E42278"/>
    <w:rsid w:val="00E430D1"/>
    <w:rsid w:val="00E441F9"/>
    <w:rsid w:val="00E45B06"/>
    <w:rsid w:val="00E46C92"/>
    <w:rsid w:val="00E47822"/>
    <w:rsid w:val="00E5016D"/>
    <w:rsid w:val="00E5151C"/>
    <w:rsid w:val="00E525B9"/>
    <w:rsid w:val="00E5453C"/>
    <w:rsid w:val="00E55AE0"/>
    <w:rsid w:val="00E570B3"/>
    <w:rsid w:val="00E60531"/>
    <w:rsid w:val="00E61600"/>
    <w:rsid w:val="00E6207A"/>
    <w:rsid w:val="00E62DF5"/>
    <w:rsid w:val="00E63207"/>
    <w:rsid w:val="00E6444A"/>
    <w:rsid w:val="00E666A1"/>
    <w:rsid w:val="00E66E74"/>
    <w:rsid w:val="00E702B1"/>
    <w:rsid w:val="00E71632"/>
    <w:rsid w:val="00E72843"/>
    <w:rsid w:val="00E743C2"/>
    <w:rsid w:val="00E75371"/>
    <w:rsid w:val="00E769FD"/>
    <w:rsid w:val="00E77E02"/>
    <w:rsid w:val="00E807F1"/>
    <w:rsid w:val="00E81BF9"/>
    <w:rsid w:val="00E82716"/>
    <w:rsid w:val="00E83332"/>
    <w:rsid w:val="00E8796E"/>
    <w:rsid w:val="00E90CE0"/>
    <w:rsid w:val="00E9196E"/>
    <w:rsid w:val="00E924F7"/>
    <w:rsid w:val="00E92A30"/>
    <w:rsid w:val="00E952FF"/>
    <w:rsid w:val="00E95942"/>
    <w:rsid w:val="00E9695B"/>
    <w:rsid w:val="00E97AA0"/>
    <w:rsid w:val="00EA1227"/>
    <w:rsid w:val="00EA168E"/>
    <w:rsid w:val="00EA2A15"/>
    <w:rsid w:val="00EA3A8A"/>
    <w:rsid w:val="00EA6527"/>
    <w:rsid w:val="00EA787C"/>
    <w:rsid w:val="00EA7F42"/>
    <w:rsid w:val="00EB1718"/>
    <w:rsid w:val="00EB2162"/>
    <w:rsid w:val="00EB3887"/>
    <w:rsid w:val="00EB768F"/>
    <w:rsid w:val="00EC068D"/>
    <w:rsid w:val="00EC23AC"/>
    <w:rsid w:val="00EC4EDA"/>
    <w:rsid w:val="00EC64E9"/>
    <w:rsid w:val="00EC777D"/>
    <w:rsid w:val="00ED00BB"/>
    <w:rsid w:val="00ED0BB4"/>
    <w:rsid w:val="00ED1884"/>
    <w:rsid w:val="00ED18B9"/>
    <w:rsid w:val="00ED6610"/>
    <w:rsid w:val="00ED76BA"/>
    <w:rsid w:val="00EE055A"/>
    <w:rsid w:val="00EE12EB"/>
    <w:rsid w:val="00EE3C23"/>
    <w:rsid w:val="00EE6D69"/>
    <w:rsid w:val="00EF0474"/>
    <w:rsid w:val="00EF0BD9"/>
    <w:rsid w:val="00EF0D4F"/>
    <w:rsid w:val="00EF175B"/>
    <w:rsid w:val="00EF2F86"/>
    <w:rsid w:val="00EF2FE0"/>
    <w:rsid w:val="00EF33C3"/>
    <w:rsid w:val="00EF3A36"/>
    <w:rsid w:val="00F00A74"/>
    <w:rsid w:val="00F014B1"/>
    <w:rsid w:val="00F02D64"/>
    <w:rsid w:val="00F04731"/>
    <w:rsid w:val="00F066AB"/>
    <w:rsid w:val="00F072C1"/>
    <w:rsid w:val="00F10FFA"/>
    <w:rsid w:val="00F13F51"/>
    <w:rsid w:val="00F14106"/>
    <w:rsid w:val="00F17096"/>
    <w:rsid w:val="00F17D3B"/>
    <w:rsid w:val="00F20416"/>
    <w:rsid w:val="00F226C3"/>
    <w:rsid w:val="00F244D9"/>
    <w:rsid w:val="00F251C0"/>
    <w:rsid w:val="00F25E8D"/>
    <w:rsid w:val="00F30EF5"/>
    <w:rsid w:val="00F32267"/>
    <w:rsid w:val="00F332F3"/>
    <w:rsid w:val="00F33506"/>
    <w:rsid w:val="00F35532"/>
    <w:rsid w:val="00F359B8"/>
    <w:rsid w:val="00F36A12"/>
    <w:rsid w:val="00F37E5C"/>
    <w:rsid w:val="00F40950"/>
    <w:rsid w:val="00F41159"/>
    <w:rsid w:val="00F427CE"/>
    <w:rsid w:val="00F436D9"/>
    <w:rsid w:val="00F44F43"/>
    <w:rsid w:val="00F45408"/>
    <w:rsid w:val="00F473E9"/>
    <w:rsid w:val="00F47627"/>
    <w:rsid w:val="00F476F7"/>
    <w:rsid w:val="00F478C7"/>
    <w:rsid w:val="00F523D9"/>
    <w:rsid w:val="00F53AD5"/>
    <w:rsid w:val="00F54A7A"/>
    <w:rsid w:val="00F54C29"/>
    <w:rsid w:val="00F55072"/>
    <w:rsid w:val="00F5539A"/>
    <w:rsid w:val="00F5587F"/>
    <w:rsid w:val="00F57C9A"/>
    <w:rsid w:val="00F61547"/>
    <w:rsid w:val="00F623F4"/>
    <w:rsid w:val="00F6523D"/>
    <w:rsid w:val="00F658CE"/>
    <w:rsid w:val="00F675D7"/>
    <w:rsid w:val="00F67E08"/>
    <w:rsid w:val="00F67FF3"/>
    <w:rsid w:val="00F7034F"/>
    <w:rsid w:val="00F73850"/>
    <w:rsid w:val="00F7533E"/>
    <w:rsid w:val="00F815CD"/>
    <w:rsid w:val="00F83274"/>
    <w:rsid w:val="00F83AB3"/>
    <w:rsid w:val="00F83E77"/>
    <w:rsid w:val="00F8601F"/>
    <w:rsid w:val="00F87372"/>
    <w:rsid w:val="00F904B2"/>
    <w:rsid w:val="00F90F50"/>
    <w:rsid w:val="00F91CA2"/>
    <w:rsid w:val="00F92F20"/>
    <w:rsid w:val="00F93CD3"/>
    <w:rsid w:val="00F963C6"/>
    <w:rsid w:val="00F96A86"/>
    <w:rsid w:val="00F97BA6"/>
    <w:rsid w:val="00FA3EB7"/>
    <w:rsid w:val="00FA474F"/>
    <w:rsid w:val="00FA657A"/>
    <w:rsid w:val="00FA7927"/>
    <w:rsid w:val="00FB1B80"/>
    <w:rsid w:val="00FB2CAC"/>
    <w:rsid w:val="00FB7497"/>
    <w:rsid w:val="00FB768F"/>
    <w:rsid w:val="00FC02E2"/>
    <w:rsid w:val="00FC02FE"/>
    <w:rsid w:val="00FC3176"/>
    <w:rsid w:val="00FC45FC"/>
    <w:rsid w:val="00FC5621"/>
    <w:rsid w:val="00FC57C1"/>
    <w:rsid w:val="00FC6C07"/>
    <w:rsid w:val="00FD55BA"/>
    <w:rsid w:val="00FD5F07"/>
    <w:rsid w:val="00FD69AF"/>
    <w:rsid w:val="00FD7C98"/>
    <w:rsid w:val="00FE038D"/>
    <w:rsid w:val="00FE0EEA"/>
    <w:rsid w:val="00FE1483"/>
    <w:rsid w:val="00FE31B6"/>
    <w:rsid w:val="00FE41E4"/>
    <w:rsid w:val="00FE5E6A"/>
    <w:rsid w:val="00FE649A"/>
    <w:rsid w:val="00FF298E"/>
    <w:rsid w:val="00FF351A"/>
    <w:rsid w:val="00FF7A1A"/>
    <w:rsid w:val="014F13CC"/>
    <w:rsid w:val="01F66ABD"/>
    <w:rsid w:val="0214373A"/>
    <w:rsid w:val="03E010D0"/>
    <w:rsid w:val="06190FCC"/>
    <w:rsid w:val="0A285FB5"/>
    <w:rsid w:val="0A6248F6"/>
    <w:rsid w:val="0B094C47"/>
    <w:rsid w:val="0D8D7238"/>
    <w:rsid w:val="0FCB3337"/>
    <w:rsid w:val="114E7421"/>
    <w:rsid w:val="122447C2"/>
    <w:rsid w:val="127812A4"/>
    <w:rsid w:val="138632AE"/>
    <w:rsid w:val="14076444"/>
    <w:rsid w:val="14D56241"/>
    <w:rsid w:val="14F80435"/>
    <w:rsid w:val="17EE6E91"/>
    <w:rsid w:val="185C1E29"/>
    <w:rsid w:val="1CBD6B81"/>
    <w:rsid w:val="1CDA105D"/>
    <w:rsid w:val="1CDA7904"/>
    <w:rsid w:val="1FEF63A3"/>
    <w:rsid w:val="20A8480D"/>
    <w:rsid w:val="22CB1664"/>
    <w:rsid w:val="2318643B"/>
    <w:rsid w:val="237F64BA"/>
    <w:rsid w:val="25117B1D"/>
    <w:rsid w:val="26A84EE5"/>
    <w:rsid w:val="27DA216D"/>
    <w:rsid w:val="29E555D9"/>
    <w:rsid w:val="2ACC702F"/>
    <w:rsid w:val="2BF612E4"/>
    <w:rsid w:val="2CEF1AB3"/>
    <w:rsid w:val="2D2A56E9"/>
    <w:rsid w:val="2EFB2E45"/>
    <w:rsid w:val="30012D75"/>
    <w:rsid w:val="31342FDA"/>
    <w:rsid w:val="31C64CB7"/>
    <w:rsid w:val="326C1331"/>
    <w:rsid w:val="33705E1F"/>
    <w:rsid w:val="34A044E2"/>
    <w:rsid w:val="34CA1AAC"/>
    <w:rsid w:val="361E1B63"/>
    <w:rsid w:val="36E267B9"/>
    <w:rsid w:val="37936047"/>
    <w:rsid w:val="383514FF"/>
    <w:rsid w:val="38613F89"/>
    <w:rsid w:val="397439E1"/>
    <w:rsid w:val="39FF3A59"/>
    <w:rsid w:val="3CC4646D"/>
    <w:rsid w:val="40E8143B"/>
    <w:rsid w:val="41792343"/>
    <w:rsid w:val="43DF5027"/>
    <w:rsid w:val="44770EE3"/>
    <w:rsid w:val="472D5575"/>
    <w:rsid w:val="493F3295"/>
    <w:rsid w:val="4B1D294C"/>
    <w:rsid w:val="4B8C0A01"/>
    <w:rsid w:val="4BA263CE"/>
    <w:rsid w:val="4C6F1244"/>
    <w:rsid w:val="4CA91BB3"/>
    <w:rsid w:val="4D20220D"/>
    <w:rsid w:val="4DA95270"/>
    <w:rsid w:val="4E6B4C2F"/>
    <w:rsid w:val="51B353FD"/>
    <w:rsid w:val="52CC5475"/>
    <w:rsid w:val="55284354"/>
    <w:rsid w:val="55D831E4"/>
    <w:rsid w:val="5621502B"/>
    <w:rsid w:val="571950AC"/>
    <w:rsid w:val="582165A1"/>
    <w:rsid w:val="5BFD3E45"/>
    <w:rsid w:val="5C4202EB"/>
    <w:rsid w:val="5CCB6F4A"/>
    <w:rsid w:val="5EAF592E"/>
    <w:rsid w:val="622E7082"/>
    <w:rsid w:val="695146D1"/>
    <w:rsid w:val="6B1712E6"/>
    <w:rsid w:val="6D7777CF"/>
    <w:rsid w:val="6E076270"/>
    <w:rsid w:val="70B34FC2"/>
    <w:rsid w:val="70DF7B65"/>
    <w:rsid w:val="742E64CE"/>
    <w:rsid w:val="743A6A8A"/>
    <w:rsid w:val="748A7DE8"/>
    <w:rsid w:val="74F25AD5"/>
    <w:rsid w:val="763224E5"/>
    <w:rsid w:val="76CE589C"/>
    <w:rsid w:val="77E42515"/>
    <w:rsid w:val="77E7A83E"/>
    <w:rsid w:val="78B90C9C"/>
    <w:rsid w:val="78F9553C"/>
    <w:rsid w:val="79025017"/>
    <w:rsid w:val="79EA1A55"/>
    <w:rsid w:val="7A9905B0"/>
    <w:rsid w:val="7CEE2235"/>
    <w:rsid w:val="7DDD1C16"/>
    <w:rsid w:val="7FB9AA6C"/>
    <w:rsid w:val="7FFDEE66"/>
    <w:rsid w:val="A67B71AB"/>
    <w:rsid w:val="ACD9603D"/>
    <w:rsid w:val="DF9FCDAA"/>
    <w:rsid w:val="DFDE3DEF"/>
    <w:rsid w:val="EAD6AAAB"/>
    <w:rsid w:val="F7475C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9"/>
    <w:next w:val="1"/>
    <w:qFormat/>
    <w:locked/>
    <w:uiPriority w:val="9"/>
    <w:pPr>
      <w:keepNext/>
      <w:keepLines/>
      <w:numPr>
        <w:ilvl w:val="0"/>
        <w:numId w:val="1"/>
      </w:numPr>
      <w:spacing w:before="240" w:after="240"/>
      <w:ind w:left="0"/>
    </w:pPr>
    <w:rPr>
      <w:kern w:val="44"/>
      <w:sz w:val="36"/>
      <w:szCs w:val="44"/>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unhideWhenUsed/>
    <w:qFormat/>
    <w:uiPriority w:val="99"/>
    <w:pPr>
      <w:spacing w:after="120"/>
      <w:ind w:firstLine="420" w:firstLineChars="100"/>
    </w:pPr>
    <w:rPr>
      <w:b w:val="0"/>
      <w:sz w:val="21"/>
      <w:szCs w:val="24"/>
    </w:rPr>
  </w:style>
  <w:style w:type="paragraph" w:styleId="3">
    <w:name w:val="Body Text"/>
    <w:basedOn w:val="1"/>
    <w:next w:val="4"/>
    <w:link w:val="25"/>
    <w:qFormat/>
    <w:uiPriority w:val="99"/>
    <w:rPr>
      <w:b/>
      <w:sz w:val="32"/>
      <w:szCs w:val="20"/>
    </w:rPr>
  </w:style>
  <w:style w:type="paragraph" w:styleId="4">
    <w:name w:val="Body Text Indent"/>
    <w:basedOn w:val="1"/>
    <w:next w:val="5"/>
    <w:link w:val="47"/>
    <w:semiHidden/>
    <w:unhideWhenUsed/>
    <w:qFormat/>
    <w:uiPriority w:val="99"/>
    <w:pPr>
      <w:spacing w:after="120"/>
      <w:ind w:left="420" w:leftChars="200"/>
    </w:pPr>
  </w:style>
  <w:style w:type="paragraph" w:styleId="5">
    <w:name w:val="Body Text Indent 2"/>
    <w:basedOn w:val="1"/>
    <w:next w:val="1"/>
    <w:unhideWhenUsed/>
    <w:qFormat/>
    <w:uiPriority w:val="0"/>
    <w:pPr>
      <w:spacing w:before="100" w:beforeAutospacing="1" w:after="120" w:line="480" w:lineRule="auto"/>
      <w:ind w:left="420" w:leftChars="200"/>
    </w:pPr>
    <w:rPr>
      <w:kern w:val="0"/>
      <w:sz w:val="24"/>
    </w:rPr>
  </w:style>
  <w:style w:type="paragraph" w:styleId="6">
    <w:name w:val="Normal Indent"/>
    <w:basedOn w:val="1"/>
    <w:next w:val="7"/>
    <w:unhideWhenUsed/>
    <w:qFormat/>
    <w:uiPriority w:val="99"/>
    <w:pPr>
      <w:ind w:firstLine="420"/>
    </w:pPr>
  </w:style>
  <w:style w:type="paragraph" w:styleId="7">
    <w:name w:val="Body Text First Indent 2"/>
    <w:basedOn w:val="4"/>
    <w:next w:val="2"/>
    <w:link w:val="48"/>
    <w:semiHidden/>
    <w:unhideWhenUsed/>
    <w:qFormat/>
    <w:uiPriority w:val="99"/>
    <w:pPr>
      <w:ind w:firstLine="420" w:firstLineChars="200"/>
    </w:pPr>
  </w:style>
  <w:style w:type="paragraph" w:styleId="9">
    <w:name w:val="Title"/>
    <w:basedOn w:val="1"/>
    <w:next w:val="1"/>
    <w:qFormat/>
    <w:locked/>
    <w:uiPriority w:val="99"/>
    <w:pPr>
      <w:spacing w:before="330" w:after="340" w:line="360" w:lineRule="auto"/>
      <w:jc w:val="center"/>
      <w:outlineLvl w:val="0"/>
    </w:pPr>
    <w:rPr>
      <w:b/>
      <w:bCs/>
      <w:sz w:val="44"/>
    </w:rPr>
  </w:style>
  <w:style w:type="paragraph" w:styleId="10">
    <w:name w:val="annotation text"/>
    <w:basedOn w:val="1"/>
    <w:link w:val="44"/>
    <w:semiHidden/>
    <w:unhideWhenUsed/>
    <w:qFormat/>
    <w:uiPriority w:val="99"/>
    <w:pPr>
      <w:jc w:val="left"/>
    </w:pPr>
  </w:style>
  <w:style w:type="paragraph" w:styleId="11">
    <w:name w:val="Balloon Text"/>
    <w:basedOn w:val="1"/>
    <w:link w:val="46"/>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next w:val="14"/>
    <w:link w:val="27"/>
    <w:qFormat/>
    <w:uiPriority w:val="99"/>
    <w:pPr>
      <w:pBdr>
        <w:bottom w:val="single" w:color="auto" w:sz="6" w:space="1"/>
      </w:pBdr>
      <w:tabs>
        <w:tab w:val="center" w:pos="4153"/>
        <w:tab w:val="right" w:pos="8306"/>
      </w:tabs>
      <w:snapToGrid w:val="0"/>
      <w:jc w:val="center"/>
    </w:pPr>
    <w:rPr>
      <w:sz w:val="18"/>
      <w:szCs w:val="18"/>
    </w:rPr>
  </w:style>
  <w:style w:type="paragraph" w:customStyle="1" w:styleId="14">
    <w:name w:val="样式 Z正文 + 首行缩进:  2 字符1"/>
    <w:basedOn w:val="15"/>
    <w:qFormat/>
    <w:uiPriority w:val="0"/>
    <w:pPr>
      <w:ind w:firstLine="480"/>
    </w:pPr>
    <w:rPr>
      <w:rFonts w:cs="宋体"/>
    </w:rPr>
  </w:style>
  <w:style w:type="paragraph" w:customStyle="1" w:styleId="15">
    <w:name w:val="Z正文"/>
    <w:basedOn w:val="16"/>
    <w:qFormat/>
    <w:uiPriority w:val="0"/>
    <w:pPr>
      <w:ind w:firstLine="200" w:firstLineChars="200"/>
      <w:outlineLvl w:val="9"/>
    </w:pPr>
    <w:rPr>
      <w:rFonts w:ascii="Times New Roman"/>
      <w:sz w:val="24"/>
      <w:szCs w:val="24"/>
    </w:rPr>
  </w:style>
  <w:style w:type="paragraph" w:customStyle="1" w:styleId="16">
    <w:name w:val="样式 标题 1标题 11Head 1wsah1一、标题2Part'Document章Ch + 加粗"/>
    <w:basedOn w:val="8"/>
    <w:qFormat/>
    <w:uiPriority w:val="0"/>
    <w:rPr>
      <w:rFonts w:ascii="黑体"/>
      <w:sz w:val="32"/>
    </w:rPr>
  </w:style>
  <w:style w:type="paragraph" w:styleId="17">
    <w:name w:val="toc 1"/>
    <w:basedOn w:val="1"/>
    <w:next w:val="1"/>
    <w:qFormat/>
    <w:uiPriority w:val="99"/>
    <w:pPr>
      <w:tabs>
        <w:tab w:val="right" w:leader="dot" w:pos="8296"/>
      </w:tabs>
      <w:spacing w:line="360" w:lineRule="auto"/>
    </w:pPr>
    <w:rPr>
      <w:b/>
      <w:spacing w:val="-2"/>
      <w:kern w:val="30"/>
      <w:sz w:val="28"/>
    </w:rPr>
  </w:style>
  <w:style w:type="paragraph" w:styleId="18">
    <w:name w:val="List"/>
    <w:basedOn w:val="1"/>
    <w:semiHidden/>
    <w:unhideWhenUsed/>
    <w:qFormat/>
    <w:uiPriority w:val="99"/>
    <w:pPr>
      <w:ind w:left="200" w:hanging="200" w:hangingChars="200"/>
      <w:contextualSpacing/>
    </w:pPr>
  </w:style>
  <w:style w:type="paragraph" w:styleId="19">
    <w:name w:val="Body Text 2"/>
    <w:basedOn w:val="1"/>
    <w:link w:val="28"/>
    <w:qFormat/>
    <w:uiPriority w:val="99"/>
    <w:pPr>
      <w:spacing w:line="600" w:lineRule="exact"/>
      <w:jc w:val="center"/>
    </w:pPr>
    <w:rPr>
      <w:rFonts w:ascii="方正小标宋简体" w:eastAsia="方正小标宋简体"/>
      <w:bCs/>
      <w:sz w:val="44"/>
      <w:szCs w:val="44"/>
    </w:rPr>
  </w:style>
  <w:style w:type="paragraph" w:styleId="20">
    <w:name w:val="annotation subject"/>
    <w:basedOn w:val="10"/>
    <w:next w:val="10"/>
    <w:link w:val="45"/>
    <w:semiHidden/>
    <w:unhideWhenUsed/>
    <w:qFormat/>
    <w:uiPriority w:val="99"/>
    <w:rPr>
      <w:b/>
      <w:bCs/>
    </w:rPr>
  </w:style>
  <w:style w:type="character" w:styleId="23">
    <w:name w:val="page number"/>
    <w:basedOn w:val="22"/>
    <w:qFormat/>
    <w:uiPriority w:val="99"/>
    <w:rPr>
      <w:rFonts w:cs="Times New Roman"/>
    </w:rPr>
  </w:style>
  <w:style w:type="character" w:styleId="24">
    <w:name w:val="annotation reference"/>
    <w:unhideWhenUsed/>
    <w:qFormat/>
    <w:uiPriority w:val="99"/>
    <w:rPr>
      <w:sz w:val="21"/>
      <w:szCs w:val="21"/>
    </w:rPr>
  </w:style>
  <w:style w:type="character" w:customStyle="1" w:styleId="25">
    <w:name w:val="正文文本 字符"/>
    <w:basedOn w:val="22"/>
    <w:link w:val="3"/>
    <w:semiHidden/>
    <w:qFormat/>
    <w:uiPriority w:val="99"/>
    <w:rPr>
      <w:szCs w:val="24"/>
    </w:rPr>
  </w:style>
  <w:style w:type="character" w:customStyle="1" w:styleId="26">
    <w:name w:val="页脚 字符"/>
    <w:basedOn w:val="22"/>
    <w:link w:val="12"/>
    <w:qFormat/>
    <w:locked/>
    <w:uiPriority w:val="99"/>
    <w:rPr>
      <w:rFonts w:cs="Times New Roman"/>
      <w:kern w:val="2"/>
      <w:sz w:val="18"/>
      <w:szCs w:val="18"/>
    </w:rPr>
  </w:style>
  <w:style w:type="character" w:customStyle="1" w:styleId="27">
    <w:name w:val="页眉 字符"/>
    <w:basedOn w:val="22"/>
    <w:link w:val="13"/>
    <w:semiHidden/>
    <w:qFormat/>
    <w:uiPriority w:val="99"/>
    <w:rPr>
      <w:sz w:val="18"/>
      <w:szCs w:val="18"/>
    </w:rPr>
  </w:style>
  <w:style w:type="character" w:customStyle="1" w:styleId="28">
    <w:name w:val="正文文本 2 字符"/>
    <w:basedOn w:val="22"/>
    <w:link w:val="19"/>
    <w:semiHidden/>
    <w:qFormat/>
    <w:uiPriority w:val="99"/>
    <w:rPr>
      <w:szCs w:val="24"/>
    </w:rPr>
  </w:style>
  <w:style w:type="paragraph" w:customStyle="1" w:styleId="29">
    <w:name w:val="Char Char Char Char Char Char1 Char"/>
    <w:basedOn w:val="1"/>
    <w:qFormat/>
    <w:uiPriority w:val="99"/>
  </w:style>
  <w:style w:type="paragraph" w:customStyle="1" w:styleId="30">
    <w:name w:val="2"/>
    <w:basedOn w:val="1"/>
    <w:qFormat/>
    <w:uiPriority w:val="99"/>
    <w:pPr>
      <w:spacing w:line="360" w:lineRule="auto"/>
      <w:ind w:firstLine="200" w:firstLineChars="200"/>
    </w:pPr>
    <w:rPr>
      <w:rFonts w:ascii="宋体" w:hAnsi="宋体" w:cs="宋体"/>
      <w:sz w:val="24"/>
    </w:rPr>
  </w:style>
  <w:style w:type="paragraph" w:customStyle="1" w:styleId="31">
    <w:name w:val="Char Char Char Char Char Char1 Char1"/>
    <w:basedOn w:val="1"/>
    <w:qFormat/>
    <w:uiPriority w:val="99"/>
  </w:style>
  <w:style w:type="paragraph" w:customStyle="1" w:styleId="32">
    <w:name w:val="列出段落1"/>
    <w:basedOn w:val="1"/>
    <w:qFormat/>
    <w:uiPriority w:val="99"/>
    <w:pPr>
      <w:ind w:firstLine="420" w:firstLineChars="200"/>
    </w:pPr>
  </w:style>
  <w:style w:type="paragraph" w:customStyle="1" w:styleId="33">
    <w:name w:val="表文字"/>
    <w:link w:val="36"/>
    <w:semiHidden/>
    <w:qFormat/>
    <w:uiPriority w:val="99"/>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4">
    <w:name w:val="Char"/>
    <w:basedOn w:val="1"/>
    <w:qFormat/>
    <w:uiPriority w:val="99"/>
    <w:pPr>
      <w:widowControl/>
      <w:tabs>
        <w:tab w:val="left" w:pos="360"/>
      </w:tabs>
      <w:jc w:val="left"/>
    </w:pPr>
    <w:rPr>
      <w:kern w:val="0"/>
      <w:sz w:val="24"/>
    </w:rPr>
  </w:style>
  <w:style w:type="paragraph" w:customStyle="1" w:styleId="35">
    <w:name w:val="Char1"/>
    <w:basedOn w:val="1"/>
    <w:qFormat/>
    <w:uiPriority w:val="99"/>
    <w:pPr>
      <w:widowControl/>
      <w:tabs>
        <w:tab w:val="left" w:pos="360"/>
      </w:tabs>
      <w:jc w:val="left"/>
    </w:pPr>
    <w:rPr>
      <w:kern w:val="0"/>
      <w:sz w:val="24"/>
    </w:rPr>
  </w:style>
  <w:style w:type="character" w:customStyle="1" w:styleId="36">
    <w:name w:val="表文字 Char1"/>
    <w:basedOn w:val="22"/>
    <w:link w:val="33"/>
    <w:semiHidden/>
    <w:qFormat/>
    <w:locked/>
    <w:uiPriority w:val="99"/>
    <w:rPr>
      <w:sz w:val="21"/>
      <w:szCs w:val="21"/>
      <w:lang w:val="en-US" w:eastAsia="zh-CN" w:bidi="ar-SA"/>
    </w:rPr>
  </w:style>
  <w:style w:type="paragraph" w:customStyle="1" w:styleId="37">
    <w:name w:val="A表内"/>
    <w:basedOn w:val="1"/>
    <w:link w:val="39"/>
    <w:qFormat/>
    <w:uiPriority w:val="0"/>
    <w:pPr>
      <w:adjustRightInd w:val="0"/>
      <w:snapToGrid w:val="0"/>
      <w:jc w:val="center"/>
    </w:pPr>
    <w:rPr>
      <w:szCs w:val="20"/>
    </w:rPr>
  </w:style>
  <w:style w:type="character" w:customStyle="1" w:styleId="38">
    <w:name w:val="font101"/>
    <w:basedOn w:val="22"/>
    <w:qFormat/>
    <w:uiPriority w:val="0"/>
    <w:rPr>
      <w:rFonts w:hint="default" w:ascii="Times New Roman" w:hAnsi="Times New Roman" w:cs="Times New Roman"/>
      <w:color w:val="FF0000"/>
      <w:sz w:val="24"/>
      <w:szCs w:val="24"/>
      <w:u w:val="none"/>
    </w:rPr>
  </w:style>
  <w:style w:type="character" w:customStyle="1" w:styleId="39">
    <w:name w:val="A表内 Char"/>
    <w:link w:val="37"/>
    <w:qFormat/>
    <w:uiPriority w:val="0"/>
    <w:rPr>
      <w:rFonts w:cs="宋体"/>
      <w:kern w:val="2"/>
      <w:sz w:val="21"/>
    </w:rPr>
  </w:style>
  <w:style w:type="character" w:customStyle="1" w:styleId="40">
    <w:name w:val="样式4 Char Char"/>
    <w:link w:val="41"/>
    <w:qFormat/>
    <w:uiPriority w:val="0"/>
    <w:rPr>
      <w:rFonts w:ascii="楷体_GB2312" w:eastAsia="楷体_GB2312"/>
      <w:b/>
      <w:iCs/>
      <w:sz w:val="18"/>
      <w:szCs w:val="18"/>
    </w:rPr>
  </w:style>
  <w:style w:type="paragraph" w:customStyle="1" w:styleId="41">
    <w:name w:val="样式4 Char"/>
    <w:basedOn w:val="12"/>
    <w:link w:val="40"/>
    <w:qFormat/>
    <w:uiPriority w:val="0"/>
    <w:pPr>
      <w:pBdr>
        <w:top w:val="thinThickSmallGap" w:color="auto" w:sz="12" w:space="1"/>
      </w:pBdr>
      <w:spacing w:line="240" w:lineRule="exact"/>
    </w:pPr>
    <w:rPr>
      <w:rFonts w:ascii="楷体_GB2312" w:eastAsia="楷体_GB2312"/>
      <w:b/>
      <w:iCs/>
      <w:kern w:val="0"/>
    </w:rPr>
  </w:style>
  <w:style w:type="character" w:customStyle="1" w:styleId="42">
    <w:name w:val="自动A Char"/>
    <w:basedOn w:val="22"/>
    <w:link w:val="43"/>
    <w:qFormat/>
    <w:uiPriority w:val="0"/>
    <w:rPr>
      <w:color w:val="000000"/>
      <w:sz w:val="24"/>
    </w:rPr>
  </w:style>
  <w:style w:type="paragraph" w:customStyle="1" w:styleId="43">
    <w:name w:val="自动A"/>
    <w:basedOn w:val="1"/>
    <w:link w:val="42"/>
    <w:qFormat/>
    <w:uiPriority w:val="0"/>
    <w:pPr>
      <w:spacing w:before="120" w:after="120" w:line="360" w:lineRule="auto"/>
      <w:ind w:firstLine="480" w:firstLineChars="200"/>
    </w:pPr>
    <w:rPr>
      <w:color w:val="000000"/>
      <w:kern w:val="0"/>
      <w:sz w:val="24"/>
      <w:szCs w:val="20"/>
    </w:rPr>
  </w:style>
  <w:style w:type="character" w:customStyle="1" w:styleId="44">
    <w:name w:val="批注文字 字符"/>
    <w:basedOn w:val="22"/>
    <w:link w:val="10"/>
    <w:semiHidden/>
    <w:qFormat/>
    <w:uiPriority w:val="99"/>
    <w:rPr>
      <w:kern w:val="2"/>
      <w:sz w:val="21"/>
      <w:szCs w:val="24"/>
    </w:rPr>
  </w:style>
  <w:style w:type="character" w:customStyle="1" w:styleId="45">
    <w:name w:val="批注主题 字符"/>
    <w:basedOn w:val="44"/>
    <w:link w:val="20"/>
    <w:semiHidden/>
    <w:qFormat/>
    <w:uiPriority w:val="99"/>
    <w:rPr>
      <w:b/>
      <w:bCs/>
      <w:kern w:val="2"/>
      <w:sz w:val="21"/>
      <w:szCs w:val="24"/>
    </w:rPr>
  </w:style>
  <w:style w:type="character" w:customStyle="1" w:styleId="46">
    <w:name w:val="批注框文本 字符"/>
    <w:basedOn w:val="22"/>
    <w:link w:val="11"/>
    <w:semiHidden/>
    <w:qFormat/>
    <w:uiPriority w:val="99"/>
    <w:rPr>
      <w:kern w:val="2"/>
      <w:sz w:val="18"/>
      <w:szCs w:val="18"/>
    </w:rPr>
  </w:style>
  <w:style w:type="character" w:customStyle="1" w:styleId="47">
    <w:name w:val="正文文本缩进 字符"/>
    <w:basedOn w:val="22"/>
    <w:link w:val="4"/>
    <w:semiHidden/>
    <w:qFormat/>
    <w:uiPriority w:val="99"/>
    <w:rPr>
      <w:kern w:val="2"/>
      <w:sz w:val="21"/>
      <w:szCs w:val="24"/>
    </w:rPr>
  </w:style>
  <w:style w:type="character" w:customStyle="1" w:styleId="48">
    <w:name w:val="正文首行缩进 2 字符"/>
    <w:basedOn w:val="47"/>
    <w:link w:val="7"/>
    <w:semiHidden/>
    <w:qFormat/>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4</Pages>
  <Words>2491</Words>
  <Characters>2643</Characters>
  <Lines>20</Lines>
  <Paragraphs>5</Paragraphs>
  <TotalTime>12</TotalTime>
  <ScaleCrop>false</ScaleCrop>
  <LinksUpToDate>false</LinksUpToDate>
  <CharactersWithSpaces>2759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2024-01-18T14:10:00Z</dcterms:created>
  <dc:creator>雨林木风</dc:creator>
  <cp:lastModifiedBy>思</cp:lastModifiedBy>
  <cp:lastPrinted>2018-01-05T10:39:00Z</cp:lastPrinted>
  <dcterms:modified xsi:type="dcterms:W3CDTF">2025-05-28T07:48:21Z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D74AB31469374553B6A6E2A80C029747_13</vt:lpwstr>
  </property>
  <property fmtid="{D5CDD505-2E9C-101B-9397-08002B2CF9AE}" pid="4" name="KSOTemplateDocerSaveRecord">
    <vt:lpwstr>eyJoZGlkIjoiMzQwM2I1N2Y2OThhYWY5OWI0NTIyYjlhNzM3Yzc0NTciLCJ1c2VySWQiOiI2Njc2OTA0NTMifQ==</vt:lpwstr>
  </property>
</Properties>
</file>