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09867">
      <w:pPr>
        <w:spacing w:line="640" w:lineRule="exact"/>
        <w:rPr>
          <w:rFonts w:ascii="仿宋_GB2312" w:eastAsia="仿宋_GB2312"/>
          <w:sz w:val="32"/>
        </w:rPr>
      </w:pPr>
    </w:p>
    <w:p w14:paraId="3D97C56B">
      <w:pPr>
        <w:spacing w:line="640" w:lineRule="exact"/>
        <w:jc w:val="center"/>
        <w:rPr>
          <w:rFonts w:ascii="仿宋_GB2312" w:eastAsia="仿宋_GB2312"/>
          <w:sz w:val="32"/>
        </w:rPr>
      </w:pPr>
    </w:p>
    <w:p w14:paraId="7270E178">
      <w:pPr>
        <w:spacing w:line="640" w:lineRule="exact"/>
        <w:jc w:val="center"/>
        <w:rPr>
          <w:rFonts w:ascii="仿宋_GB2312" w:eastAsia="仿宋_GB2312"/>
          <w:sz w:val="32"/>
        </w:rPr>
      </w:pPr>
    </w:p>
    <w:p w14:paraId="246E54BC">
      <w:pPr>
        <w:spacing w:line="640" w:lineRule="exact"/>
        <w:rPr>
          <w:rFonts w:ascii="仿宋_GB2312" w:eastAsia="仿宋_GB2312"/>
          <w:sz w:val="32"/>
        </w:rPr>
      </w:pPr>
    </w:p>
    <w:p w14:paraId="39ACE652">
      <w:pPr>
        <w:spacing w:line="540" w:lineRule="exact"/>
        <w:jc w:val="center"/>
        <w:rPr>
          <w:rFonts w:ascii="仿宋" w:hAnsi="仿宋" w:eastAsia="仿宋"/>
          <w:sz w:val="30"/>
          <w:szCs w:val="30"/>
        </w:rPr>
      </w:pPr>
    </w:p>
    <w:p w14:paraId="532F8051">
      <w:pPr>
        <w:spacing w:line="540" w:lineRule="exact"/>
        <w:jc w:val="center"/>
        <w:rPr>
          <w:rFonts w:ascii="仿宋" w:hAnsi="仿宋" w:eastAsia="仿宋"/>
          <w:sz w:val="30"/>
          <w:szCs w:val="30"/>
          <w:highlight w:val="none"/>
        </w:rPr>
      </w:pPr>
      <w:r>
        <w:rPr>
          <w:rFonts w:hint="eastAsia" w:ascii="仿宋" w:hAnsi="仿宋" w:eastAsia="仿宋"/>
          <w:sz w:val="30"/>
          <w:szCs w:val="30"/>
          <w:highlight w:val="none"/>
        </w:rPr>
        <w:t>柳审环城审字〔202</w:t>
      </w:r>
      <w:r>
        <w:rPr>
          <w:rFonts w:hint="eastAsia" w:ascii="仿宋" w:hAnsi="仿宋" w:eastAsia="仿宋"/>
          <w:sz w:val="30"/>
          <w:szCs w:val="30"/>
          <w:highlight w:val="none"/>
          <w:lang w:val="en-US" w:eastAsia="zh-CN"/>
        </w:rPr>
        <w:t>6</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2</w:t>
      </w:r>
      <w:r>
        <w:rPr>
          <w:rFonts w:hint="eastAsia" w:ascii="仿宋" w:hAnsi="仿宋" w:eastAsia="仿宋"/>
          <w:color w:val="auto"/>
          <w:sz w:val="30"/>
          <w:szCs w:val="30"/>
          <w:highlight w:val="none"/>
        </w:rPr>
        <w:t>号</w:t>
      </w:r>
    </w:p>
    <w:p w14:paraId="490E844B">
      <w:pPr>
        <w:pStyle w:val="5"/>
        <w:spacing w:line="540" w:lineRule="exact"/>
        <w:rPr>
          <w:sz w:val="28"/>
          <w:szCs w:val="28"/>
        </w:rPr>
      </w:pPr>
    </w:p>
    <w:p w14:paraId="43F64A88">
      <w:pPr>
        <w:pStyle w:val="6"/>
        <w:rPr>
          <w:rFonts w:hint="eastAsia" w:ascii="宋体" w:hAnsi="宋体" w:eastAsia="宋体"/>
          <w:b/>
          <w:lang w:val="en-US" w:eastAsia="zh-CN"/>
        </w:rPr>
      </w:pPr>
      <w:r>
        <w:rPr>
          <w:rFonts w:hint="eastAsia" w:ascii="宋体" w:hAnsi="宋体" w:eastAsia="宋体"/>
          <w:b/>
        </w:rPr>
        <w:t>关于110千伏</w:t>
      </w:r>
      <w:r>
        <w:rPr>
          <w:rFonts w:hint="eastAsia" w:ascii="宋体" w:hAnsi="宋体" w:eastAsia="宋体"/>
          <w:b/>
          <w:lang w:eastAsia="zh-CN"/>
        </w:rPr>
        <w:t>双冲</w:t>
      </w:r>
      <w:r>
        <w:rPr>
          <w:rFonts w:hint="eastAsia" w:ascii="宋体" w:hAnsi="宋体" w:eastAsia="宋体"/>
          <w:b/>
        </w:rPr>
        <w:t>站</w:t>
      </w:r>
      <w:r>
        <w:rPr>
          <w:rFonts w:hint="eastAsia" w:ascii="宋体" w:hAnsi="宋体" w:eastAsia="宋体"/>
          <w:b/>
          <w:lang w:val="en-US" w:eastAsia="zh-CN"/>
        </w:rPr>
        <w:t>#2主变</w:t>
      </w:r>
      <w:r>
        <w:rPr>
          <w:rFonts w:hint="eastAsia" w:ascii="宋体" w:hAnsi="宋体" w:eastAsia="宋体"/>
          <w:b/>
        </w:rPr>
        <w:t>扩建工程</w:t>
      </w:r>
    </w:p>
    <w:p w14:paraId="5560AF6C">
      <w:pPr>
        <w:pStyle w:val="6"/>
        <w:rPr>
          <w:rFonts w:ascii="宋体" w:hAnsi="宋体" w:eastAsia="宋体"/>
          <w:b/>
        </w:rPr>
      </w:pPr>
      <w:r>
        <w:rPr>
          <w:rFonts w:hint="eastAsia" w:ascii="宋体" w:hAnsi="宋体" w:eastAsia="宋体"/>
          <w:b/>
        </w:rPr>
        <w:t>环境影响报告表的批复</w:t>
      </w:r>
    </w:p>
    <w:p w14:paraId="19464CC2">
      <w:pPr>
        <w:pStyle w:val="6"/>
        <w:keepNext w:val="0"/>
        <w:keepLines w:val="0"/>
        <w:pageBreakBefore w:val="0"/>
        <w:kinsoku/>
        <w:wordWrap/>
        <w:overflowPunct/>
        <w:topLinePunct w:val="0"/>
        <w:autoSpaceDE/>
        <w:autoSpaceDN/>
        <w:bidi w:val="0"/>
        <w:adjustRightInd/>
        <w:snapToGrid/>
        <w:spacing w:line="460" w:lineRule="exact"/>
        <w:textAlignment w:val="auto"/>
        <w:rPr>
          <w:sz w:val="30"/>
          <w:szCs w:val="30"/>
        </w:rPr>
      </w:pPr>
    </w:p>
    <w:p w14:paraId="2F25DAE7">
      <w:pPr>
        <w:keepNext w:val="0"/>
        <w:keepLines w:val="0"/>
        <w:pageBreakBefore w:val="0"/>
        <w:kinsoku/>
        <w:wordWrap/>
        <w:overflowPunct/>
        <w:topLinePunct w:val="0"/>
        <w:autoSpaceDE/>
        <w:autoSpaceDN/>
        <w:bidi w:val="0"/>
        <w:adjustRightInd/>
        <w:snapToGrid/>
        <w:spacing w:line="380" w:lineRule="exact"/>
        <w:textAlignment w:val="auto"/>
        <w:rPr>
          <w:rFonts w:ascii="仿宋" w:hAnsi="仿宋" w:eastAsia="仿宋"/>
          <w:sz w:val="32"/>
          <w:szCs w:val="32"/>
        </w:rPr>
      </w:pPr>
      <w:r>
        <w:rPr>
          <w:rFonts w:hint="eastAsia" w:ascii="仿宋" w:hAnsi="仿宋" w:eastAsia="仿宋"/>
          <w:sz w:val="32"/>
          <w:szCs w:val="32"/>
        </w:rPr>
        <w:t>广西电网有限责任公司柳州供电局：</w:t>
      </w:r>
    </w:p>
    <w:p w14:paraId="00890DC5">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val="en-US" w:eastAsia="zh-CN"/>
        </w:rPr>
        <w:t>公司</w:t>
      </w:r>
      <w:r>
        <w:rPr>
          <w:rFonts w:hint="eastAsia" w:ascii="仿宋" w:hAnsi="仿宋" w:eastAsia="仿宋"/>
          <w:sz w:val="32"/>
          <w:szCs w:val="32"/>
        </w:rPr>
        <w:t>报来《</w:t>
      </w:r>
      <w:r>
        <w:rPr>
          <w:rFonts w:hint="eastAsia" w:ascii="仿宋" w:hAnsi="仿宋" w:eastAsia="仿宋"/>
          <w:sz w:val="32"/>
          <w:szCs w:val="32"/>
          <w:lang w:val="en-US" w:eastAsia="zh-CN"/>
        </w:rPr>
        <w:t>110千伏双冲站#2主变扩建工程</w:t>
      </w:r>
      <w:r>
        <w:rPr>
          <w:rFonts w:hint="eastAsia" w:ascii="仿宋" w:hAnsi="仿宋" w:eastAsia="仿宋"/>
          <w:sz w:val="32"/>
          <w:szCs w:val="32"/>
        </w:rPr>
        <w:t>环境影响报告表》（</w:t>
      </w:r>
      <w:r>
        <w:rPr>
          <w:rFonts w:hint="eastAsia" w:ascii="仿宋" w:hAnsi="仿宋" w:eastAsia="仿宋"/>
          <w:sz w:val="32"/>
          <w:szCs w:val="32"/>
          <w:lang w:val="en-US" w:eastAsia="zh-CN"/>
        </w:rPr>
        <w:t>以下简称《报告表》</w:t>
      </w:r>
      <w:r>
        <w:rPr>
          <w:rFonts w:hint="eastAsia" w:ascii="仿宋" w:hAnsi="仿宋" w:eastAsia="仿宋"/>
          <w:sz w:val="32"/>
          <w:szCs w:val="32"/>
        </w:rPr>
        <w:t>）收悉。经我局审核，现批复如下：</w:t>
      </w:r>
    </w:p>
    <w:p w14:paraId="5002E2F0">
      <w:pPr>
        <w:keepNext w:val="0"/>
        <w:keepLines w:val="0"/>
        <w:pageBreakBefore w:val="0"/>
        <w:widowControl/>
        <w:numPr>
          <w:ilvl w:val="0"/>
          <w:numId w:val="1"/>
        </w:numPr>
        <w:suppressLineNumbers w:val="0"/>
        <w:kinsoku/>
        <w:wordWrap/>
        <w:overflowPunct/>
        <w:topLinePunct w:val="0"/>
        <w:autoSpaceDE/>
        <w:autoSpaceDN/>
        <w:bidi w:val="0"/>
        <w:adjustRightInd/>
        <w:snapToGrid/>
        <w:spacing w:line="38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项目性质为</w:t>
      </w:r>
      <w:r>
        <w:rPr>
          <w:rFonts w:hint="eastAsia" w:ascii="仿宋" w:hAnsi="仿宋" w:eastAsia="仿宋"/>
          <w:sz w:val="32"/>
          <w:szCs w:val="32"/>
          <w:lang w:eastAsia="zh-CN"/>
        </w:rPr>
        <w:t>扩</w:t>
      </w:r>
      <w:r>
        <w:rPr>
          <w:rFonts w:hint="eastAsia" w:ascii="仿宋" w:hAnsi="仿宋" w:eastAsia="仿宋"/>
          <w:sz w:val="32"/>
          <w:szCs w:val="32"/>
        </w:rPr>
        <w:t>建</w:t>
      </w:r>
      <w:r>
        <w:rPr>
          <w:rFonts w:hint="eastAsia" w:ascii="仿宋" w:hAnsi="仿宋" w:eastAsia="仿宋"/>
          <w:sz w:val="32"/>
          <w:szCs w:val="32"/>
          <w:lang w:val="en-US" w:eastAsia="zh-CN"/>
        </w:rPr>
        <w:t>，</w:t>
      </w:r>
      <w:r>
        <w:rPr>
          <w:rFonts w:hint="eastAsia" w:ascii="仿宋" w:hAnsi="仿宋" w:eastAsia="仿宋"/>
          <w:sz w:val="32"/>
          <w:szCs w:val="32"/>
          <w:lang w:eastAsia="zh-CN"/>
        </w:rPr>
        <w:t>位于</w:t>
      </w:r>
      <w:r>
        <w:rPr>
          <w:rFonts w:hint="eastAsia" w:ascii="仿宋" w:hAnsi="仿宋" w:eastAsia="仿宋"/>
          <w:sz w:val="32"/>
          <w:szCs w:val="32"/>
          <w:lang w:val="en-US" w:eastAsia="zh-CN"/>
        </w:rPr>
        <w:t>广西壮族自治区柳州市柳南区双冲桥处基隆村，项目在站内扩建，不新增用地</w:t>
      </w:r>
      <w:r>
        <w:rPr>
          <w:rFonts w:hint="eastAsia" w:ascii="仿宋" w:hAnsi="仿宋" w:eastAsia="仿宋"/>
          <w:sz w:val="32"/>
          <w:szCs w:val="32"/>
          <w:highlight w:val="none"/>
        </w:rPr>
        <w:t>。</w:t>
      </w:r>
      <w:r>
        <w:rPr>
          <w:rFonts w:hint="eastAsia" w:ascii="仿宋" w:hAnsi="仿宋" w:eastAsia="仿宋"/>
          <w:sz w:val="32"/>
          <w:szCs w:val="32"/>
          <w:highlight w:val="none"/>
          <w:lang w:eastAsia="zh-CN"/>
        </w:rPr>
        <w:t>项目</w:t>
      </w:r>
      <w:r>
        <w:rPr>
          <w:rFonts w:hint="eastAsia" w:ascii="仿宋" w:hAnsi="仿宋" w:eastAsia="仿宋"/>
          <w:sz w:val="32"/>
          <w:szCs w:val="32"/>
        </w:rPr>
        <w:t>主要建设</w:t>
      </w:r>
      <w:r>
        <w:rPr>
          <w:rFonts w:hint="eastAsia" w:ascii="仿宋" w:hAnsi="仿宋" w:eastAsia="仿宋"/>
          <w:sz w:val="32"/>
          <w:szCs w:val="32"/>
          <w:lang w:eastAsia="zh-CN"/>
        </w:rPr>
        <w:t>规模和</w:t>
      </w:r>
      <w:r>
        <w:rPr>
          <w:rFonts w:hint="eastAsia" w:ascii="仿宋" w:hAnsi="仿宋" w:eastAsia="仿宋"/>
          <w:sz w:val="32"/>
          <w:szCs w:val="32"/>
        </w:rPr>
        <w:t>内容：</w:t>
      </w:r>
      <w:r>
        <w:rPr>
          <w:rFonts w:hint="eastAsia" w:ascii="仿宋" w:hAnsi="仿宋" w:eastAsia="仿宋"/>
          <w:sz w:val="32"/>
          <w:szCs w:val="32"/>
          <w:lang w:eastAsia="zh-CN"/>
        </w:rPr>
        <w:t>新增</w:t>
      </w:r>
      <w:r>
        <w:rPr>
          <w:rFonts w:hint="eastAsia" w:ascii="仿宋" w:hAnsi="仿宋" w:eastAsia="仿宋"/>
          <w:sz w:val="32"/>
          <w:szCs w:val="32"/>
          <w:lang w:val="en-US" w:eastAsia="zh-CN"/>
        </w:rPr>
        <w:t>主变压器1×50MVA，新增10千伏出线12回，新增电容器2组（6+4）Mvar。</w:t>
      </w:r>
    </w:p>
    <w:p w14:paraId="7EBFAE51">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本工程不涉及自然保护区、饮用水水</w:t>
      </w:r>
      <w:r>
        <w:rPr>
          <w:rFonts w:hint="eastAsia" w:ascii="仿宋" w:hAnsi="仿宋" w:eastAsia="仿宋"/>
          <w:sz w:val="32"/>
          <w:szCs w:val="32"/>
        </w:rPr>
        <w:t>源保护区及风景名胜区</w:t>
      </w:r>
      <w:r>
        <w:rPr>
          <w:rFonts w:hint="eastAsia" w:ascii="仿宋" w:hAnsi="仿宋" w:eastAsia="仿宋"/>
          <w:sz w:val="32"/>
          <w:szCs w:val="32"/>
          <w:lang w:eastAsia="zh-CN"/>
        </w:rPr>
        <w:t>、</w:t>
      </w:r>
      <w:r>
        <w:rPr>
          <w:rFonts w:hint="eastAsia" w:ascii="仿宋" w:hAnsi="仿宋" w:eastAsia="仿宋"/>
          <w:sz w:val="32"/>
          <w:szCs w:val="32"/>
          <w:lang w:val="en-US" w:eastAsia="zh-CN"/>
        </w:rPr>
        <w:t>基本农田</w:t>
      </w:r>
      <w:r>
        <w:rPr>
          <w:rFonts w:hint="eastAsia" w:ascii="仿宋" w:hAnsi="仿宋" w:eastAsia="仿宋"/>
          <w:sz w:val="32"/>
          <w:szCs w:val="32"/>
        </w:rPr>
        <w:t>等生态敏感区域。项目总投资</w:t>
      </w:r>
      <w:r>
        <w:rPr>
          <w:rFonts w:hint="eastAsia" w:ascii="仿宋" w:hAnsi="仿宋" w:eastAsia="仿宋"/>
          <w:color w:val="auto"/>
          <w:sz w:val="32"/>
          <w:szCs w:val="32"/>
          <w:lang w:val="en-US" w:eastAsia="zh-CN"/>
        </w:rPr>
        <w:t>1283</w:t>
      </w:r>
      <w:r>
        <w:rPr>
          <w:rFonts w:hint="eastAsia" w:ascii="仿宋" w:hAnsi="仿宋" w:eastAsia="仿宋"/>
          <w:color w:val="auto"/>
          <w:sz w:val="32"/>
          <w:szCs w:val="32"/>
        </w:rPr>
        <w:t>万元，其中环保投资</w:t>
      </w:r>
      <w:r>
        <w:rPr>
          <w:rFonts w:hint="eastAsia" w:ascii="仿宋" w:hAnsi="仿宋" w:eastAsia="仿宋"/>
          <w:color w:val="auto"/>
          <w:sz w:val="32"/>
          <w:szCs w:val="32"/>
          <w:lang w:val="en-US" w:eastAsia="zh-CN"/>
        </w:rPr>
        <w:t>37.5</w:t>
      </w:r>
      <w:r>
        <w:rPr>
          <w:rFonts w:hint="eastAsia" w:ascii="仿宋" w:hAnsi="仿宋" w:eastAsia="仿宋"/>
          <w:color w:val="auto"/>
          <w:sz w:val="32"/>
          <w:szCs w:val="32"/>
        </w:rPr>
        <w:t>万</w:t>
      </w:r>
      <w:r>
        <w:rPr>
          <w:rFonts w:hint="eastAsia" w:ascii="仿宋" w:hAnsi="仿宋" w:eastAsia="仿宋"/>
          <w:sz w:val="32"/>
          <w:szCs w:val="32"/>
        </w:rPr>
        <w:t>元。</w:t>
      </w:r>
    </w:p>
    <w:p w14:paraId="6884F17D">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color w:val="auto"/>
          <w:sz w:val="32"/>
          <w:szCs w:val="32"/>
        </w:rPr>
        <w:t>项目已获得我局《</w:t>
      </w:r>
      <w:r>
        <w:rPr>
          <w:rFonts w:hint="eastAsia" w:ascii="仿宋" w:hAnsi="仿宋" w:eastAsia="仿宋"/>
          <w:color w:val="auto"/>
          <w:sz w:val="32"/>
          <w:szCs w:val="32"/>
          <w:lang w:eastAsia="zh-CN"/>
        </w:rPr>
        <w:t>关于</w:t>
      </w:r>
      <w:r>
        <w:rPr>
          <w:rFonts w:hint="eastAsia" w:ascii="仿宋" w:hAnsi="仿宋" w:eastAsia="仿宋"/>
          <w:color w:val="auto"/>
          <w:sz w:val="32"/>
          <w:szCs w:val="32"/>
        </w:rPr>
        <w:t>110千伏双冲站#2主变扩建工程项目核准的批复》（柳审批投资核〔202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号）</w:t>
      </w:r>
      <w:r>
        <w:rPr>
          <w:rFonts w:hint="eastAsia" w:ascii="仿宋" w:hAnsi="仿宋" w:eastAsia="仿宋"/>
          <w:color w:val="auto"/>
          <w:sz w:val="32"/>
          <w:szCs w:val="32"/>
          <w:lang w:eastAsia="zh-CN"/>
        </w:rPr>
        <w:t>、《关于同意</w:t>
      </w:r>
      <w:r>
        <w:rPr>
          <w:rFonts w:hint="eastAsia" w:ascii="仿宋" w:hAnsi="仿宋" w:eastAsia="仿宋"/>
          <w:color w:val="auto"/>
          <w:sz w:val="32"/>
          <w:szCs w:val="32"/>
          <w:lang w:val="en-US" w:eastAsia="zh-CN"/>
        </w:rPr>
        <w:t>110千伏双冲站#2主变扩建工程项目核准文件有效延期的批复</w:t>
      </w:r>
      <w:r>
        <w:rPr>
          <w:rFonts w:hint="eastAsia" w:ascii="仿宋" w:hAnsi="仿宋" w:eastAsia="仿宋"/>
          <w:color w:val="auto"/>
          <w:sz w:val="32"/>
          <w:szCs w:val="32"/>
          <w:lang w:eastAsia="zh-CN"/>
        </w:rPr>
        <w:t>》（柳审批投资核〔202</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3号）</w:t>
      </w:r>
      <w:r>
        <w:rPr>
          <w:rFonts w:hint="eastAsia" w:ascii="仿宋" w:hAnsi="仿宋" w:eastAsia="仿宋"/>
          <w:color w:val="auto"/>
          <w:sz w:val="32"/>
          <w:szCs w:val="32"/>
        </w:rPr>
        <w:t>。从环境影响角度考虑，同意你公司按照《报告表》所列的建设项目的地点、性质、规模、采取的环境保护对策措施及下述要求进行项目建设。</w:t>
      </w:r>
    </w:p>
    <w:p w14:paraId="7B06AD5C">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二、项目须落实</w:t>
      </w:r>
      <w:r>
        <w:rPr>
          <w:rFonts w:hint="eastAsia" w:ascii="仿宋" w:hAnsi="仿宋" w:eastAsia="仿宋"/>
          <w:sz w:val="32"/>
          <w:szCs w:val="32"/>
          <w:lang w:eastAsia="zh-CN"/>
        </w:rPr>
        <w:t>《</w:t>
      </w:r>
      <w:r>
        <w:rPr>
          <w:rFonts w:hint="eastAsia" w:ascii="仿宋" w:hAnsi="仿宋" w:eastAsia="仿宋"/>
          <w:sz w:val="32"/>
          <w:szCs w:val="32"/>
        </w:rPr>
        <w:t>报告表</w:t>
      </w:r>
      <w:r>
        <w:rPr>
          <w:rFonts w:hint="eastAsia" w:ascii="仿宋" w:hAnsi="仿宋" w:eastAsia="仿宋"/>
          <w:sz w:val="32"/>
          <w:szCs w:val="32"/>
          <w:lang w:eastAsia="zh-CN"/>
        </w:rPr>
        <w:t>》</w:t>
      </w:r>
      <w:r>
        <w:rPr>
          <w:rFonts w:hint="eastAsia" w:ascii="仿宋" w:hAnsi="仿宋" w:eastAsia="仿宋"/>
          <w:sz w:val="32"/>
          <w:szCs w:val="32"/>
        </w:rPr>
        <w:t>提出的各项环保要求，重点抓好以下环保工作：</w:t>
      </w:r>
    </w:p>
    <w:p w14:paraId="0AF2B21C">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lang w:eastAsia="zh-CN"/>
        </w:rPr>
      </w:pPr>
      <w:r>
        <w:rPr>
          <w:rFonts w:hint="eastAsia" w:ascii="仿宋" w:hAnsi="仿宋" w:eastAsia="仿宋"/>
          <w:sz w:val="32"/>
          <w:szCs w:val="32"/>
        </w:rPr>
        <w:t>（一）加强施工期环境保护管理工作，落实各项生态保护和污染防治措施。做好施工期扬尘防治工作，采取定期洒水</w:t>
      </w:r>
      <w:r>
        <w:rPr>
          <w:rFonts w:hint="eastAsia" w:ascii="仿宋" w:hAnsi="仿宋" w:eastAsia="仿宋"/>
          <w:sz w:val="32"/>
          <w:szCs w:val="32"/>
          <w:lang w:eastAsia="zh-CN"/>
        </w:rPr>
        <w:t>降尘</w:t>
      </w:r>
      <w:r>
        <w:rPr>
          <w:rFonts w:hint="eastAsia" w:ascii="仿宋" w:hAnsi="仿宋" w:eastAsia="仿宋"/>
          <w:sz w:val="32"/>
          <w:szCs w:val="32"/>
        </w:rPr>
        <w:t>、围挡、物料加盖蓬布等措施以减轻污染，避免扬尘等影响村庄居民</w:t>
      </w:r>
      <w:r>
        <w:rPr>
          <w:rFonts w:hint="eastAsia" w:ascii="仿宋" w:hAnsi="仿宋" w:eastAsia="仿宋"/>
          <w:sz w:val="32"/>
          <w:szCs w:val="32"/>
          <w:lang w:eastAsia="zh-CN"/>
        </w:rPr>
        <w:t>。</w:t>
      </w:r>
      <w:r>
        <w:rPr>
          <w:rFonts w:hint="eastAsia" w:ascii="仿宋" w:hAnsi="仿宋" w:eastAsia="仿宋"/>
          <w:sz w:val="32"/>
          <w:szCs w:val="32"/>
        </w:rPr>
        <w:t>施工废水</w:t>
      </w:r>
      <w:r>
        <w:rPr>
          <w:rFonts w:hint="eastAsia" w:ascii="仿宋" w:hAnsi="仿宋" w:eastAsia="仿宋"/>
          <w:sz w:val="32"/>
          <w:szCs w:val="32"/>
          <w:lang w:eastAsia="zh-CN"/>
        </w:rPr>
        <w:t>经沉淀池沉淀处理后回用于洒水降尘，不外排，施工期生活污水依托站内化粪池处理后排入市政污水管网；合理安排项目临时占地，减少植被破坏，施工结束后及时清理临时占地，并进行植被恢复工作。</w:t>
      </w:r>
    </w:p>
    <w:p w14:paraId="0232C8C1">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highlight w:val="yellow"/>
        </w:rPr>
      </w:pPr>
      <w:r>
        <w:rPr>
          <w:rFonts w:hint="eastAsia" w:ascii="仿宋" w:hAnsi="仿宋" w:eastAsia="仿宋"/>
          <w:sz w:val="32"/>
          <w:szCs w:val="32"/>
        </w:rPr>
        <w:t>（二）加强施工期噪声污染防治工作</w:t>
      </w:r>
      <w:r>
        <w:rPr>
          <w:rFonts w:hint="eastAsia" w:ascii="仿宋" w:hAnsi="仿宋" w:eastAsia="仿宋"/>
          <w:sz w:val="32"/>
          <w:szCs w:val="32"/>
          <w:lang w:eastAsia="zh-CN"/>
        </w:rPr>
        <w:t>。工程施工应合理安排施工时间和规划施工场地，高噪声设备布置远离敏感点，并采取减震、隔声、消声等措施，确保施工场地噪声达到GB12523-2011《建筑施工场界环境噪声排放标准》要求。</w:t>
      </w:r>
    </w:p>
    <w:p w14:paraId="1A29BCCB">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（三）</w:t>
      </w:r>
      <w:r>
        <w:rPr>
          <w:rFonts w:hint="eastAsia" w:ascii="仿宋" w:hAnsi="仿宋" w:eastAsia="仿宋"/>
          <w:sz w:val="32"/>
          <w:szCs w:val="32"/>
          <w:lang w:eastAsia="zh-CN"/>
        </w:rPr>
        <w:t>运营期变电站内的生活污水依托站内化粪池处理后排入市政污水管网。</w:t>
      </w:r>
    </w:p>
    <w:p w14:paraId="3CBEBE3F">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）营运期合理布局噪声源强较大的设备，选择低噪设备，对高噪设备采取减震、隔声、消声等措施，确保变电站厂界噪声符合GB12348－2008《工业企业厂界环境噪声排放标准》</w:t>
      </w:r>
      <w:r>
        <w:rPr>
          <w:rFonts w:hint="eastAsia" w:ascii="仿宋" w:hAnsi="仿宋" w:eastAsia="仿宋"/>
          <w:sz w:val="32"/>
          <w:szCs w:val="32"/>
          <w:lang w:val="en-US" w:eastAsia="zh-CN"/>
        </w:rPr>
        <w:t>2、4a类</w:t>
      </w:r>
      <w:r>
        <w:rPr>
          <w:rFonts w:hint="eastAsia" w:ascii="仿宋" w:hAnsi="仿宋" w:eastAsia="仿宋"/>
          <w:sz w:val="32"/>
          <w:szCs w:val="32"/>
        </w:rPr>
        <w:t>标准</w:t>
      </w:r>
      <w:r>
        <w:rPr>
          <w:rFonts w:hint="eastAsia" w:ascii="仿宋" w:hAnsi="仿宋" w:eastAsia="仿宋"/>
          <w:sz w:val="32"/>
          <w:szCs w:val="32"/>
          <w:lang w:eastAsia="zh-CN"/>
        </w:rPr>
        <w:t>。</w:t>
      </w:r>
    </w:p>
    <w:p w14:paraId="7A38919B">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eastAsia="zh-CN"/>
        </w:rPr>
        <w:t>做好运营期固体废物污染防治措施。变电站生活垃圾在站内收集后，由环卫部门清运处理；本项目产生的废铅蓄电池、废变压器油均为危险废物，应严格按照国家危险废物的有关法律法规的要求，交由有危险废物处置资质的单位当天当场清运和处理，不在站内暂存；变压器周边设置事故油池和相应的排油管道，防止变压器油外漏；做好危险废物处置转移联单的台账记录。</w:t>
      </w:r>
    </w:p>
    <w:p w14:paraId="0D513147">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color w:val="auto"/>
          <w:sz w:val="32"/>
          <w:szCs w:val="32"/>
        </w:rPr>
        <w:t>（</w:t>
      </w:r>
      <w:r>
        <w:rPr>
          <w:rFonts w:hint="eastAsia" w:ascii="仿宋" w:hAnsi="仿宋" w:eastAsia="仿宋"/>
          <w:color w:val="auto"/>
          <w:sz w:val="32"/>
          <w:szCs w:val="32"/>
          <w:lang w:eastAsia="zh-CN"/>
        </w:rPr>
        <w:t>六</w:t>
      </w:r>
      <w:r>
        <w:rPr>
          <w:rFonts w:hint="eastAsia" w:ascii="仿宋" w:hAnsi="仿宋" w:eastAsia="仿宋"/>
          <w:color w:val="auto"/>
          <w:sz w:val="32"/>
          <w:szCs w:val="32"/>
        </w:rPr>
        <w:t>）</w:t>
      </w:r>
      <w:r>
        <w:rPr>
          <w:rFonts w:ascii="仿宋" w:hAnsi="仿宋" w:eastAsia="仿宋"/>
          <w:color w:val="auto"/>
          <w:sz w:val="32"/>
          <w:szCs w:val="32"/>
        </w:rPr>
        <w:t>严格落实防治工频电场、工频磁场污染等</w:t>
      </w:r>
      <w:r>
        <w:rPr>
          <w:rFonts w:hint="eastAsia" w:ascii="仿宋" w:hAnsi="仿宋" w:eastAsia="仿宋"/>
          <w:color w:val="auto"/>
          <w:sz w:val="32"/>
          <w:szCs w:val="32"/>
        </w:rPr>
        <w:t>环保</w:t>
      </w:r>
      <w:r>
        <w:rPr>
          <w:rFonts w:ascii="仿宋" w:hAnsi="仿宋" w:eastAsia="仿宋"/>
          <w:color w:val="auto"/>
          <w:sz w:val="32"/>
          <w:szCs w:val="32"/>
        </w:rPr>
        <w:t>措施，</w:t>
      </w:r>
      <w:r>
        <w:rPr>
          <w:rFonts w:hint="eastAsia" w:ascii="仿宋" w:hAnsi="仿宋" w:eastAsia="仿宋"/>
          <w:color w:val="auto"/>
          <w:sz w:val="32"/>
          <w:szCs w:val="32"/>
        </w:rPr>
        <w:t>确保变电站</w:t>
      </w:r>
      <w:r>
        <w:rPr>
          <w:rFonts w:hint="eastAsia" w:ascii="仿宋" w:hAnsi="仿宋" w:eastAsia="仿宋"/>
          <w:color w:val="auto"/>
          <w:sz w:val="32"/>
          <w:szCs w:val="32"/>
          <w:lang w:val="en-US" w:eastAsia="zh-CN"/>
        </w:rPr>
        <w:t>四</w:t>
      </w:r>
      <w:r>
        <w:rPr>
          <w:rFonts w:ascii="仿宋" w:hAnsi="仿宋" w:eastAsia="仿宋"/>
          <w:color w:val="auto"/>
          <w:sz w:val="32"/>
          <w:szCs w:val="32"/>
        </w:rPr>
        <w:t>周</w:t>
      </w:r>
      <w:r>
        <w:rPr>
          <w:rFonts w:hint="eastAsia" w:ascii="仿宋" w:hAnsi="仿宋" w:eastAsia="仿宋"/>
          <w:color w:val="auto"/>
          <w:sz w:val="32"/>
          <w:szCs w:val="32"/>
          <w:lang w:val="en-US" w:eastAsia="zh-CN"/>
        </w:rPr>
        <w:t>及周边的电磁环境敏感目标</w:t>
      </w:r>
      <w:r>
        <w:rPr>
          <w:rFonts w:ascii="仿宋" w:hAnsi="仿宋" w:eastAsia="仿宋"/>
          <w:color w:val="auto"/>
          <w:sz w:val="32"/>
          <w:szCs w:val="32"/>
        </w:rPr>
        <w:t>工频电场强度、工频磁感应强度符合</w:t>
      </w:r>
      <w:r>
        <w:rPr>
          <w:rFonts w:hint="eastAsia" w:ascii="仿宋" w:hAnsi="仿宋" w:eastAsia="仿宋"/>
          <w:color w:val="auto"/>
          <w:sz w:val="32"/>
          <w:szCs w:val="32"/>
        </w:rPr>
        <w:t>GB8702-2014</w:t>
      </w:r>
      <w:r>
        <w:rPr>
          <w:rFonts w:ascii="仿宋" w:hAnsi="仿宋" w:eastAsia="仿宋"/>
          <w:color w:val="auto"/>
          <w:sz w:val="32"/>
          <w:szCs w:val="32"/>
        </w:rPr>
        <w:t>《</w:t>
      </w:r>
      <w:r>
        <w:rPr>
          <w:rFonts w:hint="eastAsia" w:ascii="仿宋" w:hAnsi="仿宋" w:eastAsia="仿宋"/>
          <w:color w:val="auto"/>
          <w:sz w:val="32"/>
          <w:szCs w:val="32"/>
        </w:rPr>
        <w:t>电磁环境控制限值</w:t>
      </w:r>
      <w:r>
        <w:rPr>
          <w:rFonts w:ascii="仿宋" w:hAnsi="仿宋" w:eastAsia="仿宋"/>
          <w:color w:val="auto"/>
          <w:sz w:val="32"/>
          <w:szCs w:val="32"/>
        </w:rPr>
        <w:t>》</w:t>
      </w:r>
      <w:r>
        <w:rPr>
          <w:rFonts w:hint="eastAsia" w:ascii="仿宋" w:hAnsi="仿宋" w:eastAsia="仿宋"/>
          <w:color w:val="auto"/>
          <w:sz w:val="32"/>
          <w:szCs w:val="32"/>
        </w:rPr>
        <w:t>中规定的</w:t>
      </w:r>
      <w:r>
        <w:rPr>
          <w:rFonts w:ascii="仿宋" w:hAnsi="仿宋" w:eastAsia="仿宋"/>
          <w:color w:val="auto"/>
          <w:sz w:val="32"/>
          <w:szCs w:val="32"/>
        </w:rPr>
        <w:t>4</w:t>
      </w:r>
      <w:r>
        <w:rPr>
          <w:rFonts w:hint="eastAsia" w:ascii="仿宋" w:hAnsi="仿宋" w:eastAsia="仿宋"/>
          <w:color w:val="auto"/>
          <w:sz w:val="32"/>
          <w:szCs w:val="32"/>
        </w:rPr>
        <w:t>000V</w:t>
      </w:r>
      <w:r>
        <w:rPr>
          <w:rFonts w:ascii="仿宋" w:hAnsi="仿宋" w:eastAsia="仿宋"/>
          <w:color w:val="auto"/>
          <w:sz w:val="32"/>
          <w:szCs w:val="32"/>
        </w:rPr>
        <w:t>/</w:t>
      </w:r>
      <w:r>
        <w:rPr>
          <w:rFonts w:hint="eastAsia" w:ascii="仿宋" w:hAnsi="仿宋" w:eastAsia="仿宋"/>
          <w:color w:val="auto"/>
          <w:sz w:val="32"/>
          <w:szCs w:val="32"/>
        </w:rPr>
        <w:t>m</w:t>
      </w:r>
      <w:r>
        <w:rPr>
          <w:rFonts w:ascii="仿宋" w:hAnsi="仿宋" w:eastAsia="仿宋"/>
          <w:color w:val="auto"/>
          <w:sz w:val="32"/>
          <w:szCs w:val="32"/>
        </w:rPr>
        <w:t>和</w:t>
      </w:r>
      <w:r>
        <w:rPr>
          <w:rFonts w:hint="eastAsia" w:ascii="仿宋" w:hAnsi="仿宋" w:eastAsia="仿宋"/>
          <w:color w:val="auto"/>
          <w:sz w:val="32"/>
          <w:szCs w:val="32"/>
        </w:rPr>
        <w:t>100μ</w:t>
      </w:r>
      <w:r>
        <w:rPr>
          <w:rFonts w:ascii="仿宋" w:hAnsi="仿宋" w:eastAsia="仿宋"/>
          <w:color w:val="auto"/>
          <w:sz w:val="32"/>
          <w:szCs w:val="32"/>
        </w:rPr>
        <w:t>T的标准限</w:t>
      </w:r>
      <w:r>
        <w:rPr>
          <w:rFonts w:ascii="仿宋" w:hAnsi="仿宋" w:eastAsia="仿宋"/>
          <w:sz w:val="32"/>
          <w:szCs w:val="32"/>
        </w:rPr>
        <w:t>值要求。</w:t>
      </w:r>
    </w:p>
    <w:p w14:paraId="51DBE1D8">
      <w:pPr>
        <w:keepNext w:val="0"/>
        <w:keepLines w:val="0"/>
        <w:pageBreakBefore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七</w:t>
      </w:r>
      <w:r>
        <w:rPr>
          <w:rFonts w:hint="eastAsia" w:ascii="仿宋" w:hAnsi="仿宋" w:eastAsia="仿宋"/>
          <w:sz w:val="32"/>
          <w:szCs w:val="32"/>
        </w:rPr>
        <w:t>）加强与项目周边公众的沟通，进一步做好电磁辐射的相关解释和宣传工作。</w:t>
      </w:r>
    </w:p>
    <w:p w14:paraId="0C43D8A2">
      <w:pPr>
        <w:keepNext w:val="0"/>
        <w:keepLines w:val="0"/>
        <w:pageBreakBefore w:val="0"/>
        <w:widowControl/>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八</w:t>
      </w:r>
      <w:r>
        <w:rPr>
          <w:rFonts w:hint="eastAsia" w:ascii="仿宋" w:hAnsi="仿宋" w:eastAsia="仿宋"/>
          <w:sz w:val="32"/>
          <w:szCs w:val="32"/>
        </w:rPr>
        <w:t>）按照《关于印发〈企业事业单位突发环境事件应急预案备案管理办法（试行）〉的通知》（环发〔2015〕4 号）等相关要求，制订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175776D5">
      <w:pPr>
        <w:keepNext w:val="0"/>
        <w:keepLines w:val="0"/>
        <w:pageBreakBefore w:val="0"/>
        <w:widowControl/>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（九）加强环境管理，落实环境保护规章制度，确保环保设施的正常运转以及各项污染物稳定达标排放。</w:t>
      </w:r>
    </w:p>
    <w:p w14:paraId="5E9F48FB">
      <w:pPr>
        <w:keepNext w:val="0"/>
        <w:keepLines w:val="0"/>
        <w:pageBreakBefore w:val="0"/>
        <w:widowControl/>
        <w:kinsoku/>
        <w:wordWrap/>
        <w:overflowPunct/>
        <w:topLinePunct w:val="0"/>
        <w:autoSpaceDE/>
        <w:autoSpaceDN/>
        <w:bidi w:val="0"/>
        <w:adjustRightInd/>
        <w:snapToGrid/>
        <w:spacing w:line="380" w:lineRule="exact"/>
        <w:ind w:firstLine="640" w:firstLineChars="200"/>
        <w:textAlignment w:val="auto"/>
        <w:rPr>
          <w:rFonts w:hint="eastAsia"/>
          <w:lang w:eastAsia="zh-CN"/>
        </w:rPr>
      </w:pPr>
      <w:r>
        <w:rPr>
          <w:rFonts w:hint="eastAsia" w:ascii="仿宋" w:hAnsi="仿宋" w:eastAsia="仿宋"/>
          <w:sz w:val="32"/>
          <w:szCs w:val="32"/>
          <w:lang w:eastAsia="zh-CN"/>
        </w:rPr>
        <w:t>（十）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0D54D8D3">
      <w:pPr>
        <w:keepNext w:val="0"/>
        <w:keepLines w:val="0"/>
        <w:pageBreakBefore w:val="0"/>
        <w:widowControl/>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47B688D6">
      <w:pPr>
        <w:keepNext w:val="0"/>
        <w:keepLines w:val="0"/>
        <w:pageBreakBefore w:val="0"/>
        <w:widowControl/>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3A71E3F0">
      <w:pPr>
        <w:keepNext w:val="0"/>
        <w:keepLines w:val="0"/>
        <w:pageBreakBefore w:val="0"/>
        <w:widowControl w:val="0"/>
        <w:tabs>
          <w:tab w:val="left" w:pos="4905"/>
        </w:tabs>
        <w:kinsoku/>
        <w:wordWrap/>
        <w:overflowPunct/>
        <w:topLinePunct w:val="0"/>
        <w:autoSpaceDE/>
        <w:autoSpaceDN/>
        <w:bidi w:val="0"/>
        <w:adjustRightInd/>
        <w:snapToGrid/>
        <w:spacing w:line="380" w:lineRule="exact"/>
        <w:ind w:firstLine="640" w:firstLineChars="200"/>
        <w:jc w:val="left"/>
        <w:textAlignment w:val="auto"/>
      </w:pPr>
      <w:r>
        <w:rPr>
          <w:rFonts w:hint="eastAsia" w:ascii="仿宋" w:hAnsi="仿宋" w:eastAsia="仿宋"/>
          <w:sz w:val="32"/>
          <w:szCs w:val="32"/>
        </w:rPr>
        <w:t>五、建设单位在接到本批复5日内，将批复文件及批准后的《报告表》（报批稿）送达柳州市</w:t>
      </w:r>
      <w:r>
        <w:rPr>
          <w:rFonts w:hint="eastAsia" w:ascii="仿宋" w:hAnsi="仿宋" w:eastAsia="仿宋"/>
          <w:sz w:val="32"/>
          <w:szCs w:val="32"/>
          <w:lang w:eastAsia="zh-CN"/>
        </w:rPr>
        <w:t>柳南</w:t>
      </w:r>
      <w:r>
        <w:rPr>
          <w:rFonts w:hint="eastAsia" w:ascii="仿宋" w:hAnsi="仿宋" w:eastAsia="仿宋"/>
          <w:sz w:val="32"/>
          <w:szCs w:val="32"/>
        </w:rPr>
        <w:t>生态环境局,并按规定接受辖区环境保护部门的监管检查。请柳州市</w:t>
      </w:r>
      <w:r>
        <w:rPr>
          <w:rFonts w:hint="eastAsia" w:ascii="仿宋" w:hAnsi="仿宋" w:eastAsia="仿宋"/>
          <w:sz w:val="32"/>
          <w:szCs w:val="32"/>
          <w:lang w:val="en-US" w:eastAsia="zh-CN"/>
        </w:rPr>
        <w:t>柳南</w:t>
      </w:r>
      <w:r>
        <w:rPr>
          <w:rFonts w:hint="eastAsia" w:ascii="仿宋" w:hAnsi="仿宋" w:eastAsia="仿宋"/>
          <w:sz w:val="32"/>
          <w:szCs w:val="32"/>
        </w:rPr>
        <w:t>生态环境局按规定对项目执行环保“三同时”情况进行日常监督管理，发现环境问题及时上报柳州市生态环境局。</w:t>
      </w:r>
    </w:p>
    <w:p w14:paraId="237C33A8">
      <w:pPr>
        <w:keepNext w:val="0"/>
        <w:keepLines w:val="0"/>
        <w:pageBreakBefore w:val="0"/>
        <w:tabs>
          <w:tab w:val="left" w:pos="4905"/>
        </w:tabs>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lang w:val="en-US" w:eastAsia="zh-CN"/>
        </w:rPr>
      </w:pPr>
    </w:p>
    <w:p w14:paraId="1280A330">
      <w:pPr>
        <w:keepNext w:val="0"/>
        <w:keepLines w:val="0"/>
        <w:pageBreakBefore w:val="0"/>
        <w:tabs>
          <w:tab w:val="left" w:pos="4905"/>
        </w:tabs>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lang w:val="en-US" w:eastAsia="zh-CN"/>
        </w:rPr>
      </w:pPr>
    </w:p>
    <w:p w14:paraId="74ABC328">
      <w:pPr>
        <w:keepNext w:val="0"/>
        <w:keepLines w:val="0"/>
        <w:pageBreakBefore w:val="0"/>
        <w:tabs>
          <w:tab w:val="left" w:pos="4905"/>
        </w:tabs>
        <w:kinsoku/>
        <w:wordWrap/>
        <w:overflowPunct/>
        <w:topLinePunct w:val="0"/>
        <w:autoSpaceDE/>
        <w:autoSpaceDN/>
        <w:bidi w:val="0"/>
        <w:adjustRightInd/>
        <w:snapToGrid/>
        <w:spacing w:line="460" w:lineRule="exact"/>
        <w:ind w:firstLine="5120" w:firstLineChars="1600"/>
        <w:textAlignment w:val="auto"/>
        <w:rPr>
          <w:rFonts w:hint="eastAsia" w:ascii="仿宋" w:hAnsi="仿宋" w:eastAsia="仿宋"/>
          <w:color w:val="auto"/>
          <w:sz w:val="32"/>
          <w:szCs w:val="32"/>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日</w:t>
      </w:r>
    </w:p>
    <w:p w14:paraId="0273E753">
      <w:pPr>
        <w:keepNext w:val="0"/>
        <w:keepLines w:val="0"/>
        <w:pageBreakBefore w:val="0"/>
        <w:tabs>
          <w:tab w:val="left" w:pos="4905"/>
        </w:tabs>
        <w:kinsoku/>
        <w:wordWrap/>
        <w:overflowPunct/>
        <w:topLinePunct w:val="0"/>
        <w:autoSpaceDE/>
        <w:autoSpaceDN/>
        <w:bidi w:val="0"/>
        <w:adjustRightInd/>
        <w:snapToGrid/>
        <w:spacing w:line="460" w:lineRule="exact"/>
        <w:ind w:firstLine="5120" w:firstLineChars="1600"/>
        <w:textAlignment w:val="auto"/>
        <w:rPr>
          <w:rFonts w:hint="eastAsia" w:ascii="仿宋" w:hAnsi="仿宋" w:eastAsia="仿宋"/>
          <w:color w:val="auto"/>
          <w:sz w:val="32"/>
          <w:szCs w:val="32"/>
        </w:rPr>
      </w:pPr>
    </w:p>
    <w:p w14:paraId="5B6380A3">
      <w:pPr>
        <w:tabs>
          <w:tab w:val="left" w:pos="4905"/>
        </w:tabs>
        <w:spacing w:line="500" w:lineRule="exact"/>
        <w:ind w:firstLine="640" w:firstLineChars="200"/>
        <w:rPr>
          <w:rFonts w:ascii="仿宋" w:hAnsi="仿宋" w:eastAsia="仿宋"/>
          <w:sz w:val="32"/>
          <w:szCs w:val="32"/>
        </w:rPr>
      </w:pPr>
    </w:p>
    <w:p w14:paraId="2135912A">
      <w:pPr>
        <w:spacing w:line="420" w:lineRule="exact"/>
        <w:ind w:firstLine="320" w:firstLineChars="100"/>
        <w:rPr>
          <w:rFonts w:hint="eastAsia" w:ascii="仿宋" w:hAnsi="仿宋" w:eastAsia="仿宋"/>
          <w:color w:val="auto"/>
          <w:sz w:val="32"/>
          <w:szCs w:val="32"/>
          <w:lang w:val="en-US" w:eastAsia="zh-CN"/>
        </w:rPr>
      </w:pPr>
    </w:p>
    <w:p w14:paraId="65B62BC9">
      <w:pPr>
        <w:spacing w:line="420" w:lineRule="exact"/>
        <w:ind w:firstLine="320" w:firstLineChars="100"/>
        <w:rPr>
          <w:rFonts w:hint="eastAsia" w:ascii="仿宋" w:hAnsi="仿宋" w:eastAsia="仿宋"/>
          <w:color w:val="auto"/>
          <w:sz w:val="32"/>
          <w:szCs w:val="32"/>
          <w:lang w:val="en-US" w:eastAsia="zh-CN"/>
        </w:rPr>
      </w:pPr>
    </w:p>
    <w:p w14:paraId="386D6D33">
      <w:pPr>
        <w:spacing w:line="420" w:lineRule="exact"/>
        <w:ind w:firstLine="320" w:firstLineChars="100"/>
        <w:rPr>
          <w:rFonts w:hint="eastAsia" w:ascii="仿宋" w:hAnsi="仿宋" w:eastAsia="仿宋"/>
          <w:color w:val="auto"/>
          <w:sz w:val="32"/>
          <w:szCs w:val="32"/>
          <w:lang w:val="en-US" w:eastAsia="zh-CN"/>
        </w:rPr>
      </w:pPr>
    </w:p>
    <w:p w14:paraId="3A202859">
      <w:pPr>
        <w:spacing w:line="420" w:lineRule="exact"/>
        <w:ind w:firstLine="640" w:firstLineChars="200"/>
        <w:rPr>
          <w:rFonts w:hint="eastAsia" w:ascii="仿宋" w:hAnsi="仿宋" w:eastAsia="仿宋"/>
          <w:color w:val="auto"/>
          <w:sz w:val="32"/>
          <w:szCs w:val="32"/>
        </w:rPr>
      </w:pPr>
      <w:bookmarkStart w:id="0" w:name="_GoBack"/>
      <w:bookmarkEnd w:id="0"/>
      <w:r>
        <w:rPr>
          <w:rFonts w:hint="eastAsia" w:ascii="仿宋" w:hAnsi="仿宋" w:eastAsia="仿宋"/>
          <w:color w:val="auto"/>
          <w:sz w:val="32"/>
          <w:szCs w:val="32"/>
          <w:lang w:val="en-US" w:eastAsia="zh-CN"/>
        </w:rPr>
        <w:t>（此件</w:t>
      </w:r>
      <w:r>
        <w:rPr>
          <w:rFonts w:hint="eastAsia" w:ascii="仿宋" w:hAnsi="仿宋" w:eastAsia="仿宋"/>
          <w:color w:val="auto"/>
          <w:sz w:val="32"/>
          <w:szCs w:val="32"/>
        </w:rPr>
        <w:t>公开</w:t>
      </w:r>
      <w:r>
        <w:rPr>
          <w:rFonts w:hint="eastAsia" w:ascii="仿宋" w:hAnsi="仿宋" w:eastAsia="仿宋"/>
          <w:color w:val="auto"/>
          <w:sz w:val="32"/>
          <w:szCs w:val="32"/>
          <w:lang w:val="en-US" w:eastAsia="zh-CN"/>
        </w:rPr>
        <w:t>发布</w:t>
      </w:r>
      <w:r>
        <w:rPr>
          <w:rFonts w:hint="eastAsia" w:ascii="仿宋" w:hAnsi="仿宋" w:eastAsia="仿宋"/>
          <w:color w:val="auto"/>
          <w:sz w:val="32"/>
          <w:szCs w:val="32"/>
        </w:rPr>
        <w:t>）</w:t>
      </w:r>
    </w:p>
    <w:p w14:paraId="1FD37343">
      <w:pPr>
        <w:spacing w:line="500" w:lineRule="exact"/>
        <w:rPr>
          <w:rFonts w:hint="default" w:ascii="黑体" w:eastAsia="仿宋"/>
          <w:color w:val="0000FF"/>
          <w:sz w:val="30"/>
          <w:highlight w:val="none"/>
          <w:u w:val="single"/>
          <w:lang w:val="en-US" w:eastAsia="zh-CN"/>
        </w:rPr>
      </w:pPr>
      <w:r>
        <w:rPr>
          <w:rFonts w:hint="eastAsia" w:ascii="仿宋" w:hAnsi="仿宋" w:eastAsia="仿宋"/>
          <w:bCs/>
          <w:sz w:val="28"/>
          <w:szCs w:val="28"/>
          <w:u w:val="single"/>
        </w:rPr>
        <w:t>投资项目在线审批监管平台项目代码：</w:t>
      </w:r>
      <w:r>
        <w:rPr>
          <w:rFonts w:hint="eastAsia" w:ascii="仿宋" w:hAnsi="仿宋" w:eastAsia="仿宋"/>
          <w:bCs/>
          <w:strike w:val="0"/>
          <w:dstrike w:val="0"/>
          <w:color w:val="auto"/>
          <w:sz w:val="28"/>
          <w:szCs w:val="28"/>
          <w:highlight w:val="none"/>
          <w:u w:val="single"/>
          <w:lang w:val="en-US" w:eastAsia="zh-CN"/>
        </w:rPr>
        <w:t>2301-450200-89-01-294024</w:t>
      </w:r>
    </w:p>
    <w:p w14:paraId="2247E39D">
      <w:pPr>
        <w:spacing w:line="500" w:lineRule="exact"/>
        <w:rPr>
          <w:rFonts w:ascii="仿宋" w:hAnsi="仿宋" w:eastAsia="仿宋"/>
          <w:sz w:val="30"/>
          <w:u w:val="single"/>
        </w:rPr>
      </w:pPr>
      <w:r>
        <w:rPr>
          <w:rFonts w:hint="eastAsia" w:ascii="仿宋" w:hAnsi="仿宋" w:eastAsia="仿宋"/>
          <w:sz w:val="32"/>
          <w:szCs w:val="32"/>
          <w:u w:val="single"/>
        </w:rPr>
        <w:t>抄送:</w:t>
      </w:r>
      <w:r>
        <w:rPr>
          <w:rFonts w:hint="eastAsia" w:ascii="仿宋" w:hAnsi="仿宋" w:eastAsia="仿宋"/>
          <w:u w:val="single"/>
        </w:rPr>
        <w:t xml:space="preserve"> </w:t>
      </w:r>
      <w:r>
        <w:rPr>
          <w:rFonts w:hint="eastAsia" w:ascii="仿宋" w:hAnsi="仿宋" w:eastAsia="仿宋"/>
          <w:sz w:val="32"/>
          <w:szCs w:val="32"/>
          <w:u w:val="single"/>
        </w:rPr>
        <w:t xml:space="preserve">柳州市生态环境局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20D9E4D7">
      <w:pPr>
        <w:spacing w:line="500" w:lineRule="exact"/>
        <w:ind w:left="5440" w:hanging="5440" w:hangingChars="1700"/>
        <w:rPr>
          <w:highlight w:val="none"/>
        </w:rPr>
      </w:pPr>
      <w:r>
        <w:rPr>
          <w:rFonts w:hint="eastAsia" w:ascii="仿宋" w:hAnsi="仿宋" w:eastAsia="仿宋"/>
          <w:sz w:val="32"/>
          <w:szCs w:val="32"/>
        </w:rPr>
        <w:t xml:space="preserve">柳州市行政审批局               </w:t>
      </w:r>
      <w:r>
        <w:rPr>
          <w:rFonts w:hint="eastAsia" w:ascii="仿宋" w:hAnsi="仿宋" w:eastAsia="仿宋"/>
          <w:sz w:val="32"/>
          <w:szCs w:val="32"/>
          <w:lang w:val="en-US" w:eastAsia="zh-CN"/>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日印</w:t>
      </w:r>
      <w:r>
        <w:rPr>
          <w:rFonts w:hint="eastAsia" w:ascii="仿宋" w:hAnsi="仿宋" w:eastAsia="仿宋"/>
          <w:sz w:val="32"/>
          <w:szCs w:val="32"/>
          <w:highlight w:val="none"/>
        </w:rPr>
        <w:t>发</w:t>
      </w:r>
    </w:p>
    <w:sectPr>
      <w:headerReference r:id="rId3" w:type="default"/>
      <w:footerReference r:id="rId4" w:type="default"/>
      <w:footerReference r:id="rId5" w:type="even"/>
      <w:pgSz w:w="11906" w:h="16838"/>
      <w:pgMar w:top="1440" w:right="1633"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8831">
    <w:pPr>
      <w:pStyle w:val="3"/>
      <w:jc w:val="center"/>
    </w:pPr>
    <w:r>
      <w:fldChar w:fldCharType="begin"/>
    </w:r>
    <w:r>
      <w:instrText xml:space="preserve"> PAGE   \* MERGEFORMAT </w:instrText>
    </w:r>
    <w:r>
      <w:fldChar w:fldCharType="separate"/>
    </w:r>
    <w:r>
      <w:rPr>
        <w:lang w:val="zh-CN"/>
      </w:rPr>
      <w:t>3</w:t>
    </w:r>
    <w:r>
      <w:rPr>
        <w:lang w:val="zh-CN"/>
      </w:rPr>
      <w:fldChar w:fldCharType="end"/>
    </w:r>
  </w:p>
  <w:p w14:paraId="4A0956C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BDFA">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4A319A7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2B17">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37976"/>
    <w:multiLevelType w:val="singleLevel"/>
    <w:tmpl w:val="483379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OGFmZjczYjI5ZTg3OGY1MzA1ODI0NDc3ZmM0ODUifQ=="/>
  </w:docVars>
  <w:rsids>
    <w:rsidRoot w:val="001115C6"/>
    <w:rsid w:val="00002A33"/>
    <w:rsid w:val="00002DB3"/>
    <w:rsid w:val="00007473"/>
    <w:rsid w:val="000137C8"/>
    <w:rsid w:val="0002263A"/>
    <w:rsid w:val="000265BE"/>
    <w:rsid w:val="000346DD"/>
    <w:rsid w:val="00035084"/>
    <w:rsid w:val="00037662"/>
    <w:rsid w:val="000417E0"/>
    <w:rsid w:val="000442A6"/>
    <w:rsid w:val="00044BF4"/>
    <w:rsid w:val="00046BBE"/>
    <w:rsid w:val="00050355"/>
    <w:rsid w:val="00051568"/>
    <w:rsid w:val="00057910"/>
    <w:rsid w:val="0006394D"/>
    <w:rsid w:val="000646BE"/>
    <w:rsid w:val="00071B0E"/>
    <w:rsid w:val="000838DF"/>
    <w:rsid w:val="0008742C"/>
    <w:rsid w:val="00087ADD"/>
    <w:rsid w:val="00090F88"/>
    <w:rsid w:val="000919BC"/>
    <w:rsid w:val="00093339"/>
    <w:rsid w:val="000939F0"/>
    <w:rsid w:val="00094D35"/>
    <w:rsid w:val="00095433"/>
    <w:rsid w:val="00095F22"/>
    <w:rsid w:val="000A2136"/>
    <w:rsid w:val="000A395F"/>
    <w:rsid w:val="000A7066"/>
    <w:rsid w:val="000B4C05"/>
    <w:rsid w:val="000C0B5E"/>
    <w:rsid w:val="000C3445"/>
    <w:rsid w:val="000C4333"/>
    <w:rsid w:val="000C6398"/>
    <w:rsid w:val="000C66F9"/>
    <w:rsid w:val="000D1CFB"/>
    <w:rsid w:val="000D580C"/>
    <w:rsid w:val="000D616A"/>
    <w:rsid w:val="000E0183"/>
    <w:rsid w:val="000E02F2"/>
    <w:rsid w:val="000E5849"/>
    <w:rsid w:val="000E7430"/>
    <w:rsid w:val="000F0B87"/>
    <w:rsid w:val="000F137C"/>
    <w:rsid w:val="000F1F05"/>
    <w:rsid w:val="000F25A4"/>
    <w:rsid w:val="00110DF5"/>
    <w:rsid w:val="001115C6"/>
    <w:rsid w:val="00111801"/>
    <w:rsid w:val="00113A98"/>
    <w:rsid w:val="00116E10"/>
    <w:rsid w:val="00122739"/>
    <w:rsid w:val="0012601F"/>
    <w:rsid w:val="00127CF8"/>
    <w:rsid w:val="00131585"/>
    <w:rsid w:val="00141D5A"/>
    <w:rsid w:val="00142C7F"/>
    <w:rsid w:val="001443DF"/>
    <w:rsid w:val="00146590"/>
    <w:rsid w:val="00152C21"/>
    <w:rsid w:val="00153535"/>
    <w:rsid w:val="00153D8C"/>
    <w:rsid w:val="00155C82"/>
    <w:rsid w:val="00164D90"/>
    <w:rsid w:val="00165BA6"/>
    <w:rsid w:val="00170EAC"/>
    <w:rsid w:val="00171E90"/>
    <w:rsid w:val="001754BB"/>
    <w:rsid w:val="00181EFE"/>
    <w:rsid w:val="00183EF3"/>
    <w:rsid w:val="001865E1"/>
    <w:rsid w:val="00190D38"/>
    <w:rsid w:val="00193D99"/>
    <w:rsid w:val="001A31F6"/>
    <w:rsid w:val="001A40E3"/>
    <w:rsid w:val="001A53A2"/>
    <w:rsid w:val="001B107E"/>
    <w:rsid w:val="001B1AB7"/>
    <w:rsid w:val="001B6B64"/>
    <w:rsid w:val="001C11C1"/>
    <w:rsid w:val="001C15AB"/>
    <w:rsid w:val="001C1924"/>
    <w:rsid w:val="001C1950"/>
    <w:rsid w:val="001C2DF2"/>
    <w:rsid w:val="001C36FD"/>
    <w:rsid w:val="001D078B"/>
    <w:rsid w:val="001D0893"/>
    <w:rsid w:val="001D4CDF"/>
    <w:rsid w:val="001D54C2"/>
    <w:rsid w:val="001E0634"/>
    <w:rsid w:val="001E09F8"/>
    <w:rsid w:val="001E176B"/>
    <w:rsid w:val="001E4AED"/>
    <w:rsid w:val="001F0C53"/>
    <w:rsid w:val="001F3A6D"/>
    <w:rsid w:val="001F4BA7"/>
    <w:rsid w:val="00204133"/>
    <w:rsid w:val="00204D49"/>
    <w:rsid w:val="002148A2"/>
    <w:rsid w:val="00216BE6"/>
    <w:rsid w:val="00217D41"/>
    <w:rsid w:val="00231496"/>
    <w:rsid w:val="00232762"/>
    <w:rsid w:val="002378FA"/>
    <w:rsid w:val="0024444E"/>
    <w:rsid w:val="00251ED7"/>
    <w:rsid w:val="002529FD"/>
    <w:rsid w:val="002551C0"/>
    <w:rsid w:val="002560BB"/>
    <w:rsid w:val="00265543"/>
    <w:rsid w:val="00265D7F"/>
    <w:rsid w:val="00273ECF"/>
    <w:rsid w:val="00277B17"/>
    <w:rsid w:val="0028159C"/>
    <w:rsid w:val="0028449C"/>
    <w:rsid w:val="002845CC"/>
    <w:rsid w:val="00284942"/>
    <w:rsid w:val="002859C5"/>
    <w:rsid w:val="002876B1"/>
    <w:rsid w:val="00287DF9"/>
    <w:rsid w:val="00292F07"/>
    <w:rsid w:val="00294815"/>
    <w:rsid w:val="002B0A08"/>
    <w:rsid w:val="002B4A28"/>
    <w:rsid w:val="002B5475"/>
    <w:rsid w:val="002B5800"/>
    <w:rsid w:val="002C371F"/>
    <w:rsid w:val="002C79EF"/>
    <w:rsid w:val="002D01C4"/>
    <w:rsid w:val="002D3040"/>
    <w:rsid w:val="002D3F20"/>
    <w:rsid w:val="002D44F1"/>
    <w:rsid w:val="002E0A0B"/>
    <w:rsid w:val="002E5EA9"/>
    <w:rsid w:val="00300CC0"/>
    <w:rsid w:val="0030279C"/>
    <w:rsid w:val="003035AB"/>
    <w:rsid w:val="0030373E"/>
    <w:rsid w:val="00303F1C"/>
    <w:rsid w:val="00304345"/>
    <w:rsid w:val="00304CEE"/>
    <w:rsid w:val="00307E3F"/>
    <w:rsid w:val="00314AD0"/>
    <w:rsid w:val="00316F28"/>
    <w:rsid w:val="00316F2C"/>
    <w:rsid w:val="00322363"/>
    <w:rsid w:val="0032594A"/>
    <w:rsid w:val="003366A5"/>
    <w:rsid w:val="00337916"/>
    <w:rsid w:val="003379A6"/>
    <w:rsid w:val="00344C34"/>
    <w:rsid w:val="00347214"/>
    <w:rsid w:val="003504AB"/>
    <w:rsid w:val="0035422A"/>
    <w:rsid w:val="00354B28"/>
    <w:rsid w:val="00357A96"/>
    <w:rsid w:val="00361685"/>
    <w:rsid w:val="0036432D"/>
    <w:rsid w:val="003652AC"/>
    <w:rsid w:val="00365993"/>
    <w:rsid w:val="0037695A"/>
    <w:rsid w:val="00380BA5"/>
    <w:rsid w:val="00394A46"/>
    <w:rsid w:val="003A1264"/>
    <w:rsid w:val="003A50D6"/>
    <w:rsid w:val="003A6447"/>
    <w:rsid w:val="003B01C7"/>
    <w:rsid w:val="003B1BDE"/>
    <w:rsid w:val="003B207D"/>
    <w:rsid w:val="003B57DD"/>
    <w:rsid w:val="003C2A67"/>
    <w:rsid w:val="003C3EE4"/>
    <w:rsid w:val="003D23A1"/>
    <w:rsid w:val="003D2861"/>
    <w:rsid w:val="003E4E82"/>
    <w:rsid w:val="003E7EE8"/>
    <w:rsid w:val="003F0448"/>
    <w:rsid w:val="003F1912"/>
    <w:rsid w:val="00403FB6"/>
    <w:rsid w:val="00404616"/>
    <w:rsid w:val="00410B4D"/>
    <w:rsid w:val="00414E2F"/>
    <w:rsid w:val="0042704B"/>
    <w:rsid w:val="0042741F"/>
    <w:rsid w:val="00437828"/>
    <w:rsid w:val="00437CCC"/>
    <w:rsid w:val="00444C0A"/>
    <w:rsid w:val="00453DB1"/>
    <w:rsid w:val="00463416"/>
    <w:rsid w:val="004659FE"/>
    <w:rsid w:val="00470F2A"/>
    <w:rsid w:val="0047604D"/>
    <w:rsid w:val="004770D3"/>
    <w:rsid w:val="0048551A"/>
    <w:rsid w:val="00493156"/>
    <w:rsid w:val="004A0CAC"/>
    <w:rsid w:val="004A1790"/>
    <w:rsid w:val="004A36F6"/>
    <w:rsid w:val="004A6D89"/>
    <w:rsid w:val="004B332F"/>
    <w:rsid w:val="004B4CE2"/>
    <w:rsid w:val="004B59E4"/>
    <w:rsid w:val="004B6B3B"/>
    <w:rsid w:val="004B785D"/>
    <w:rsid w:val="004C3F04"/>
    <w:rsid w:val="004D0887"/>
    <w:rsid w:val="004D3BA9"/>
    <w:rsid w:val="004F0A26"/>
    <w:rsid w:val="004F0C7E"/>
    <w:rsid w:val="004F2468"/>
    <w:rsid w:val="004F5BE5"/>
    <w:rsid w:val="004F6105"/>
    <w:rsid w:val="00504F2C"/>
    <w:rsid w:val="00512B61"/>
    <w:rsid w:val="00512CE1"/>
    <w:rsid w:val="00515FDC"/>
    <w:rsid w:val="0052322A"/>
    <w:rsid w:val="00524877"/>
    <w:rsid w:val="00526BD2"/>
    <w:rsid w:val="00543835"/>
    <w:rsid w:val="00545CE8"/>
    <w:rsid w:val="0054664A"/>
    <w:rsid w:val="00550BDD"/>
    <w:rsid w:val="0056242A"/>
    <w:rsid w:val="005661DF"/>
    <w:rsid w:val="005850C3"/>
    <w:rsid w:val="005861EB"/>
    <w:rsid w:val="0058655C"/>
    <w:rsid w:val="00590DEA"/>
    <w:rsid w:val="00596E0B"/>
    <w:rsid w:val="005A00FB"/>
    <w:rsid w:val="005A07AB"/>
    <w:rsid w:val="005A1652"/>
    <w:rsid w:val="005A37E3"/>
    <w:rsid w:val="005A470E"/>
    <w:rsid w:val="005B189D"/>
    <w:rsid w:val="005B29E9"/>
    <w:rsid w:val="005B4670"/>
    <w:rsid w:val="005C4565"/>
    <w:rsid w:val="005C5656"/>
    <w:rsid w:val="005C5F40"/>
    <w:rsid w:val="005C7A56"/>
    <w:rsid w:val="005D2DFD"/>
    <w:rsid w:val="005D46B5"/>
    <w:rsid w:val="005D4FD0"/>
    <w:rsid w:val="005D5058"/>
    <w:rsid w:val="005D7D94"/>
    <w:rsid w:val="005E5797"/>
    <w:rsid w:val="005F3497"/>
    <w:rsid w:val="005F3748"/>
    <w:rsid w:val="005F6427"/>
    <w:rsid w:val="00601AE0"/>
    <w:rsid w:val="00604DAD"/>
    <w:rsid w:val="006057EC"/>
    <w:rsid w:val="00611229"/>
    <w:rsid w:val="00614503"/>
    <w:rsid w:val="0062187E"/>
    <w:rsid w:val="00623F57"/>
    <w:rsid w:val="006253C8"/>
    <w:rsid w:val="00625491"/>
    <w:rsid w:val="0063305F"/>
    <w:rsid w:val="0063386C"/>
    <w:rsid w:val="0064091A"/>
    <w:rsid w:val="0064467A"/>
    <w:rsid w:val="00645351"/>
    <w:rsid w:val="006455A5"/>
    <w:rsid w:val="006503F3"/>
    <w:rsid w:val="006515F9"/>
    <w:rsid w:val="00656CA8"/>
    <w:rsid w:val="006576A4"/>
    <w:rsid w:val="00657810"/>
    <w:rsid w:val="006618B0"/>
    <w:rsid w:val="00662B28"/>
    <w:rsid w:val="00665336"/>
    <w:rsid w:val="00665BFD"/>
    <w:rsid w:val="00666481"/>
    <w:rsid w:val="0066761A"/>
    <w:rsid w:val="00672E2A"/>
    <w:rsid w:val="006803BE"/>
    <w:rsid w:val="006851ED"/>
    <w:rsid w:val="00690190"/>
    <w:rsid w:val="00691CFB"/>
    <w:rsid w:val="006921F0"/>
    <w:rsid w:val="00695835"/>
    <w:rsid w:val="006A036F"/>
    <w:rsid w:val="006A168B"/>
    <w:rsid w:val="006A3BA9"/>
    <w:rsid w:val="006A4DAB"/>
    <w:rsid w:val="006B1A2F"/>
    <w:rsid w:val="006B294D"/>
    <w:rsid w:val="006C243B"/>
    <w:rsid w:val="006D133B"/>
    <w:rsid w:val="006D2466"/>
    <w:rsid w:val="006D3093"/>
    <w:rsid w:val="006D516D"/>
    <w:rsid w:val="006E7A59"/>
    <w:rsid w:val="006E7E54"/>
    <w:rsid w:val="006F4E6D"/>
    <w:rsid w:val="00706988"/>
    <w:rsid w:val="00712E6A"/>
    <w:rsid w:val="00732C9E"/>
    <w:rsid w:val="007347E5"/>
    <w:rsid w:val="00741CF2"/>
    <w:rsid w:val="00750F58"/>
    <w:rsid w:val="007559B9"/>
    <w:rsid w:val="00756F56"/>
    <w:rsid w:val="00760F6E"/>
    <w:rsid w:val="00761F9C"/>
    <w:rsid w:val="00764574"/>
    <w:rsid w:val="00770B25"/>
    <w:rsid w:val="00771394"/>
    <w:rsid w:val="00776276"/>
    <w:rsid w:val="00777AC7"/>
    <w:rsid w:val="00777C53"/>
    <w:rsid w:val="00782046"/>
    <w:rsid w:val="007830E8"/>
    <w:rsid w:val="007831EB"/>
    <w:rsid w:val="00785C85"/>
    <w:rsid w:val="007872E4"/>
    <w:rsid w:val="00787781"/>
    <w:rsid w:val="0079380B"/>
    <w:rsid w:val="00794201"/>
    <w:rsid w:val="00797954"/>
    <w:rsid w:val="007A23E4"/>
    <w:rsid w:val="007A2667"/>
    <w:rsid w:val="007A39E3"/>
    <w:rsid w:val="007B1A8D"/>
    <w:rsid w:val="007B339A"/>
    <w:rsid w:val="007C31EA"/>
    <w:rsid w:val="007C55CB"/>
    <w:rsid w:val="007C57B9"/>
    <w:rsid w:val="007D2C5B"/>
    <w:rsid w:val="007D39AB"/>
    <w:rsid w:val="007E6622"/>
    <w:rsid w:val="007E7CAD"/>
    <w:rsid w:val="007F0841"/>
    <w:rsid w:val="007F5017"/>
    <w:rsid w:val="007F6B20"/>
    <w:rsid w:val="007F7C07"/>
    <w:rsid w:val="007F7C3A"/>
    <w:rsid w:val="00801A56"/>
    <w:rsid w:val="00801EC5"/>
    <w:rsid w:val="0080258E"/>
    <w:rsid w:val="00804083"/>
    <w:rsid w:val="00804952"/>
    <w:rsid w:val="008205C8"/>
    <w:rsid w:val="00820757"/>
    <w:rsid w:val="008230D2"/>
    <w:rsid w:val="008236FD"/>
    <w:rsid w:val="00823C64"/>
    <w:rsid w:val="00836CA2"/>
    <w:rsid w:val="0083776C"/>
    <w:rsid w:val="0084122E"/>
    <w:rsid w:val="00843A66"/>
    <w:rsid w:val="00853043"/>
    <w:rsid w:val="00856C2F"/>
    <w:rsid w:val="00870C70"/>
    <w:rsid w:val="00876D53"/>
    <w:rsid w:val="008774B2"/>
    <w:rsid w:val="00880698"/>
    <w:rsid w:val="00880AC0"/>
    <w:rsid w:val="00881BF6"/>
    <w:rsid w:val="008838BC"/>
    <w:rsid w:val="00891D22"/>
    <w:rsid w:val="008B6705"/>
    <w:rsid w:val="008B7250"/>
    <w:rsid w:val="008C083D"/>
    <w:rsid w:val="008D7AA1"/>
    <w:rsid w:val="008E34B3"/>
    <w:rsid w:val="008E4B4B"/>
    <w:rsid w:val="008F0507"/>
    <w:rsid w:val="008F0AA4"/>
    <w:rsid w:val="008F6929"/>
    <w:rsid w:val="00901127"/>
    <w:rsid w:val="009062DA"/>
    <w:rsid w:val="00907534"/>
    <w:rsid w:val="00907A3C"/>
    <w:rsid w:val="00910DEE"/>
    <w:rsid w:val="009136AB"/>
    <w:rsid w:val="00914124"/>
    <w:rsid w:val="009204E3"/>
    <w:rsid w:val="00920647"/>
    <w:rsid w:val="0093313B"/>
    <w:rsid w:val="00935094"/>
    <w:rsid w:val="009369EC"/>
    <w:rsid w:val="0094632B"/>
    <w:rsid w:val="00946A14"/>
    <w:rsid w:val="009533CB"/>
    <w:rsid w:val="009577EB"/>
    <w:rsid w:val="00957C04"/>
    <w:rsid w:val="00966E0C"/>
    <w:rsid w:val="00966FB3"/>
    <w:rsid w:val="00967084"/>
    <w:rsid w:val="00970B6C"/>
    <w:rsid w:val="009811F8"/>
    <w:rsid w:val="00987BF9"/>
    <w:rsid w:val="00992994"/>
    <w:rsid w:val="009929E1"/>
    <w:rsid w:val="0099335F"/>
    <w:rsid w:val="009959F5"/>
    <w:rsid w:val="009A0076"/>
    <w:rsid w:val="009A5027"/>
    <w:rsid w:val="009B2558"/>
    <w:rsid w:val="009B4406"/>
    <w:rsid w:val="009B5066"/>
    <w:rsid w:val="009B7F03"/>
    <w:rsid w:val="009C0538"/>
    <w:rsid w:val="009C2E45"/>
    <w:rsid w:val="009C44CB"/>
    <w:rsid w:val="009C6AE9"/>
    <w:rsid w:val="009E001A"/>
    <w:rsid w:val="009E200C"/>
    <w:rsid w:val="009E3B2F"/>
    <w:rsid w:val="009E75A2"/>
    <w:rsid w:val="009F069A"/>
    <w:rsid w:val="009F6F1D"/>
    <w:rsid w:val="00A00E26"/>
    <w:rsid w:val="00A01879"/>
    <w:rsid w:val="00A12843"/>
    <w:rsid w:val="00A147DE"/>
    <w:rsid w:val="00A14E22"/>
    <w:rsid w:val="00A165DA"/>
    <w:rsid w:val="00A16A68"/>
    <w:rsid w:val="00A2008D"/>
    <w:rsid w:val="00A2013F"/>
    <w:rsid w:val="00A276DC"/>
    <w:rsid w:val="00A303DE"/>
    <w:rsid w:val="00A308EE"/>
    <w:rsid w:val="00A32004"/>
    <w:rsid w:val="00A336C6"/>
    <w:rsid w:val="00A338BA"/>
    <w:rsid w:val="00A34F89"/>
    <w:rsid w:val="00A401B9"/>
    <w:rsid w:val="00A40675"/>
    <w:rsid w:val="00A4638A"/>
    <w:rsid w:val="00A4772C"/>
    <w:rsid w:val="00A47B69"/>
    <w:rsid w:val="00A536E2"/>
    <w:rsid w:val="00A568A6"/>
    <w:rsid w:val="00A570F1"/>
    <w:rsid w:val="00A60B6C"/>
    <w:rsid w:val="00A60C85"/>
    <w:rsid w:val="00A61009"/>
    <w:rsid w:val="00A61817"/>
    <w:rsid w:val="00A633E1"/>
    <w:rsid w:val="00A64FB2"/>
    <w:rsid w:val="00A65B9C"/>
    <w:rsid w:val="00A7097F"/>
    <w:rsid w:val="00A74EEE"/>
    <w:rsid w:val="00A76021"/>
    <w:rsid w:val="00A76D1E"/>
    <w:rsid w:val="00A776BD"/>
    <w:rsid w:val="00A80A14"/>
    <w:rsid w:val="00A83865"/>
    <w:rsid w:val="00A8414A"/>
    <w:rsid w:val="00A84C59"/>
    <w:rsid w:val="00A84D1F"/>
    <w:rsid w:val="00A858D1"/>
    <w:rsid w:val="00A86B70"/>
    <w:rsid w:val="00A87FE7"/>
    <w:rsid w:val="00A90A8F"/>
    <w:rsid w:val="00A91123"/>
    <w:rsid w:val="00A94C76"/>
    <w:rsid w:val="00AB0761"/>
    <w:rsid w:val="00AB159E"/>
    <w:rsid w:val="00AB6634"/>
    <w:rsid w:val="00AB7292"/>
    <w:rsid w:val="00AC336A"/>
    <w:rsid w:val="00AD03F4"/>
    <w:rsid w:val="00AD5164"/>
    <w:rsid w:val="00AE4183"/>
    <w:rsid w:val="00AF2C0D"/>
    <w:rsid w:val="00AF4691"/>
    <w:rsid w:val="00AF4710"/>
    <w:rsid w:val="00B03470"/>
    <w:rsid w:val="00B03959"/>
    <w:rsid w:val="00B05A5B"/>
    <w:rsid w:val="00B05E9E"/>
    <w:rsid w:val="00B06718"/>
    <w:rsid w:val="00B107C9"/>
    <w:rsid w:val="00B10904"/>
    <w:rsid w:val="00B14BB1"/>
    <w:rsid w:val="00B1733C"/>
    <w:rsid w:val="00B17EC1"/>
    <w:rsid w:val="00B22485"/>
    <w:rsid w:val="00B23525"/>
    <w:rsid w:val="00B24BC6"/>
    <w:rsid w:val="00B31F2F"/>
    <w:rsid w:val="00B33E5A"/>
    <w:rsid w:val="00B36BCA"/>
    <w:rsid w:val="00B474E0"/>
    <w:rsid w:val="00B515C9"/>
    <w:rsid w:val="00B57692"/>
    <w:rsid w:val="00B628FF"/>
    <w:rsid w:val="00B64727"/>
    <w:rsid w:val="00B71360"/>
    <w:rsid w:val="00B71A1F"/>
    <w:rsid w:val="00B7396B"/>
    <w:rsid w:val="00B75565"/>
    <w:rsid w:val="00B76FDD"/>
    <w:rsid w:val="00B77306"/>
    <w:rsid w:val="00B81E46"/>
    <w:rsid w:val="00B84C82"/>
    <w:rsid w:val="00B90B45"/>
    <w:rsid w:val="00B92C86"/>
    <w:rsid w:val="00B92E57"/>
    <w:rsid w:val="00B9395E"/>
    <w:rsid w:val="00B93FA3"/>
    <w:rsid w:val="00B94816"/>
    <w:rsid w:val="00B95CA6"/>
    <w:rsid w:val="00BA07A0"/>
    <w:rsid w:val="00BA0DDE"/>
    <w:rsid w:val="00BA35D9"/>
    <w:rsid w:val="00BA4CCC"/>
    <w:rsid w:val="00BA5536"/>
    <w:rsid w:val="00BA5821"/>
    <w:rsid w:val="00BB3FF5"/>
    <w:rsid w:val="00BB6246"/>
    <w:rsid w:val="00BC06DE"/>
    <w:rsid w:val="00BC3A98"/>
    <w:rsid w:val="00BC6656"/>
    <w:rsid w:val="00BD48EB"/>
    <w:rsid w:val="00BD497A"/>
    <w:rsid w:val="00BD506D"/>
    <w:rsid w:val="00BD6023"/>
    <w:rsid w:val="00BD7267"/>
    <w:rsid w:val="00BE27C2"/>
    <w:rsid w:val="00BE3503"/>
    <w:rsid w:val="00BE45FE"/>
    <w:rsid w:val="00BE5D80"/>
    <w:rsid w:val="00BE65BD"/>
    <w:rsid w:val="00C0337F"/>
    <w:rsid w:val="00C05B1C"/>
    <w:rsid w:val="00C21F3D"/>
    <w:rsid w:val="00C2537F"/>
    <w:rsid w:val="00C27750"/>
    <w:rsid w:val="00C31CEA"/>
    <w:rsid w:val="00C47525"/>
    <w:rsid w:val="00C51CE5"/>
    <w:rsid w:val="00C53F40"/>
    <w:rsid w:val="00C55605"/>
    <w:rsid w:val="00C5666F"/>
    <w:rsid w:val="00C60E2B"/>
    <w:rsid w:val="00C70D19"/>
    <w:rsid w:val="00C71146"/>
    <w:rsid w:val="00C77453"/>
    <w:rsid w:val="00C8733D"/>
    <w:rsid w:val="00C93AE1"/>
    <w:rsid w:val="00C94951"/>
    <w:rsid w:val="00C95156"/>
    <w:rsid w:val="00CA1EE9"/>
    <w:rsid w:val="00CA3BF3"/>
    <w:rsid w:val="00CA58B6"/>
    <w:rsid w:val="00CB0065"/>
    <w:rsid w:val="00CB3677"/>
    <w:rsid w:val="00CB6330"/>
    <w:rsid w:val="00CB6F7F"/>
    <w:rsid w:val="00CC0F24"/>
    <w:rsid w:val="00CC134B"/>
    <w:rsid w:val="00CC3038"/>
    <w:rsid w:val="00CC7E1B"/>
    <w:rsid w:val="00CD3CFC"/>
    <w:rsid w:val="00CD43AF"/>
    <w:rsid w:val="00CD5083"/>
    <w:rsid w:val="00CE4C3D"/>
    <w:rsid w:val="00CE51E3"/>
    <w:rsid w:val="00CE5310"/>
    <w:rsid w:val="00CE6055"/>
    <w:rsid w:val="00CE66A8"/>
    <w:rsid w:val="00CE6FF0"/>
    <w:rsid w:val="00D04F52"/>
    <w:rsid w:val="00D15C2B"/>
    <w:rsid w:val="00D17A45"/>
    <w:rsid w:val="00D2008F"/>
    <w:rsid w:val="00D239C6"/>
    <w:rsid w:val="00D26D97"/>
    <w:rsid w:val="00D33644"/>
    <w:rsid w:val="00D36F65"/>
    <w:rsid w:val="00D41676"/>
    <w:rsid w:val="00D41DD0"/>
    <w:rsid w:val="00D46FF3"/>
    <w:rsid w:val="00D53C0F"/>
    <w:rsid w:val="00D54C74"/>
    <w:rsid w:val="00D67FD6"/>
    <w:rsid w:val="00D72925"/>
    <w:rsid w:val="00D74098"/>
    <w:rsid w:val="00D75235"/>
    <w:rsid w:val="00D820B8"/>
    <w:rsid w:val="00D82221"/>
    <w:rsid w:val="00D825EC"/>
    <w:rsid w:val="00D91827"/>
    <w:rsid w:val="00D94576"/>
    <w:rsid w:val="00D94C34"/>
    <w:rsid w:val="00D950CC"/>
    <w:rsid w:val="00D96583"/>
    <w:rsid w:val="00DA07A7"/>
    <w:rsid w:val="00DA1ACC"/>
    <w:rsid w:val="00DA2DDC"/>
    <w:rsid w:val="00DB4F24"/>
    <w:rsid w:val="00DB64AD"/>
    <w:rsid w:val="00DC1407"/>
    <w:rsid w:val="00DC15FE"/>
    <w:rsid w:val="00DC1F99"/>
    <w:rsid w:val="00DC2721"/>
    <w:rsid w:val="00DC3552"/>
    <w:rsid w:val="00DC49B5"/>
    <w:rsid w:val="00DD22D0"/>
    <w:rsid w:val="00DD2B19"/>
    <w:rsid w:val="00DD4B6E"/>
    <w:rsid w:val="00DE39C1"/>
    <w:rsid w:val="00DE45A4"/>
    <w:rsid w:val="00DE5495"/>
    <w:rsid w:val="00DE5EFD"/>
    <w:rsid w:val="00DF02BA"/>
    <w:rsid w:val="00DF2E84"/>
    <w:rsid w:val="00DF36CA"/>
    <w:rsid w:val="00DF4BD5"/>
    <w:rsid w:val="00E010EF"/>
    <w:rsid w:val="00E0296A"/>
    <w:rsid w:val="00E0438B"/>
    <w:rsid w:val="00E35997"/>
    <w:rsid w:val="00E40802"/>
    <w:rsid w:val="00E40EFB"/>
    <w:rsid w:val="00E429B4"/>
    <w:rsid w:val="00E4614C"/>
    <w:rsid w:val="00E60531"/>
    <w:rsid w:val="00E6207A"/>
    <w:rsid w:val="00E63CAC"/>
    <w:rsid w:val="00E63EAA"/>
    <w:rsid w:val="00E72023"/>
    <w:rsid w:val="00E807F1"/>
    <w:rsid w:val="00E87FC1"/>
    <w:rsid w:val="00E93108"/>
    <w:rsid w:val="00E95D13"/>
    <w:rsid w:val="00EA2FFB"/>
    <w:rsid w:val="00EA787C"/>
    <w:rsid w:val="00EB3887"/>
    <w:rsid w:val="00EB3E0E"/>
    <w:rsid w:val="00EC0BBE"/>
    <w:rsid w:val="00EC4EDA"/>
    <w:rsid w:val="00ED00BB"/>
    <w:rsid w:val="00ED3D20"/>
    <w:rsid w:val="00ED3E50"/>
    <w:rsid w:val="00ED799D"/>
    <w:rsid w:val="00EE4D85"/>
    <w:rsid w:val="00EE6D69"/>
    <w:rsid w:val="00EF0BD9"/>
    <w:rsid w:val="00EF1223"/>
    <w:rsid w:val="00EF2F86"/>
    <w:rsid w:val="00F00FB6"/>
    <w:rsid w:val="00F02E5E"/>
    <w:rsid w:val="00F051B8"/>
    <w:rsid w:val="00F068DA"/>
    <w:rsid w:val="00F072C1"/>
    <w:rsid w:val="00F141C5"/>
    <w:rsid w:val="00F23658"/>
    <w:rsid w:val="00F244D9"/>
    <w:rsid w:val="00F35532"/>
    <w:rsid w:val="00F427CE"/>
    <w:rsid w:val="00F43FDB"/>
    <w:rsid w:val="00F44F43"/>
    <w:rsid w:val="00F478C7"/>
    <w:rsid w:val="00F4795B"/>
    <w:rsid w:val="00F565B9"/>
    <w:rsid w:val="00F623F4"/>
    <w:rsid w:val="00F815CD"/>
    <w:rsid w:val="00F820EF"/>
    <w:rsid w:val="00F83AB3"/>
    <w:rsid w:val="00F843C1"/>
    <w:rsid w:val="00F84FC1"/>
    <w:rsid w:val="00F87372"/>
    <w:rsid w:val="00FA14B1"/>
    <w:rsid w:val="00FB0946"/>
    <w:rsid w:val="00FB2236"/>
    <w:rsid w:val="00FB2B38"/>
    <w:rsid w:val="00FB4728"/>
    <w:rsid w:val="00FB4C73"/>
    <w:rsid w:val="00FB7497"/>
    <w:rsid w:val="00FC3176"/>
    <w:rsid w:val="00FC3AFD"/>
    <w:rsid w:val="00FC4C3B"/>
    <w:rsid w:val="00FC4C62"/>
    <w:rsid w:val="00FC5625"/>
    <w:rsid w:val="00FC720F"/>
    <w:rsid w:val="00FD5B8F"/>
    <w:rsid w:val="00FD5F07"/>
    <w:rsid w:val="00FE038D"/>
    <w:rsid w:val="00FE0EEA"/>
    <w:rsid w:val="00FE31B6"/>
    <w:rsid w:val="00FE41E4"/>
    <w:rsid w:val="00FE649A"/>
    <w:rsid w:val="00FF1ABD"/>
    <w:rsid w:val="00FF298E"/>
    <w:rsid w:val="02656329"/>
    <w:rsid w:val="04D27F09"/>
    <w:rsid w:val="05C63706"/>
    <w:rsid w:val="0E973973"/>
    <w:rsid w:val="10F0334D"/>
    <w:rsid w:val="114E0407"/>
    <w:rsid w:val="162269C1"/>
    <w:rsid w:val="16536A90"/>
    <w:rsid w:val="17391EF1"/>
    <w:rsid w:val="1A366198"/>
    <w:rsid w:val="1FAD8275"/>
    <w:rsid w:val="21A868B7"/>
    <w:rsid w:val="246961DB"/>
    <w:rsid w:val="24B30B11"/>
    <w:rsid w:val="260E13CB"/>
    <w:rsid w:val="26587A0D"/>
    <w:rsid w:val="26772ABE"/>
    <w:rsid w:val="27005DBD"/>
    <w:rsid w:val="27707C5E"/>
    <w:rsid w:val="2AFA11B6"/>
    <w:rsid w:val="312E4701"/>
    <w:rsid w:val="31F9210B"/>
    <w:rsid w:val="32920AD5"/>
    <w:rsid w:val="39D32AAF"/>
    <w:rsid w:val="3F3F2A4A"/>
    <w:rsid w:val="3F6FF14C"/>
    <w:rsid w:val="3F877879"/>
    <w:rsid w:val="41EE72BB"/>
    <w:rsid w:val="42277DEA"/>
    <w:rsid w:val="4A541597"/>
    <w:rsid w:val="54883E0A"/>
    <w:rsid w:val="563B720E"/>
    <w:rsid w:val="59CB1111"/>
    <w:rsid w:val="5E7D3185"/>
    <w:rsid w:val="5ECE59F6"/>
    <w:rsid w:val="5F452ED5"/>
    <w:rsid w:val="630412C4"/>
    <w:rsid w:val="6405652C"/>
    <w:rsid w:val="673B1D6B"/>
    <w:rsid w:val="6B400A46"/>
    <w:rsid w:val="6EF971A6"/>
    <w:rsid w:val="6FCFA5DE"/>
    <w:rsid w:val="72D117C0"/>
    <w:rsid w:val="72FD3116"/>
    <w:rsid w:val="75AA1337"/>
    <w:rsid w:val="76B82A16"/>
    <w:rsid w:val="7EEF2780"/>
    <w:rsid w:val="7FBE4D77"/>
    <w:rsid w:val="7FEEB10E"/>
    <w:rsid w:val="975EA0ED"/>
    <w:rsid w:val="BF77022A"/>
    <w:rsid w:val="BFDF2136"/>
    <w:rsid w:val="DBF8F51E"/>
    <w:rsid w:val="EDFB5319"/>
    <w:rsid w:val="F7CB3C34"/>
    <w:rsid w:val="FABA53D0"/>
    <w:rsid w:val="FBF57C27"/>
    <w:rsid w:val="FCF33C4A"/>
    <w:rsid w:val="FFBF096A"/>
    <w:rsid w:val="FFFD4C02"/>
    <w:rsid w:val="FFFF2F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Body Text"/>
    <w:basedOn w:val="1"/>
    <w:qFormat/>
    <w:uiPriority w:val="0"/>
    <w:rPr>
      <w:b/>
      <w:sz w:val="32"/>
      <w:szCs w:val="20"/>
    </w:rPr>
  </w:style>
  <w:style w:type="paragraph" w:styleId="6">
    <w:name w:val="Body Text 2"/>
    <w:basedOn w:val="1"/>
    <w:qFormat/>
    <w:uiPriority w:val="0"/>
    <w:pPr>
      <w:spacing w:line="600" w:lineRule="exact"/>
      <w:jc w:val="center"/>
    </w:pPr>
    <w:rPr>
      <w:rFonts w:ascii="方正小标宋简体" w:eastAsia="方正小标宋简体"/>
      <w:bCs/>
      <w:sz w:val="44"/>
      <w:szCs w:val="44"/>
    </w:rPr>
  </w:style>
  <w:style w:type="character" w:styleId="9">
    <w:name w:val="page number"/>
    <w:basedOn w:val="8"/>
    <w:qFormat/>
    <w:uiPriority w:val="0"/>
  </w:style>
  <w:style w:type="paragraph" w:customStyle="1" w:styleId="10">
    <w:name w:val="Char Char Char Char Char Char1 Char"/>
    <w:basedOn w:val="1"/>
    <w:qFormat/>
    <w:uiPriority w:val="0"/>
  </w:style>
  <w:style w:type="paragraph" w:customStyle="1" w:styleId="11">
    <w:name w:val="2"/>
    <w:basedOn w:val="1"/>
    <w:qFormat/>
    <w:uiPriority w:val="0"/>
    <w:pPr>
      <w:spacing w:line="360" w:lineRule="auto"/>
      <w:ind w:firstLine="200" w:firstLineChars="200"/>
    </w:pPr>
    <w:rPr>
      <w:rFonts w:ascii="宋体" w:hAnsi="宋体" w:cs="宋体"/>
      <w:sz w:val="24"/>
    </w:rPr>
  </w:style>
  <w:style w:type="paragraph" w:customStyle="1" w:styleId="12">
    <w:name w:val="Char Char Char Char Char Char1 Char1"/>
    <w:basedOn w:val="1"/>
    <w:qFormat/>
    <w:uiPriority w:val="0"/>
  </w:style>
  <w:style w:type="paragraph" w:customStyle="1" w:styleId="13">
    <w:name w:val="List Paragraph"/>
    <w:basedOn w:val="1"/>
    <w:qFormat/>
    <w:uiPriority w:val="34"/>
    <w:pPr>
      <w:ind w:firstLine="420" w:firstLineChars="200"/>
    </w:pPr>
  </w:style>
  <w:style w:type="paragraph" w:customStyle="1" w:styleId="14">
    <w:name w:val="Char Char1 Char Char Char Char Char Char Char Char Char1 Char"/>
    <w:basedOn w:val="1"/>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Lux 正文"/>
    <w:basedOn w:val="1"/>
    <w:qFormat/>
    <w:uiPriority w:val="0"/>
    <w:pPr>
      <w:spacing w:before="120" w:after="120" w:line="360" w:lineRule="auto"/>
      <w:ind w:firstLine="480" w:firstLineChars="200"/>
      <w:jc w:val="left"/>
    </w:pPr>
    <w:rPr>
      <w:snapToGrid w:val="0"/>
      <w:kern w:val="0"/>
      <w:sz w:val="24"/>
      <w:szCs w:val="20"/>
    </w:rPr>
  </w:style>
  <w:style w:type="paragraph" w:customStyle="1" w:styleId="17">
    <w:name w:val="Char Char Char"/>
    <w:basedOn w:val="1"/>
    <w:qFormat/>
    <w:uiPriority w:val="0"/>
  </w:style>
  <w:style w:type="paragraph" w:customStyle="1" w:styleId="18">
    <w:name w:val="Char Char Char1"/>
    <w:basedOn w:val="1"/>
    <w:qFormat/>
    <w:uiPriority w:val="0"/>
  </w:style>
  <w:style w:type="paragraph" w:customStyle="1" w:styleId="19">
    <w:name w:val="Char Char Char2"/>
    <w:basedOn w:val="1"/>
    <w:qFormat/>
    <w:uiPriority w:val="0"/>
  </w:style>
  <w:style w:type="character" w:customStyle="1" w:styleId="20">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Pages>
  <Words>1864</Words>
  <Characters>1983</Characters>
  <Lines>11</Lines>
  <Paragraphs>3</Paragraphs>
  <TotalTime>6</TotalTime>
  <ScaleCrop>false</ScaleCrop>
  <LinksUpToDate>false</LinksUpToDate>
  <CharactersWithSpaces>2033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2018-03-08T15:17:00Z</dcterms:created>
  <dc:creator>雨林木风</dc:creator>
  <cp:lastModifiedBy>WPS_1469668054</cp:lastModifiedBy>
  <cp:lastPrinted>2026-01-08T01:46:34Z</cp:lastPrinted>
  <dcterms:modified xsi:type="dcterms:W3CDTF">2026-01-08T01:47:49Z</dcterms:modified>
  <dc:title>柳环审字〔2012〕号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EDC897678A5B405385D2A9EC2880FC26_13</vt:lpwstr>
  </property>
  <property fmtid="{D5CDD505-2E9C-101B-9397-08002B2CF9AE}" pid="4" name="KSOTemplateDocerSaveRecord">
    <vt:lpwstr>eyJoZGlkIjoiNTFmYTZlNzI5YTEyN2U1YmUzMTMyMjE0YzhiMWVkN2UiLCJ1c2VySWQiOiIyMzIwNDc4MzAifQ==</vt:lpwstr>
  </property>
</Properties>
</file>