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66E9A">
      <w:pPr>
        <w:spacing w:line="640" w:lineRule="exact"/>
        <w:rPr>
          <w:rFonts w:ascii="仿宋_GB2312" w:eastAsia="仿宋_GB2312"/>
          <w:sz w:val="32"/>
        </w:rPr>
      </w:pPr>
    </w:p>
    <w:p w14:paraId="24499380">
      <w:pPr>
        <w:spacing w:line="640" w:lineRule="exact"/>
        <w:jc w:val="center"/>
        <w:rPr>
          <w:rFonts w:ascii="仿宋_GB2312" w:eastAsia="仿宋_GB2312"/>
          <w:sz w:val="32"/>
        </w:rPr>
      </w:pPr>
    </w:p>
    <w:p w14:paraId="08E1C881">
      <w:pPr>
        <w:spacing w:line="640" w:lineRule="exact"/>
        <w:jc w:val="center"/>
        <w:rPr>
          <w:rFonts w:ascii="仿宋_GB2312" w:eastAsia="仿宋_GB2312"/>
          <w:sz w:val="32"/>
        </w:rPr>
      </w:pPr>
    </w:p>
    <w:p w14:paraId="067FB09B">
      <w:pPr>
        <w:spacing w:line="640" w:lineRule="exact"/>
        <w:rPr>
          <w:rFonts w:ascii="仿宋_GB2312" w:eastAsia="仿宋_GB2312"/>
          <w:sz w:val="32"/>
        </w:rPr>
      </w:pPr>
    </w:p>
    <w:p w14:paraId="6BD295F1">
      <w:pPr>
        <w:spacing w:line="540" w:lineRule="exact"/>
        <w:jc w:val="center"/>
        <w:rPr>
          <w:rFonts w:ascii="仿宋" w:hAnsi="仿宋" w:eastAsia="仿宋"/>
          <w:sz w:val="30"/>
          <w:szCs w:val="30"/>
        </w:rPr>
      </w:pPr>
    </w:p>
    <w:p w14:paraId="3F821B5E">
      <w:pPr>
        <w:spacing w:line="540" w:lineRule="exact"/>
        <w:jc w:val="center"/>
        <w:rPr>
          <w:rFonts w:ascii="仿宋" w:hAnsi="仿宋" w:eastAsia="仿宋"/>
          <w:color w:val="auto"/>
          <w:sz w:val="30"/>
          <w:szCs w:val="30"/>
          <w:highlight w:val="none"/>
        </w:rPr>
      </w:pPr>
      <w:r>
        <w:rPr>
          <w:rFonts w:hint="eastAsia" w:ascii="仿宋" w:hAnsi="仿宋" w:eastAsia="仿宋"/>
          <w:color w:val="auto"/>
          <w:sz w:val="30"/>
          <w:szCs w:val="30"/>
          <w:highlight w:val="none"/>
        </w:rPr>
        <w:t>柳审环城审字〔</w:t>
      </w:r>
      <w:r>
        <w:rPr>
          <w:rFonts w:ascii="仿宋" w:hAnsi="仿宋" w:eastAsia="仿宋"/>
          <w:color w:val="auto"/>
          <w:sz w:val="30"/>
          <w:szCs w:val="30"/>
          <w:highlight w:val="none"/>
        </w:rPr>
        <w:t>20</w:t>
      </w:r>
      <w:r>
        <w:rPr>
          <w:rFonts w:hint="eastAsia" w:ascii="仿宋" w:hAnsi="仿宋" w:eastAsia="仿宋"/>
          <w:color w:val="auto"/>
          <w:sz w:val="30"/>
          <w:szCs w:val="30"/>
          <w:highlight w:val="none"/>
        </w:rPr>
        <w:t>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11</w:t>
      </w:r>
      <w:r>
        <w:rPr>
          <w:rFonts w:hint="eastAsia" w:ascii="仿宋" w:hAnsi="仿宋" w:eastAsia="仿宋"/>
          <w:color w:val="auto"/>
          <w:sz w:val="30"/>
          <w:szCs w:val="30"/>
          <w:highlight w:val="none"/>
        </w:rPr>
        <w:t>号</w:t>
      </w:r>
    </w:p>
    <w:p w14:paraId="3AA7FB21">
      <w:pPr>
        <w:pStyle w:val="5"/>
        <w:spacing w:line="540" w:lineRule="exact"/>
        <w:rPr>
          <w:color w:val="auto"/>
          <w:sz w:val="28"/>
          <w:szCs w:val="28"/>
          <w:highlight w:val="none"/>
        </w:rPr>
      </w:pPr>
    </w:p>
    <w:p w14:paraId="2BB72FFE">
      <w:pPr>
        <w:pStyle w:val="15"/>
        <w:rPr>
          <w:rFonts w:asciiTheme="minorEastAsia" w:hAnsiTheme="minorEastAsia" w:eastAsiaTheme="minorEastAsia"/>
          <w:b/>
          <w:color w:val="auto"/>
          <w:highlight w:val="none"/>
        </w:rPr>
      </w:pPr>
      <w:r>
        <w:rPr>
          <w:rFonts w:hint="eastAsia" w:ascii="宋体" w:hAnsi="宋体" w:eastAsia="宋体"/>
          <w:b/>
          <w:color w:val="auto"/>
          <w:highlight w:val="none"/>
        </w:rPr>
        <w:t>柳城鸿盛锌品有限责任公司氧化锌品质提升项目环境影响报告书的批复</w:t>
      </w:r>
    </w:p>
    <w:p w14:paraId="7839F9EB">
      <w:pPr>
        <w:pStyle w:val="15"/>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30"/>
          <w:szCs w:val="30"/>
          <w:highlight w:val="none"/>
        </w:rPr>
      </w:pPr>
    </w:p>
    <w:p w14:paraId="2529B11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Times New Roman"/>
          <w:color w:val="auto"/>
          <w:sz w:val="32"/>
          <w:szCs w:val="32"/>
          <w:highlight w:val="none"/>
        </w:rPr>
      </w:pPr>
      <w:bookmarkStart w:id="0" w:name="_GoBack"/>
      <w:r>
        <w:rPr>
          <w:rFonts w:hint="eastAsia" w:ascii="仿宋" w:hAnsi="仿宋" w:eastAsia="仿宋" w:cs="Times New Roman"/>
          <w:color w:val="auto"/>
          <w:sz w:val="32"/>
          <w:szCs w:val="32"/>
          <w:highlight w:val="none"/>
          <w:lang w:eastAsia="zh-CN"/>
        </w:rPr>
        <w:t>柳城鸿盛锌品有限责任公司</w:t>
      </w:r>
      <w:r>
        <w:rPr>
          <w:rFonts w:hint="eastAsia" w:ascii="仿宋" w:hAnsi="仿宋" w:eastAsia="仿宋" w:cs="Times New Roman"/>
          <w:color w:val="auto"/>
          <w:sz w:val="32"/>
          <w:szCs w:val="32"/>
          <w:highlight w:val="none"/>
        </w:rPr>
        <w:t>：</w:t>
      </w:r>
    </w:p>
    <w:p w14:paraId="10BD69D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s="Times New Roman"/>
          <w:color w:val="auto"/>
          <w:sz w:val="32"/>
          <w:szCs w:val="32"/>
          <w:highlight w:val="none"/>
          <w:lang w:eastAsia="zh-CN"/>
        </w:rPr>
      </w:pPr>
      <w:r>
        <w:rPr>
          <w:rFonts w:hint="eastAsia" w:ascii="仿宋" w:hAnsi="仿宋" w:eastAsia="仿宋"/>
          <w:color w:val="auto"/>
          <w:sz w:val="32"/>
          <w:szCs w:val="32"/>
          <w:highlight w:val="none"/>
        </w:rPr>
        <w:t>你公司报来</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柳城鸿盛锌品有限责任公司氧化锌品质提升项目环境影响报告书</w:t>
      </w:r>
      <w:r>
        <w:rPr>
          <w:rFonts w:hint="eastAsia" w:ascii="仿宋" w:hAnsi="仿宋" w:eastAsia="仿宋" w:cs="Times New Roman"/>
          <w:color w:val="auto"/>
          <w:sz w:val="32"/>
          <w:szCs w:val="32"/>
          <w:highlight w:val="none"/>
        </w:rPr>
        <w:t>》（以下简称《报告书》）收悉，根据报告书及技术评估报告，经审查，现批复如下</w:t>
      </w:r>
      <w:r>
        <w:rPr>
          <w:rFonts w:hint="eastAsia" w:ascii="仿宋" w:hAnsi="仿宋" w:eastAsia="仿宋" w:cs="Times New Roman"/>
          <w:color w:val="auto"/>
          <w:sz w:val="32"/>
          <w:szCs w:val="32"/>
          <w:highlight w:val="none"/>
          <w:lang w:eastAsia="zh-CN"/>
        </w:rPr>
        <w:t>：</w:t>
      </w:r>
    </w:p>
    <w:p w14:paraId="16B09EC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eastAsia="zh-CN"/>
        </w:rPr>
        <w:t>一、项目性质为扩建，</w:t>
      </w:r>
      <w:r>
        <w:rPr>
          <w:rFonts w:hint="eastAsia" w:ascii="仿宋" w:hAnsi="仿宋" w:eastAsia="仿宋" w:cs="Times New Roman"/>
          <w:color w:val="auto"/>
          <w:sz w:val="32"/>
          <w:szCs w:val="32"/>
          <w:highlight w:val="none"/>
          <w:lang w:val="en-US" w:eastAsia="zh-CN"/>
        </w:rPr>
        <w:t>位于柳州市柳城县六塘工业园区，项目在原有用地范围内进行扩建，不新增用地。建设规模及内容：建设2条锌焙砂生产线、1条煅烧氧化锌生产线，并配套建设环保设施。扩建项目投产后形成年产36000吨锌焙砂、2000吨煅烧氧化锌的生产能力。项目总投资12600.80万元，其中环保投资966万元。</w:t>
      </w:r>
    </w:p>
    <w:p w14:paraId="31FEAAD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项目主要工程组成包括：主体工程</w:t>
      </w:r>
      <w:r>
        <w:rPr>
          <w:rFonts w:hint="eastAsia" w:ascii="仿宋" w:hAnsi="仿宋" w:eastAsia="仿宋" w:cs="Times New Roman"/>
          <w:color w:val="auto"/>
          <w:sz w:val="32"/>
          <w:szCs w:val="32"/>
          <w:highlight w:val="none"/>
          <w:lang w:val="en-US" w:eastAsia="zh-CN"/>
        </w:rPr>
        <w:t>(1#、2#锌焙砂生产车间、3#煅烧氧化锌生产车间）</w:t>
      </w:r>
      <w:r>
        <w:rPr>
          <w:rFonts w:hint="eastAsia" w:ascii="仿宋" w:hAnsi="仿宋" w:eastAsia="仿宋" w:cs="Times New Roman"/>
          <w:color w:val="auto"/>
          <w:sz w:val="32"/>
          <w:szCs w:val="32"/>
          <w:highlight w:val="none"/>
          <w:lang w:eastAsia="zh-CN"/>
        </w:rPr>
        <w:t>、公用工程（排水系统、给水系统、供电系统</w:t>
      </w:r>
      <w:r>
        <w:rPr>
          <w:rFonts w:hint="eastAsia" w:ascii="仿宋" w:hAnsi="仿宋" w:eastAsia="仿宋" w:cs="Times New Roman"/>
          <w:color w:val="auto"/>
          <w:sz w:val="32"/>
          <w:szCs w:val="32"/>
          <w:highlight w:val="none"/>
          <w:lang w:val="en-US" w:eastAsia="zh-CN"/>
        </w:rPr>
        <w:t>）</w:t>
      </w:r>
      <w:r>
        <w:rPr>
          <w:rFonts w:hint="eastAsia" w:ascii="仿宋" w:hAnsi="仿宋" w:eastAsia="仿宋" w:cs="Times New Roman"/>
          <w:color w:val="auto"/>
          <w:sz w:val="32"/>
          <w:szCs w:val="32"/>
          <w:highlight w:val="none"/>
          <w:lang w:eastAsia="zh-CN"/>
        </w:rPr>
        <w:t>、辅助工程（重油储罐、原料仓库、化验室等）、环保工程（烟气净化装置、碱液脱硫塔、危险废物暂存间等）。</w:t>
      </w:r>
    </w:p>
    <w:p w14:paraId="40645D5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color w:val="auto"/>
          <w:sz w:val="32"/>
          <w:szCs w:val="32"/>
          <w:highlight w:val="none"/>
        </w:rPr>
      </w:pPr>
      <w:r>
        <w:rPr>
          <w:rFonts w:hint="eastAsia" w:ascii="仿宋" w:hAnsi="仿宋" w:eastAsia="仿宋" w:cs="Times New Roman"/>
          <w:color w:val="auto"/>
          <w:sz w:val="32"/>
          <w:szCs w:val="32"/>
          <w:highlight w:val="none"/>
          <w:lang w:eastAsia="zh-CN"/>
        </w:rPr>
        <w:t>项目已获得广西壮族自治区投资项目备案证明，符合《柳州市柳城县工业区总体规划（2021-2035）环境影响报告书》及其审查意见。从环境影响角度考虑，同意你公司按照报告书所列的建设项目的地点、性质、规模、采取的环境保护对策措施及下</w:t>
      </w:r>
      <w:r>
        <w:rPr>
          <w:rFonts w:hint="eastAsia" w:ascii="仿宋" w:hAnsi="仿宋" w:eastAsia="仿宋"/>
          <w:color w:val="auto"/>
          <w:sz w:val="32"/>
          <w:szCs w:val="32"/>
          <w:highlight w:val="none"/>
        </w:rPr>
        <w:t>述要求进行项目建设。</w:t>
      </w:r>
    </w:p>
    <w:p w14:paraId="1DD38D3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二、项目须落实报告书提出的各项环保要求，重点抓好以下环保工作：</w:t>
      </w:r>
    </w:p>
    <w:p w14:paraId="2DD71DF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（一）</w:t>
      </w:r>
      <w:r>
        <w:rPr>
          <w:rFonts w:hint="eastAsia" w:ascii="仿宋" w:hAnsi="仿宋" w:eastAsia="仿宋"/>
          <w:color w:val="auto"/>
          <w:sz w:val="32"/>
          <w:szCs w:val="32"/>
          <w:highlight w:val="none"/>
          <w:lang w:eastAsia="zh-CN"/>
        </w:rPr>
        <w:t>项目</w:t>
      </w:r>
      <w:r>
        <w:rPr>
          <w:rFonts w:hint="eastAsia" w:ascii="仿宋" w:hAnsi="仿宋" w:eastAsia="仿宋" w:cs="Times New Roman"/>
          <w:color w:val="auto"/>
          <w:sz w:val="32"/>
          <w:szCs w:val="32"/>
          <w:highlight w:val="none"/>
          <w:lang w:val="en-US" w:eastAsia="zh-CN"/>
        </w:rPr>
        <w:t>1#、2#锌焙砂生产线回转窑及3#煅烧氧化锌生产线回转窑采用低氮燃烧器+SNCR技术进行脱硝处理；</w:t>
      </w:r>
      <w:r>
        <w:rPr>
          <w:rFonts w:hint="eastAsia" w:ascii="仿宋" w:hAnsi="仿宋" w:eastAsia="仿宋"/>
          <w:color w:val="auto"/>
          <w:sz w:val="32"/>
          <w:szCs w:val="32"/>
          <w:highlight w:val="none"/>
          <w:lang w:val="en-US" w:eastAsia="zh-CN"/>
        </w:rPr>
        <w:t>1#</w:t>
      </w:r>
      <w:r>
        <w:rPr>
          <w:rFonts w:hint="eastAsia" w:ascii="仿宋" w:hAnsi="仿宋" w:eastAsia="仿宋" w:cs="Times New Roman"/>
          <w:color w:val="auto"/>
          <w:sz w:val="32"/>
          <w:szCs w:val="32"/>
          <w:highlight w:val="none"/>
          <w:lang w:val="en-US" w:eastAsia="zh-CN"/>
        </w:rPr>
        <w:t>、2#锌焙砂生产线的煅烧烟气分别经配套的烟气净化装置（沉降室+喷淋室+两级喷淋塔+碱液脱硫塔+除雾塔+湿式静电除尘器）处理，3#煅烧氧化锌生产线的煅烧烟气引至1#锌焙砂生产线的烟气净化装置处理，上述处理后的煅烧烟气均</w:t>
      </w:r>
      <w:r>
        <w:rPr>
          <w:rFonts w:hint="eastAsia" w:ascii="仿宋" w:hAnsi="仿宋" w:eastAsia="仿宋"/>
          <w:color w:val="auto"/>
          <w:sz w:val="32"/>
          <w:szCs w:val="32"/>
          <w:highlight w:val="none"/>
          <w:lang w:eastAsia="zh-CN"/>
        </w:rPr>
        <w:t>由一根高</w:t>
      </w:r>
      <w:r>
        <w:rPr>
          <w:rFonts w:hint="eastAsia" w:ascii="仿宋" w:hAnsi="仿宋" w:eastAsia="仿宋"/>
          <w:color w:val="auto"/>
          <w:sz w:val="32"/>
          <w:szCs w:val="32"/>
          <w:highlight w:val="none"/>
          <w:lang w:val="en-US" w:eastAsia="zh-CN"/>
        </w:rPr>
        <w:t>40</w:t>
      </w:r>
      <w:r>
        <w:rPr>
          <w:rFonts w:hint="eastAsia" w:ascii="仿宋" w:hAnsi="仿宋" w:eastAsia="仿宋"/>
          <w:color w:val="auto"/>
          <w:sz w:val="32"/>
          <w:szCs w:val="32"/>
          <w:highlight w:val="none"/>
          <w:lang w:eastAsia="zh-CN"/>
        </w:rPr>
        <w:t>米的排气筒（</w:t>
      </w:r>
      <w:r>
        <w:rPr>
          <w:rFonts w:hint="eastAsia" w:ascii="仿宋" w:hAnsi="仿宋" w:eastAsia="仿宋"/>
          <w:color w:val="auto"/>
          <w:sz w:val="32"/>
          <w:szCs w:val="32"/>
          <w:highlight w:val="none"/>
          <w:lang w:val="en-US" w:eastAsia="zh-CN"/>
        </w:rPr>
        <w:t>DA002</w:t>
      </w:r>
      <w:r>
        <w:rPr>
          <w:rFonts w:hint="eastAsia" w:ascii="仿宋" w:hAnsi="仿宋" w:eastAsia="仿宋"/>
          <w:color w:val="auto"/>
          <w:sz w:val="32"/>
          <w:szCs w:val="32"/>
          <w:highlight w:val="none"/>
          <w:lang w:eastAsia="zh-CN"/>
        </w:rPr>
        <w:t>）排放</w:t>
      </w:r>
      <w:r>
        <w:rPr>
          <w:rFonts w:hint="eastAsia" w:ascii="仿宋" w:hAnsi="仿宋" w:eastAsia="仿宋" w:cs="Times New Roman"/>
          <w:color w:val="auto"/>
          <w:sz w:val="32"/>
          <w:szCs w:val="32"/>
          <w:highlight w:val="none"/>
          <w:lang w:val="en-US" w:eastAsia="zh-CN"/>
        </w:rPr>
        <w:t>；</w:t>
      </w:r>
      <w:r>
        <w:rPr>
          <w:rFonts w:hint="eastAsia" w:ascii="仿宋" w:hAnsi="仿宋" w:eastAsia="仿宋"/>
          <w:color w:val="auto"/>
          <w:sz w:val="32"/>
          <w:szCs w:val="32"/>
          <w:highlight w:val="none"/>
          <w:lang w:eastAsia="zh-CN"/>
        </w:rPr>
        <w:t>1#锌焙砂生产线卸料、投料及产品包装粉尘采用集气装置收集，经布袋除尘器处理后，由一根高</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lang w:eastAsia="zh-CN"/>
        </w:rPr>
        <w:t>米的排气筒（DA00</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）排放；</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#锌焙砂生产线卸料、投料及产品包装粉尘采用集气装置收集，经布袋除尘器处理后，由一根高15米的排气筒（DA00</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eastAsia="zh-CN"/>
        </w:rPr>
        <w:t>）排放；</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#煅烧氧化锌生产线卸料、投料及产品包装粉尘采用集气装置收集，经布袋除尘器处理后，由一根高</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lang w:eastAsia="zh-CN"/>
        </w:rPr>
        <w:t>米的排气筒（DA00</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lang w:eastAsia="zh-CN"/>
        </w:rPr>
        <w:t>）排放。</w:t>
      </w:r>
    </w:p>
    <w:p w14:paraId="130C57E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olor w:val="auto"/>
          <w:sz w:val="32"/>
          <w:szCs w:val="32"/>
          <w:highlight w:val="none"/>
          <w:lang w:val="zh-CN" w:eastAsia="zh-CN"/>
        </w:rPr>
      </w:pPr>
      <w:r>
        <w:rPr>
          <w:rFonts w:hint="eastAsia" w:ascii="仿宋" w:hAnsi="仿宋" w:eastAsia="仿宋"/>
          <w:color w:val="auto"/>
          <w:sz w:val="32"/>
          <w:szCs w:val="32"/>
          <w:highlight w:val="none"/>
          <w:lang w:val="en-US" w:eastAsia="zh-CN"/>
        </w:rPr>
        <w:t>须确保上述排气筒外排废气中的颗粒物、氮氧化物、锌及其化合物、铅及其化合物、镉及其化合物、砷及其化合物、锑及其化合物、锡及其化合物、汞及其化合物、铊及其化合物、锰及其化合物、钴及其化合物、镍及其化合物、铬酸雾、氟化物、氯化氢、二氧化硫、氨排放浓度符合GB31573-2015《无机化学工业污染物排放标准》</w:t>
      </w:r>
      <w:r>
        <w:rPr>
          <w:rFonts w:hint="eastAsia" w:ascii="仿宋" w:hAnsi="仿宋" w:eastAsia="仿宋"/>
          <w:color w:val="auto"/>
          <w:sz w:val="32"/>
          <w:szCs w:val="32"/>
          <w:highlight w:val="none"/>
          <w:lang w:val="zh-CN" w:eastAsia="zh-CN"/>
        </w:rPr>
        <w:t>表</w:t>
      </w:r>
      <w:r>
        <w:rPr>
          <w:rFonts w:hint="eastAsia" w:ascii="仿宋" w:hAnsi="仿宋" w:eastAsia="仿宋"/>
          <w:color w:val="auto"/>
          <w:sz w:val="32"/>
          <w:szCs w:val="32"/>
          <w:highlight w:val="none"/>
          <w:lang w:val="en-US" w:eastAsia="zh-CN"/>
        </w:rPr>
        <w:t>3大气污染物排放限值</w:t>
      </w:r>
      <w:r>
        <w:rPr>
          <w:rFonts w:hint="eastAsia" w:ascii="仿宋" w:hAnsi="仿宋" w:eastAsia="仿宋"/>
          <w:color w:val="auto"/>
          <w:sz w:val="32"/>
          <w:szCs w:val="32"/>
          <w:highlight w:val="none"/>
          <w:lang w:val="zh-CN" w:eastAsia="zh-CN"/>
        </w:rPr>
        <w:t>要求。</w:t>
      </w:r>
      <w:r>
        <w:rPr>
          <w:rFonts w:hint="eastAsia" w:ascii="仿宋" w:hAnsi="仿宋" w:eastAsia="仿宋"/>
          <w:color w:val="auto"/>
          <w:sz w:val="32"/>
          <w:szCs w:val="32"/>
          <w:highlight w:val="none"/>
          <w:lang w:eastAsia="zh-CN"/>
        </w:rPr>
        <w:t>确保</w:t>
      </w:r>
      <w:r>
        <w:rPr>
          <w:rFonts w:hint="eastAsia" w:ascii="仿宋" w:hAnsi="仿宋" w:eastAsia="仿宋"/>
          <w:color w:val="auto"/>
          <w:sz w:val="32"/>
          <w:szCs w:val="32"/>
          <w:highlight w:val="none"/>
        </w:rPr>
        <w:t>项目重金属污染物年排放控制量符合</w:t>
      </w:r>
      <w:r>
        <w:rPr>
          <w:rFonts w:hint="eastAsia" w:ascii="仿宋" w:hAnsi="仿宋" w:eastAsia="仿宋"/>
          <w:color w:val="auto"/>
          <w:sz w:val="32"/>
          <w:szCs w:val="32"/>
          <w:highlight w:val="none"/>
          <w:lang w:eastAsia="zh-CN"/>
        </w:rPr>
        <w:t>管理部门</w:t>
      </w:r>
      <w:r>
        <w:rPr>
          <w:rFonts w:hint="eastAsia" w:ascii="仿宋" w:hAnsi="仿宋" w:eastAsia="仿宋"/>
          <w:color w:val="auto"/>
          <w:sz w:val="32"/>
          <w:szCs w:val="32"/>
          <w:highlight w:val="none"/>
        </w:rPr>
        <w:t>重金属污染物年排放控制量要求</w:t>
      </w:r>
      <w:r>
        <w:rPr>
          <w:rFonts w:hint="eastAsia" w:ascii="仿宋" w:hAnsi="仿宋" w:eastAsia="仿宋"/>
          <w:color w:val="auto"/>
          <w:sz w:val="32"/>
          <w:szCs w:val="32"/>
          <w:highlight w:val="none"/>
          <w:lang w:eastAsia="zh-CN"/>
        </w:rPr>
        <w:t>。</w:t>
      </w:r>
    </w:p>
    <w:p w14:paraId="7C722D5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rPr>
        <w:t>（二）应加强生产过程中物料</w:t>
      </w:r>
      <w:r>
        <w:rPr>
          <w:rFonts w:hint="eastAsia" w:ascii="仿宋" w:hAnsi="仿宋" w:eastAsia="仿宋"/>
          <w:color w:val="auto"/>
          <w:sz w:val="32"/>
          <w:szCs w:val="32"/>
          <w:highlight w:val="none"/>
          <w:lang w:val="en-US" w:eastAsia="zh-CN"/>
        </w:rPr>
        <w:t>转移和</w:t>
      </w:r>
      <w:r>
        <w:rPr>
          <w:rFonts w:hint="eastAsia" w:ascii="仿宋" w:hAnsi="仿宋" w:eastAsia="仿宋"/>
          <w:color w:val="auto"/>
          <w:sz w:val="32"/>
          <w:szCs w:val="32"/>
          <w:highlight w:val="none"/>
        </w:rPr>
        <w:t>输送、进出料包装、生产使用过程、末端治理等各环节无组织废气控制措施。加强泵、阀门、管线、法兰等设备的维护保养</w:t>
      </w:r>
      <w:r>
        <w:rPr>
          <w:rFonts w:hint="eastAsia" w:ascii="仿宋" w:hAnsi="仿宋" w:eastAsia="仿宋"/>
          <w:color w:val="auto"/>
          <w:sz w:val="32"/>
          <w:szCs w:val="32"/>
          <w:highlight w:val="none"/>
          <w:lang w:eastAsia="zh-CN"/>
        </w:rPr>
        <w:t>，重油储罐采用封闭、密封的储罐密封储存</w:t>
      </w:r>
      <w:r>
        <w:rPr>
          <w:rFonts w:hint="eastAsia" w:ascii="仿宋" w:hAnsi="仿宋" w:eastAsia="仿宋"/>
          <w:color w:val="auto"/>
          <w:sz w:val="32"/>
          <w:szCs w:val="32"/>
          <w:highlight w:val="none"/>
        </w:rPr>
        <w:t>，确保厂界</w:t>
      </w:r>
      <w:r>
        <w:rPr>
          <w:rFonts w:hint="eastAsia" w:ascii="仿宋" w:hAnsi="仿宋" w:eastAsia="仿宋"/>
          <w:color w:val="auto"/>
          <w:sz w:val="32"/>
          <w:szCs w:val="32"/>
          <w:highlight w:val="none"/>
          <w:lang w:eastAsia="zh-CN"/>
        </w:rPr>
        <w:t>颗粒物、非甲烷总烃</w:t>
      </w:r>
      <w:r>
        <w:rPr>
          <w:rFonts w:hint="eastAsia" w:ascii="仿宋" w:hAnsi="仿宋" w:eastAsia="仿宋"/>
          <w:color w:val="auto"/>
          <w:sz w:val="32"/>
          <w:szCs w:val="32"/>
          <w:highlight w:val="none"/>
        </w:rPr>
        <w:t>排放浓度符合GB16297-1996《大气污染物综合排放标准》表2新污染源大气污染物排放限值（无组织排放监控浓度限值）要求</w:t>
      </w:r>
      <w:r>
        <w:rPr>
          <w:rFonts w:hint="eastAsia" w:ascii="仿宋" w:hAnsi="仿宋" w:eastAsia="仿宋"/>
          <w:color w:val="auto"/>
          <w:sz w:val="32"/>
          <w:szCs w:val="32"/>
          <w:highlight w:val="none"/>
          <w:lang w:eastAsia="zh-CN"/>
        </w:rPr>
        <w:t>，厂界铅及其化合物、砷及其化合物、镉及其化合物、锑及其化合物、汞及其化合物、铊及其化合物、锰及其化合物、钴及其化合物、镍及其化合物、铬酸雾排放浓度符合GB31573-2015《无机化学工业污染物排放标准》表</w:t>
      </w:r>
      <w:r>
        <w:rPr>
          <w:rFonts w:hint="eastAsia" w:ascii="仿宋" w:hAnsi="仿宋" w:eastAsia="仿宋"/>
          <w:color w:val="auto"/>
          <w:sz w:val="32"/>
          <w:szCs w:val="32"/>
          <w:highlight w:val="none"/>
          <w:lang w:val="en-US" w:eastAsia="zh-CN"/>
        </w:rPr>
        <w:t>5企业边界大气污染物排放限值要求</w:t>
      </w:r>
      <w:r>
        <w:rPr>
          <w:rFonts w:hint="eastAsia" w:ascii="仿宋" w:hAnsi="仿宋" w:eastAsia="仿宋" w:cs="Times New Roman"/>
          <w:color w:val="auto"/>
          <w:sz w:val="32"/>
          <w:szCs w:val="32"/>
          <w:highlight w:val="none"/>
          <w:lang w:val="en-US" w:eastAsia="zh-CN"/>
        </w:rPr>
        <w:t>。</w:t>
      </w:r>
    </w:p>
    <w:p w14:paraId="7A8E80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（三）</w:t>
      </w:r>
      <w:r>
        <w:rPr>
          <w:rFonts w:hint="eastAsia" w:ascii="仿宋" w:hAnsi="仿宋" w:eastAsia="仿宋"/>
          <w:color w:val="auto"/>
          <w:sz w:val="32"/>
          <w:szCs w:val="32"/>
          <w:highlight w:val="none"/>
          <w:lang w:eastAsia="zh-CN"/>
        </w:rPr>
        <w:t>项目运营期废水主要为喷淋废水、脱硫废水、</w:t>
      </w:r>
      <w:r>
        <w:rPr>
          <w:rFonts w:hint="eastAsia" w:ascii="仿宋" w:hAnsi="仿宋" w:eastAsia="仿宋"/>
          <w:color w:val="auto"/>
          <w:sz w:val="32"/>
          <w:szCs w:val="32"/>
          <w:highlight w:val="none"/>
          <w:lang w:val="en-US" w:eastAsia="zh-CN"/>
        </w:rPr>
        <w:t>含尘泥废水</w:t>
      </w:r>
      <w:r>
        <w:rPr>
          <w:rFonts w:hint="eastAsia" w:ascii="仿宋" w:hAnsi="仿宋" w:eastAsia="仿宋"/>
          <w:color w:val="auto"/>
          <w:sz w:val="32"/>
          <w:szCs w:val="32"/>
          <w:highlight w:val="none"/>
          <w:lang w:eastAsia="zh-CN"/>
        </w:rPr>
        <w:t>、生活污水及初期雨水。喷淋废水经喷淋废水沉淀池沉淀后，上清液进入喷淋废水沉淀循环水池循环使用，不外排；脱硫废水与含尘泥废水经脱硫废水沉淀池沉淀处理后，上清液进入脱硫废水沉淀循环水池循环使用，不外排；初期雨水进入初期雨水池沉淀处理后，作为现有工程循环水池补充用水，不外排；生活污水经三级化粪池处理，达到GB31573-2015《无机化学工业污染物排放标准》表1水污染物排放限值的间接排放要求后，排入园区污水管网，进入六塘片区水处理厂处理。</w:t>
      </w:r>
    </w:p>
    <w:p w14:paraId="27774A4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（四）合理布局高噪音设备，对噪声源强较大的泵、风机等设备采取有效的隔声降噪减震措施，确保厂界噪声符合</w:t>
      </w:r>
      <w:r>
        <w:rPr>
          <w:rFonts w:ascii="仿宋" w:hAnsi="仿宋" w:eastAsia="仿宋"/>
          <w:color w:val="auto"/>
          <w:sz w:val="32"/>
          <w:szCs w:val="32"/>
          <w:highlight w:val="none"/>
        </w:rPr>
        <w:t>GB12348-2008</w:t>
      </w:r>
      <w:r>
        <w:rPr>
          <w:rFonts w:hint="eastAsia" w:ascii="仿宋" w:hAnsi="仿宋" w:eastAsia="仿宋"/>
          <w:color w:val="auto"/>
          <w:sz w:val="32"/>
          <w:szCs w:val="32"/>
          <w:highlight w:val="none"/>
        </w:rPr>
        <w:t>《工业企业厂界环境噪声排放标准》</w:t>
      </w:r>
      <w:r>
        <w:rPr>
          <w:rFonts w:ascii="仿宋" w:hAnsi="仿宋" w:eastAsia="仿宋"/>
          <w:color w:val="auto"/>
          <w:sz w:val="32"/>
          <w:szCs w:val="32"/>
          <w:highlight w:val="none"/>
        </w:rPr>
        <w:t>3</w:t>
      </w:r>
      <w:r>
        <w:rPr>
          <w:rFonts w:hint="eastAsia" w:ascii="仿宋" w:hAnsi="仿宋" w:eastAsia="仿宋"/>
          <w:color w:val="auto"/>
          <w:sz w:val="32"/>
          <w:szCs w:val="32"/>
          <w:highlight w:val="none"/>
        </w:rPr>
        <w:t>类标准。</w:t>
      </w:r>
    </w:p>
    <w:p w14:paraId="1D6EABC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（五）按分区防渗原则落实各项防渗措施。厂区内须进行雨污分流、清污分流，须对</w:t>
      </w:r>
      <w:r>
        <w:rPr>
          <w:rFonts w:hint="eastAsia" w:ascii="仿宋" w:hAnsi="仿宋" w:eastAsia="仿宋"/>
          <w:color w:val="auto"/>
          <w:sz w:val="32"/>
          <w:szCs w:val="32"/>
          <w:highlight w:val="none"/>
          <w:lang w:eastAsia="zh-CN"/>
        </w:rPr>
        <w:t>危险废物暂存间</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重油储罐围堰</w:t>
      </w:r>
      <w:r>
        <w:rPr>
          <w:rFonts w:hint="eastAsia" w:ascii="仿宋" w:hAnsi="仿宋" w:eastAsia="仿宋"/>
          <w:color w:val="auto"/>
          <w:sz w:val="32"/>
          <w:szCs w:val="32"/>
          <w:highlight w:val="none"/>
        </w:rPr>
        <w:t>、锌焙砂生产车间、</w:t>
      </w:r>
      <w:r>
        <w:rPr>
          <w:rFonts w:hint="eastAsia" w:ascii="仿宋" w:hAnsi="仿宋" w:eastAsia="仿宋"/>
          <w:color w:val="auto"/>
          <w:sz w:val="32"/>
          <w:szCs w:val="32"/>
          <w:highlight w:val="none"/>
          <w:lang w:eastAsia="zh-CN"/>
        </w:rPr>
        <w:t>煅烧氧化锌生产车间</w:t>
      </w:r>
      <w:r>
        <w:rPr>
          <w:rFonts w:hint="eastAsia" w:ascii="仿宋" w:hAnsi="仿宋" w:eastAsia="仿宋"/>
          <w:color w:val="auto"/>
          <w:sz w:val="32"/>
          <w:szCs w:val="32"/>
          <w:highlight w:val="none"/>
        </w:rPr>
        <w:t>及污水排放管道等按要求进行防腐蚀和防渗漏处理。按照《环境保护图形标志</w:t>
      </w:r>
      <w:r>
        <w:rPr>
          <w:rFonts w:ascii="仿宋" w:hAnsi="仿宋" w:eastAsia="仿宋"/>
          <w:color w:val="auto"/>
          <w:sz w:val="32"/>
          <w:szCs w:val="32"/>
          <w:highlight w:val="none"/>
        </w:rPr>
        <w:t>—</w:t>
      </w:r>
      <w:r>
        <w:rPr>
          <w:rFonts w:hint="eastAsia" w:ascii="仿宋" w:hAnsi="仿宋" w:eastAsia="仿宋"/>
          <w:color w:val="auto"/>
          <w:sz w:val="32"/>
          <w:szCs w:val="32"/>
          <w:highlight w:val="none"/>
        </w:rPr>
        <w:t>排污口（源）》和《排污口规范化整治要求（试行）》有关规定建设规范化的排污口。须按排污许可相关管理要求定期进行监测。</w:t>
      </w:r>
    </w:p>
    <w:p w14:paraId="7996956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（六）在厂区及周边建立地下水和土壤监控点，委托有资质的监测机构对地下水水质和土壤进行定期动态监测，做好地下水和土壤污染预警预报。</w:t>
      </w:r>
    </w:p>
    <w:p w14:paraId="5E76295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（七）做好一般固体废物的综合利用和妥善处置工作。须按</w:t>
      </w:r>
      <w:r>
        <w:rPr>
          <w:rFonts w:hint="eastAsia" w:ascii="仿宋" w:hAnsi="仿宋" w:eastAsia="仿宋"/>
          <w:sz w:val="32"/>
          <w:szCs w:val="32"/>
          <w:highlight w:val="none"/>
        </w:rPr>
        <w:t>GB18599-2020《一般工业固体废物贮存和填埋污染控制标准》</w:t>
      </w:r>
      <w:r>
        <w:rPr>
          <w:rFonts w:hint="eastAsia" w:ascii="仿宋" w:hAnsi="仿宋" w:eastAsia="仿宋"/>
          <w:color w:val="auto"/>
          <w:sz w:val="32"/>
          <w:szCs w:val="32"/>
          <w:highlight w:val="none"/>
        </w:rPr>
        <w:t>要求设置相关污染防治设施。运营期产生的</w:t>
      </w:r>
      <w:r>
        <w:rPr>
          <w:rFonts w:hint="eastAsia" w:ascii="仿宋" w:hAnsi="仿宋" w:eastAsia="仿宋"/>
          <w:color w:val="auto"/>
          <w:sz w:val="32"/>
          <w:szCs w:val="32"/>
          <w:highlight w:val="none"/>
          <w:lang w:eastAsia="zh-CN"/>
        </w:rPr>
        <w:t>废包装袋由厂家回收利用</w:t>
      </w:r>
      <w:r>
        <w:rPr>
          <w:rFonts w:hint="eastAsia" w:ascii="仿宋" w:hAnsi="仿宋" w:eastAsia="仿宋"/>
          <w:color w:val="auto"/>
          <w:sz w:val="32"/>
          <w:szCs w:val="32"/>
          <w:highlight w:val="none"/>
        </w:rPr>
        <w:t>；生活垃圾在厂区收集后由环卫部门统一清运处理</w:t>
      </w:r>
      <w:r>
        <w:rPr>
          <w:rFonts w:hint="eastAsia" w:ascii="仿宋" w:hAnsi="仿宋" w:eastAsia="仿宋"/>
          <w:color w:val="auto"/>
          <w:sz w:val="32"/>
          <w:szCs w:val="32"/>
          <w:highlight w:val="none"/>
          <w:lang w:eastAsia="zh-CN"/>
        </w:rPr>
        <w:t>。</w:t>
      </w:r>
    </w:p>
    <w:p w14:paraId="14C9FB6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highlight w:val="none"/>
        </w:rPr>
      </w:pPr>
      <w:r>
        <w:rPr>
          <w:rFonts w:hint="eastAsia" w:ascii="仿宋" w:hAnsi="仿宋" w:eastAsia="仿宋"/>
          <w:color w:val="auto"/>
          <w:sz w:val="32"/>
          <w:szCs w:val="32"/>
          <w:highlight w:val="none"/>
        </w:rPr>
        <w:t>（八）落实报告书中各项“以新带老”整改措施。</w:t>
      </w:r>
      <w:r>
        <w:rPr>
          <w:rFonts w:hint="eastAsia" w:ascii="仿宋" w:hAnsi="仿宋" w:eastAsia="仿宋"/>
          <w:sz w:val="32"/>
          <w:szCs w:val="32"/>
          <w:highlight w:val="none"/>
        </w:rPr>
        <w:t>须按GB18597-20</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《危险废物贮存污染控制标准》要求，建设规范的</w:t>
      </w:r>
      <w:r>
        <w:rPr>
          <w:rFonts w:hint="eastAsia" w:ascii="仿宋" w:hAnsi="仿宋" w:eastAsia="仿宋"/>
          <w:sz w:val="32"/>
          <w:szCs w:val="32"/>
          <w:highlight w:val="none"/>
          <w:lang w:val="en-US" w:eastAsia="zh-CN"/>
        </w:rPr>
        <w:t>高氯锌灰、含铅锌污泥、废布袋、废机油、含油抹布及手套、实验室废液、无组织沉降粉尘等</w:t>
      </w:r>
      <w:r>
        <w:rPr>
          <w:rFonts w:hint="eastAsia" w:ascii="仿宋" w:hAnsi="仿宋" w:eastAsia="仿宋"/>
          <w:sz w:val="32"/>
          <w:szCs w:val="32"/>
          <w:highlight w:val="none"/>
        </w:rPr>
        <w:t>危险废物的收集临时存放设施，并设立明显的危废标志，危险废物须定期收集并交由有危险废物处置资质的单位按规定处理、处置，不得随意堆放、擅自外排。做好危险废物处置及转移联单的台帐记录。</w:t>
      </w:r>
    </w:p>
    <w:p w14:paraId="1957BB0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（九）加强厂区管理，</w:t>
      </w:r>
      <w:r>
        <w:rPr>
          <w:rFonts w:ascii="仿宋" w:hAnsi="仿宋" w:eastAsia="仿宋"/>
          <w:color w:val="auto"/>
          <w:sz w:val="32"/>
          <w:szCs w:val="32"/>
          <w:highlight w:val="none"/>
        </w:rPr>
        <w:t>合理布置危险物质储存区域，</w:t>
      </w:r>
      <w:r>
        <w:rPr>
          <w:rFonts w:hint="eastAsia" w:ascii="仿宋" w:hAnsi="仿宋" w:eastAsia="仿宋"/>
          <w:color w:val="auto"/>
          <w:sz w:val="32"/>
          <w:szCs w:val="32"/>
          <w:highlight w:val="none"/>
        </w:rPr>
        <w:t>合理设置事故应急池、围堰、导排水管以及生产区防泄漏措施。</w:t>
      </w:r>
      <w:r>
        <w:rPr>
          <w:rFonts w:ascii="仿宋" w:hAnsi="仿宋" w:eastAsia="仿宋"/>
          <w:color w:val="auto"/>
          <w:sz w:val="32"/>
          <w:szCs w:val="32"/>
          <w:highlight w:val="none"/>
        </w:rPr>
        <w:t>配套建设应急救援设施、救援通道、应急疏散路线、应急疏散避难所等防护设施。定期对生产设备、</w:t>
      </w:r>
      <w:r>
        <w:rPr>
          <w:rFonts w:hint="eastAsia" w:ascii="仿宋" w:hAnsi="仿宋" w:eastAsia="仿宋"/>
          <w:color w:val="auto"/>
          <w:sz w:val="32"/>
          <w:szCs w:val="32"/>
          <w:highlight w:val="none"/>
        </w:rPr>
        <w:t>阀门、管件及</w:t>
      </w:r>
      <w:r>
        <w:rPr>
          <w:rFonts w:ascii="仿宋" w:hAnsi="仿宋" w:eastAsia="仿宋"/>
          <w:color w:val="auto"/>
          <w:sz w:val="32"/>
          <w:szCs w:val="32"/>
          <w:highlight w:val="none"/>
        </w:rPr>
        <w:t>尾气处理系统等设备进行检查。</w:t>
      </w:r>
      <w:r>
        <w:rPr>
          <w:rFonts w:hint="eastAsia" w:ascii="仿宋" w:hAnsi="仿宋" w:eastAsia="仿宋"/>
          <w:color w:val="auto"/>
          <w:sz w:val="32"/>
          <w:szCs w:val="32"/>
          <w:highlight w:val="none"/>
        </w:rPr>
        <w:t>按照《关于印发〈企业事业单位突发环境事件应急预案备案管理办法（试行）〉的通知》（环发〔</w:t>
      </w:r>
      <w:r>
        <w:rPr>
          <w:rFonts w:ascii="仿宋" w:hAnsi="仿宋" w:eastAsia="仿宋"/>
          <w:color w:val="auto"/>
          <w:sz w:val="32"/>
          <w:szCs w:val="32"/>
          <w:highlight w:val="none"/>
        </w:rPr>
        <w:t>2015</w:t>
      </w:r>
      <w:r>
        <w:rPr>
          <w:rFonts w:hint="eastAsia" w:ascii="仿宋" w:hAnsi="仿宋" w:eastAsia="仿宋"/>
          <w:color w:val="auto"/>
          <w:sz w:val="32"/>
          <w:szCs w:val="32"/>
          <w:highlight w:val="none"/>
        </w:rPr>
        <w:t>〕</w:t>
      </w:r>
      <w:r>
        <w:rPr>
          <w:rFonts w:ascii="仿宋" w:hAnsi="仿宋" w:eastAsia="仿宋"/>
          <w:color w:val="auto"/>
          <w:sz w:val="32"/>
          <w:szCs w:val="32"/>
          <w:highlight w:val="none"/>
        </w:rPr>
        <w:t xml:space="preserve">4 </w:t>
      </w:r>
      <w:r>
        <w:rPr>
          <w:rFonts w:hint="eastAsia" w:ascii="仿宋" w:hAnsi="仿宋" w:eastAsia="仿宋"/>
          <w:color w:val="auto"/>
          <w:sz w:val="32"/>
          <w:szCs w:val="32"/>
          <w:highlight w:val="none"/>
        </w:rPr>
        <w:t>号）等相关要求，制订应急预案，配备相应的应急保障物资，落实环境风险防范措施，定期进行应急演练。加强环境管理，落实环境保护规章制度，确保环保设施的正常运转以及各项污染物稳定达标排放。</w:t>
      </w:r>
    </w:p>
    <w:p w14:paraId="6D57BB3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（十）加强环境管理，落实环境保护规章制度，确保环保设施的正常运转以及各项污染物稳定达标排放。</w:t>
      </w:r>
    </w:p>
    <w:p w14:paraId="45AC748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十一）落实《建设项目环境影响评价信息公开机制方案》（环发〔2015〕162号），公开项目环境信息，接受社会监督，并主动做好项目建设和运营期与周边公众的沟通协调，及时解决公众提出的环境问题，采纳公众的合理意见，满足公众合理的环境诉求。</w:t>
      </w:r>
    </w:p>
    <w:p w14:paraId="53FEF6D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三、该项目建设必须严格执行环境保护设施与主体工程同时设计、同时施工、同时投产使用的环境保护“三同时”制度并依法办理排污许可手续。在落实本批复和《报告书》提出的各项环境保护措施和要求后，建设单位可自行决定项目投入调试的具体时间并请以书面形式向当地生态环境主管部门备案。工程建成后，须按《建设项目竣工环境保护验收暂行办法》要求实施竣工环境保护验收。未落实本批复和《报告书》提出的各项环境保护措施、未办理排污许可手续擅自投入调试生产、未经竣工环境验收擅自投入生产的，未向社会公开有关信息的，应承担相应的法律责任。</w:t>
      </w:r>
    </w:p>
    <w:p w14:paraId="2DA79B6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四、项目申报时已开工建设；建设项目的性质、规模、地点、采用的生产工艺或者防治污染、防止生态破坏的措施发生重大变动的，建设单位应当重新报批建设项目的环境影响评价文件。</w:t>
      </w:r>
    </w:p>
    <w:p w14:paraId="6AD7E8A7">
      <w:pPr>
        <w:keepNext w:val="0"/>
        <w:keepLines w:val="0"/>
        <w:pageBreakBefore w:val="0"/>
        <w:widowControl w:val="0"/>
        <w:tabs>
          <w:tab w:val="left" w:pos="4905"/>
        </w:tabs>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五、建设单位在接到本批复</w:t>
      </w:r>
      <w:r>
        <w:rPr>
          <w:rFonts w:ascii="仿宋" w:hAnsi="仿宋" w:eastAsia="仿宋"/>
          <w:color w:val="auto"/>
          <w:sz w:val="32"/>
          <w:szCs w:val="32"/>
          <w:highlight w:val="none"/>
        </w:rPr>
        <w:t>5</w:t>
      </w:r>
      <w:r>
        <w:rPr>
          <w:rFonts w:hint="eastAsia" w:ascii="仿宋" w:hAnsi="仿宋" w:eastAsia="仿宋"/>
          <w:color w:val="auto"/>
          <w:sz w:val="32"/>
          <w:szCs w:val="32"/>
          <w:highlight w:val="none"/>
        </w:rPr>
        <w:t>日内，将批复文件及批准后的《报告书》（报批稿）送达柳州市</w:t>
      </w:r>
      <w:r>
        <w:rPr>
          <w:rFonts w:hint="eastAsia" w:ascii="仿宋" w:hAnsi="仿宋" w:eastAsia="仿宋"/>
          <w:color w:val="auto"/>
          <w:sz w:val="32"/>
          <w:szCs w:val="32"/>
          <w:highlight w:val="none"/>
          <w:lang w:eastAsia="zh-CN"/>
        </w:rPr>
        <w:t>柳城</w:t>
      </w:r>
      <w:r>
        <w:rPr>
          <w:rFonts w:hint="eastAsia" w:ascii="仿宋" w:hAnsi="仿宋" w:eastAsia="仿宋"/>
          <w:color w:val="auto"/>
          <w:sz w:val="32"/>
          <w:szCs w:val="32"/>
          <w:highlight w:val="none"/>
        </w:rPr>
        <w:t>生态环境局,并按规定接受辖区生态环境部门的监管检查。请柳州市</w:t>
      </w:r>
      <w:r>
        <w:rPr>
          <w:rFonts w:hint="eastAsia" w:ascii="仿宋" w:hAnsi="仿宋" w:eastAsia="仿宋"/>
          <w:color w:val="auto"/>
          <w:sz w:val="32"/>
          <w:szCs w:val="32"/>
          <w:highlight w:val="none"/>
          <w:lang w:eastAsia="zh-CN"/>
        </w:rPr>
        <w:t>柳城</w:t>
      </w:r>
      <w:r>
        <w:rPr>
          <w:rFonts w:hint="eastAsia" w:ascii="仿宋" w:hAnsi="仿宋" w:eastAsia="仿宋"/>
          <w:color w:val="auto"/>
          <w:sz w:val="32"/>
          <w:szCs w:val="32"/>
          <w:highlight w:val="none"/>
        </w:rPr>
        <w:t>生态环境局按规定对项目执行环保“三同时”情况进行日常监督管理，发现环境问题及时上报柳州市生态环境局。</w:t>
      </w:r>
      <w:bookmarkEnd w:id="0"/>
    </w:p>
    <w:p w14:paraId="1A342E58">
      <w:pPr>
        <w:tabs>
          <w:tab w:val="left" w:pos="4905"/>
        </w:tabs>
        <w:spacing w:line="340" w:lineRule="exact"/>
        <w:rPr>
          <w:rFonts w:ascii="仿宋" w:hAnsi="仿宋" w:eastAsia="仿宋"/>
          <w:sz w:val="32"/>
          <w:szCs w:val="32"/>
        </w:rPr>
      </w:pPr>
    </w:p>
    <w:p w14:paraId="6FEA95CD">
      <w:pPr>
        <w:tabs>
          <w:tab w:val="left" w:pos="4905"/>
        </w:tabs>
        <w:spacing w:line="340" w:lineRule="exact"/>
        <w:ind w:firstLine="640" w:firstLineChars="200"/>
        <w:rPr>
          <w:rFonts w:ascii="仿宋" w:hAnsi="仿宋" w:eastAsia="仿宋"/>
          <w:sz w:val="32"/>
          <w:szCs w:val="32"/>
        </w:rPr>
      </w:pPr>
      <w:r>
        <w:rPr>
          <w:rFonts w:ascii="仿宋" w:hAnsi="仿宋" w:eastAsia="仿宋"/>
          <w:sz w:val="32"/>
          <w:szCs w:val="32"/>
        </w:rPr>
        <w:t xml:space="preserve">                       </w:t>
      </w:r>
    </w:p>
    <w:p w14:paraId="451B8817">
      <w:pPr>
        <w:tabs>
          <w:tab w:val="left" w:pos="4905"/>
        </w:tabs>
        <w:spacing w:line="340" w:lineRule="exact"/>
        <w:ind w:firstLine="640" w:firstLineChars="200"/>
        <w:rPr>
          <w:rFonts w:ascii="仿宋" w:hAnsi="仿宋" w:eastAsia="仿宋"/>
          <w:sz w:val="32"/>
          <w:szCs w:val="32"/>
          <w:highlight w:val="none"/>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highlight w:val="none"/>
        </w:rPr>
        <w:t xml:space="preserve"> 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14</w:t>
      </w:r>
      <w:r>
        <w:rPr>
          <w:rFonts w:hint="eastAsia" w:ascii="仿宋" w:hAnsi="仿宋" w:eastAsia="仿宋"/>
          <w:sz w:val="32"/>
          <w:szCs w:val="32"/>
          <w:highlight w:val="none"/>
        </w:rPr>
        <w:t>日</w:t>
      </w:r>
    </w:p>
    <w:p w14:paraId="32C19C4C">
      <w:pPr>
        <w:tabs>
          <w:tab w:val="left" w:pos="4905"/>
        </w:tabs>
        <w:spacing w:line="340" w:lineRule="exact"/>
        <w:rPr>
          <w:rFonts w:ascii="仿宋" w:hAnsi="仿宋" w:eastAsia="仿宋"/>
          <w:sz w:val="32"/>
          <w:szCs w:val="32"/>
        </w:rPr>
      </w:pPr>
    </w:p>
    <w:p w14:paraId="3CD0363E">
      <w:pPr>
        <w:tabs>
          <w:tab w:val="left" w:pos="4905"/>
        </w:tabs>
        <w:spacing w:line="340" w:lineRule="exact"/>
        <w:rPr>
          <w:rFonts w:ascii="仿宋" w:hAnsi="仿宋" w:eastAsia="仿宋"/>
          <w:sz w:val="32"/>
          <w:szCs w:val="32"/>
        </w:rPr>
      </w:pPr>
    </w:p>
    <w:p w14:paraId="59BE9D07">
      <w:pPr>
        <w:tabs>
          <w:tab w:val="left" w:pos="4905"/>
        </w:tabs>
        <w:spacing w:line="340" w:lineRule="exact"/>
        <w:rPr>
          <w:rFonts w:ascii="仿宋" w:hAnsi="仿宋" w:eastAsia="仿宋"/>
          <w:sz w:val="32"/>
          <w:szCs w:val="32"/>
        </w:rPr>
      </w:pPr>
    </w:p>
    <w:p w14:paraId="3EE60078">
      <w:pPr>
        <w:tabs>
          <w:tab w:val="left" w:pos="4905"/>
        </w:tabs>
        <w:spacing w:line="34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此件公开发布</w:t>
      </w:r>
      <w:r>
        <w:rPr>
          <w:rFonts w:hint="eastAsia" w:ascii="仿宋" w:hAnsi="仿宋" w:eastAsia="仿宋"/>
          <w:sz w:val="32"/>
          <w:szCs w:val="32"/>
        </w:rPr>
        <w:t>）</w:t>
      </w:r>
    </w:p>
    <w:p w14:paraId="6FF86C31">
      <w:pPr>
        <w:spacing w:line="340" w:lineRule="exact"/>
        <w:rPr>
          <w:rFonts w:ascii="仿宋" w:hAnsi="仿宋" w:eastAsia="仿宋"/>
          <w:bCs/>
          <w:sz w:val="28"/>
          <w:szCs w:val="28"/>
          <w:u w:val="single"/>
        </w:rPr>
      </w:pPr>
      <w:r>
        <w:rPr>
          <w:rFonts w:ascii="仿宋" w:hAnsi="仿宋" w:eastAsia="仿宋"/>
          <w:bCs/>
          <w:sz w:val="28"/>
          <w:szCs w:val="28"/>
          <w:u w:val="single"/>
        </w:rPr>
        <w:t xml:space="preserve">    </w:t>
      </w:r>
      <w:r>
        <w:rPr>
          <w:rFonts w:hint="eastAsia" w:ascii="仿宋" w:hAnsi="仿宋" w:eastAsia="仿宋"/>
          <w:bCs/>
          <w:sz w:val="28"/>
          <w:szCs w:val="28"/>
          <w:u w:val="single"/>
        </w:rPr>
        <w:t>投资项目在线审批监管平台项目代码：</w:t>
      </w:r>
      <w:r>
        <w:rPr>
          <w:rFonts w:hint="eastAsia" w:ascii="仿宋" w:hAnsi="仿宋" w:eastAsia="仿宋"/>
          <w:bCs/>
          <w:sz w:val="28"/>
          <w:szCs w:val="28"/>
          <w:highlight w:val="none"/>
          <w:u w:val="single"/>
          <w:lang w:val="en-US" w:eastAsia="zh-CN"/>
        </w:rPr>
        <w:t>2504-450222-07-01-689061</w:t>
      </w:r>
      <w:r>
        <w:rPr>
          <w:rFonts w:ascii="仿宋" w:hAnsi="仿宋" w:eastAsia="仿宋"/>
          <w:bCs/>
          <w:sz w:val="28"/>
          <w:szCs w:val="28"/>
          <w:highlight w:val="none"/>
          <w:u w:val="single"/>
        </w:rPr>
        <w:t xml:space="preserve"> </w:t>
      </w:r>
      <w:r>
        <w:rPr>
          <w:rFonts w:ascii="仿宋" w:hAnsi="仿宋" w:eastAsia="仿宋"/>
          <w:bCs/>
          <w:sz w:val="28"/>
          <w:szCs w:val="28"/>
          <w:u w:val="single"/>
        </w:rPr>
        <w:t xml:space="preserve">   </w:t>
      </w:r>
    </w:p>
    <w:p w14:paraId="500281DD">
      <w:pPr>
        <w:spacing w:line="34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 xml:space="preserve">柳州市生态环境局   </w:t>
      </w:r>
      <w:r>
        <w:rPr>
          <w:rFonts w:ascii="仿宋" w:hAnsi="仿宋" w:eastAsia="仿宋"/>
          <w:sz w:val="32"/>
          <w:szCs w:val="32"/>
          <w:u w:val="single"/>
        </w:rPr>
        <w:t xml:space="preserve">                                 </w:t>
      </w:r>
    </w:p>
    <w:p w14:paraId="4C75D06C">
      <w:pPr>
        <w:spacing w:line="340" w:lineRule="exact"/>
        <w:ind w:left="5440" w:hanging="5440" w:hangingChars="1700"/>
      </w:pPr>
      <w:r>
        <w:rPr>
          <w:rFonts w:hint="eastAsia" w:ascii="仿宋" w:hAnsi="仿宋" w:eastAsia="仿宋"/>
          <w:sz w:val="32"/>
          <w:szCs w:val="32"/>
        </w:rPr>
        <w:t>柳州市行政审批局</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20</w:t>
      </w:r>
      <w:r>
        <w:rPr>
          <w:rFonts w:hint="eastAsia"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14</w:t>
      </w:r>
      <w:r>
        <w:rPr>
          <w:rFonts w:hint="eastAsia" w:ascii="仿宋" w:hAnsi="仿宋" w:eastAsia="仿宋"/>
          <w:sz w:val="32"/>
          <w:szCs w:val="32"/>
        </w:rPr>
        <w:t>日印发</w:t>
      </w:r>
      <w:r>
        <w:rPr>
          <w:rFonts w:ascii="仿宋" w:hAnsi="仿宋" w:eastAsia="仿宋"/>
          <w:sz w:val="32"/>
          <w:szCs w:val="32"/>
        </w:rPr>
        <w:t xml:space="preserve"> </w:t>
      </w:r>
    </w:p>
    <w:sectPr>
      <w:headerReference r:id="rId3" w:type="default"/>
      <w:footerReference r:id="rId4" w:type="default"/>
      <w:footerReference r:id="rId5" w:type="even"/>
      <w:pgSz w:w="11906" w:h="16838"/>
      <w:pgMar w:top="1440" w:right="146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DBB1">
    <w:pPr>
      <w:pStyle w:val="8"/>
      <w:jc w:val="center"/>
    </w:pPr>
    <w:r>
      <w:fldChar w:fldCharType="begin"/>
    </w:r>
    <w:r>
      <w:instrText xml:space="preserve"> PAGE   \* MERGEFORMAT </w:instrText>
    </w:r>
    <w:r>
      <w:fldChar w:fldCharType="separate"/>
    </w:r>
    <w:r>
      <w:rPr>
        <w:lang w:val="zh-CN"/>
      </w:rPr>
      <w:t>1</w:t>
    </w:r>
    <w:r>
      <w:rPr>
        <w:lang w:val="zh-CN"/>
      </w:rPr>
      <w:fldChar w:fldCharType="end"/>
    </w:r>
  </w:p>
  <w:p w14:paraId="5ABC5FC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9C91">
    <w:pPr>
      <w:pStyle w:val="8"/>
      <w:jc w:val="center"/>
    </w:pPr>
    <w:r>
      <w:fldChar w:fldCharType="begin"/>
    </w:r>
    <w:r>
      <w:instrText xml:space="preserve"> PAGE   \* MERGEFORMAT </w:instrText>
    </w:r>
    <w:r>
      <w:fldChar w:fldCharType="separate"/>
    </w:r>
    <w:r>
      <w:rPr>
        <w:lang w:val="zh-CN"/>
      </w:rPr>
      <w:t>2</w:t>
    </w:r>
    <w:r>
      <w:rPr>
        <w:lang w:val="zh-CN"/>
      </w:rPr>
      <w:fldChar w:fldCharType="end"/>
    </w:r>
  </w:p>
  <w:p w14:paraId="6BD3F7C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C83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A3E55"/>
    <w:multiLevelType w:val="multilevel"/>
    <w:tmpl w:val="4B7A3E55"/>
    <w:lvl w:ilvl="0" w:tentative="0">
      <w:start w:val="1"/>
      <w:numFmt w:val="decimal"/>
      <w:pStyle w:val="2"/>
      <w:suff w:val="space"/>
      <w:lvlText w:val="%1"/>
      <w:lvlJc w:val="left"/>
      <w:pPr>
        <w:ind w:left="120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mYTZlNzI5YTEyN2U1YmUzMTMyMjE0YzhiMWVkN2UifQ=="/>
  </w:docVars>
  <w:rsids>
    <w:rsidRoot w:val="001115C6"/>
    <w:rsid w:val="0000092F"/>
    <w:rsid w:val="00001603"/>
    <w:rsid w:val="00002DB3"/>
    <w:rsid w:val="00003D8F"/>
    <w:rsid w:val="00007094"/>
    <w:rsid w:val="00007473"/>
    <w:rsid w:val="00007663"/>
    <w:rsid w:val="000161DA"/>
    <w:rsid w:val="00016931"/>
    <w:rsid w:val="00016CC7"/>
    <w:rsid w:val="00017F77"/>
    <w:rsid w:val="0002263A"/>
    <w:rsid w:val="00022C75"/>
    <w:rsid w:val="00023C01"/>
    <w:rsid w:val="00024C74"/>
    <w:rsid w:val="00026733"/>
    <w:rsid w:val="00027A25"/>
    <w:rsid w:val="00027E19"/>
    <w:rsid w:val="000303A7"/>
    <w:rsid w:val="0003050D"/>
    <w:rsid w:val="00040C73"/>
    <w:rsid w:val="00040DE0"/>
    <w:rsid w:val="000417E0"/>
    <w:rsid w:val="00041851"/>
    <w:rsid w:val="00042511"/>
    <w:rsid w:val="00042944"/>
    <w:rsid w:val="00043CEA"/>
    <w:rsid w:val="00043D5F"/>
    <w:rsid w:val="00044BF4"/>
    <w:rsid w:val="00045087"/>
    <w:rsid w:val="00045671"/>
    <w:rsid w:val="00046318"/>
    <w:rsid w:val="00046A10"/>
    <w:rsid w:val="000477B1"/>
    <w:rsid w:val="000510DB"/>
    <w:rsid w:val="000521A2"/>
    <w:rsid w:val="0005281C"/>
    <w:rsid w:val="00054F44"/>
    <w:rsid w:val="00057910"/>
    <w:rsid w:val="000625B3"/>
    <w:rsid w:val="00062CCC"/>
    <w:rsid w:val="0006394D"/>
    <w:rsid w:val="00063B2D"/>
    <w:rsid w:val="000646BE"/>
    <w:rsid w:val="0006514E"/>
    <w:rsid w:val="00066FA4"/>
    <w:rsid w:val="00071B0E"/>
    <w:rsid w:val="00072D60"/>
    <w:rsid w:val="000731E8"/>
    <w:rsid w:val="00074553"/>
    <w:rsid w:val="00075F94"/>
    <w:rsid w:val="000775EB"/>
    <w:rsid w:val="00082883"/>
    <w:rsid w:val="000853BD"/>
    <w:rsid w:val="00086DCA"/>
    <w:rsid w:val="0008742C"/>
    <w:rsid w:val="00087ADD"/>
    <w:rsid w:val="00087D43"/>
    <w:rsid w:val="00090B19"/>
    <w:rsid w:val="00090F88"/>
    <w:rsid w:val="000912D6"/>
    <w:rsid w:val="00092089"/>
    <w:rsid w:val="00095F22"/>
    <w:rsid w:val="000A152D"/>
    <w:rsid w:val="000A2009"/>
    <w:rsid w:val="000A2136"/>
    <w:rsid w:val="000A2FDF"/>
    <w:rsid w:val="000A529B"/>
    <w:rsid w:val="000A7066"/>
    <w:rsid w:val="000B113F"/>
    <w:rsid w:val="000B1860"/>
    <w:rsid w:val="000B2CD0"/>
    <w:rsid w:val="000B39A8"/>
    <w:rsid w:val="000B533E"/>
    <w:rsid w:val="000C0B5E"/>
    <w:rsid w:val="000C1905"/>
    <w:rsid w:val="000C4139"/>
    <w:rsid w:val="000C4333"/>
    <w:rsid w:val="000C6039"/>
    <w:rsid w:val="000C75CA"/>
    <w:rsid w:val="000D08B2"/>
    <w:rsid w:val="000D0A91"/>
    <w:rsid w:val="000D1CFB"/>
    <w:rsid w:val="000D28E6"/>
    <w:rsid w:val="000D5A63"/>
    <w:rsid w:val="000D616A"/>
    <w:rsid w:val="000D7F39"/>
    <w:rsid w:val="000E0183"/>
    <w:rsid w:val="000E02F2"/>
    <w:rsid w:val="000E090C"/>
    <w:rsid w:val="000E5B35"/>
    <w:rsid w:val="000E63FE"/>
    <w:rsid w:val="000F099B"/>
    <w:rsid w:val="000F0B87"/>
    <w:rsid w:val="000F1F05"/>
    <w:rsid w:val="000F351A"/>
    <w:rsid w:val="000F3BB2"/>
    <w:rsid w:val="00102CBB"/>
    <w:rsid w:val="00103D54"/>
    <w:rsid w:val="001055B6"/>
    <w:rsid w:val="001108F0"/>
    <w:rsid w:val="00110963"/>
    <w:rsid w:val="001115C6"/>
    <w:rsid w:val="00111F78"/>
    <w:rsid w:val="00113A98"/>
    <w:rsid w:val="0011522B"/>
    <w:rsid w:val="00116E10"/>
    <w:rsid w:val="00116EF7"/>
    <w:rsid w:val="001209C0"/>
    <w:rsid w:val="001233DF"/>
    <w:rsid w:val="0012553F"/>
    <w:rsid w:val="00125CAF"/>
    <w:rsid w:val="00127CF8"/>
    <w:rsid w:val="00130277"/>
    <w:rsid w:val="00133D7D"/>
    <w:rsid w:val="0013449B"/>
    <w:rsid w:val="00137474"/>
    <w:rsid w:val="001443DF"/>
    <w:rsid w:val="00145DBC"/>
    <w:rsid w:val="00146025"/>
    <w:rsid w:val="00146C3E"/>
    <w:rsid w:val="001503F1"/>
    <w:rsid w:val="0015148B"/>
    <w:rsid w:val="001514B5"/>
    <w:rsid w:val="0015207D"/>
    <w:rsid w:val="00152C21"/>
    <w:rsid w:val="00154740"/>
    <w:rsid w:val="00154B79"/>
    <w:rsid w:val="00161BA4"/>
    <w:rsid w:val="001622EC"/>
    <w:rsid w:val="00164CBD"/>
    <w:rsid w:val="001656AD"/>
    <w:rsid w:val="00165BA6"/>
    <w:rsid w:val="001710B9"/>
    <w:rsid w:val="001716C7"/>
    <w:rsid w:val="00171D64"/>
    <w:rsid w:val="00171E90"/>
    <w:rsid w:val="00171FF9"/>
    <w:rsid w:val="00175212"/>
    <w:rsid w:val="001754BB"/>
    <w:rsid w:val="00177EF2"/>
    <w:rsid w:val="00181C17"/>
    <w:rsid w:val="001832FA"/>
    <w:rsid w:val="00183EF3"/>
    <w:rsid w:val="00183FFA"/>
    <w:rsid w:val="001858BB"/>
    <w:rsid w:val="00187053"/>
    <w:rsid w:val="00187C58"/>
    <w:rsid w:val="00187D31"/>
    <w:rsid w:val="00190225"/>
    <w:rsid w:val="00190D38"/>
    <w:rsid w:val="0019214C"/>
    <w:rsid w:val="00193D99"/>
    <w:rsid w:val="00193E9B"/>
    <w:rsid w:val="00194B2C"/>
    <w:rsid w:val="0019716D"/>
    <w:rsid w:val="001A2704"/>
    <w:rsid w:val="001A40E3"/>
    <w:rsid w:val="001A7727"/>
    <w:rsid w:val="001B107E"/>
    <w:rsid w:val="001B1AB7"/>
    <w:rsid w:val="001B2480"/>
    <w:rsid w:val="001B41A6"/>
    <w:rsid w:val="001B48B2"/>
    <w:rsid w:val="001B6E7E"/>
    <w:rsid w:val="001B6ECD"/>
    <w:rsid w:val="001C125A"/>
    <w:rsid w:val="001C15AB"/>
    <w:rsid w:val="001C58F9"/>
    <w:rsid w:val="001C7251"/>
    <w:rsid w:val="001C73D3"/>
    <w:rsid w:val="001C7EA4"/>
    <w:rsid w:val="001D05C0"/>
    <w:rsid w:val="001D078B"/>
    <w:rsid w:val="001D0EC8"/>
    <w:rsid w:val="001D3AF1"/>
    <w:rsid w:val="001D6CBB"/>
    <w:rsid w:val="001D6DAA"/>
    <w:rsid w:val="001E0938"/>
    <w:rsid w:val="001E35AB"/>
    <w:rsid w:val="001E3C34"/>
    <w:rsid w:val="001E4923"/>
    <w:rsid w:val="001E4AED"/>
    <w:rsid w:val="001E5783"/>
    <w:rsid w:val="001E597B"/>
    <w:rsid w:val="001E5EE7"/>
    <w:rsid w:val="001E60F4"/>
    <w:rsid w:val="001E68CD"/>
    <w:rsid w:val="001E6CB9"/>
    <w:rsid w:val="001F051E"/>
    <w:rsid w:val="001F094B"/>
    <w:rsid w:val="001F0DE6"/>
    <w:rsid w:val="001F11EF"/>
    <w:rsid w:val="001F2343"/>
    <w:rsid w:val="001F3A6D"/>
    <w:rsid w:val="001F3D1A"/>
    <w:rsid w:val="001F694E"/>
    <w:rsid w:val="0020159E"/>
    <w:rsid w:val="00202C03"/>
    <w:rsid w:val="00204D49"/>
    <w:rsid w:val="00205ACC"/>
    <w:rsid w:val="00206103"/>
    <w:rsid w:val="0020768B"/>
    <w:rsid w:val="002076E5"/>
    <w:rsid w:val="00207BFD"/>
    <w:rsid w:val="002148A2"/>
    <w:rsid w:val="00214B2A"/>
    <w:rsid w:val="00215D64"/>
    <w:rsid w:val="00217C9E"/>
    <w:rsid w:val="00223DE7"/>
    <w:rsid w:val="00224251"/>
    <w:rsid w:val="00225BCB"/>
    <w:rsid w:val="00226937"/>
    <w:rsid w:val="00231496"/>
    <w:rsid w:val="00231FF8"/>
    <w:rsid w:val="00232045"/>
    <w:rsid w:val="00234128"/>
    <w:rsid w:val="0023474F"/>
    <w:rsid w:val="002355EE"/>
    <w:rsid w:val="002379DC"/>
    <w:rsid w:val="00240F7B"/>
    <w:rsid w:val="00241CF6"/>
    <w:rsid w:val="00242AF9"/>
    <w:rsid w:val="0024751C"/>
    <w:rsid w:val="00247DEE"/>
    <w:rsid w:val="00251ED7"/>
    <w:rsid w:val="00252580"/>
    <w:rsid w:val="00254C13"/>
    <w:rsid w:val="002551C0"/>
    <w:rsid w:val="00257C39"/>
    <w:rsid w:val="002607A3"/>
    <w:rsid w:val="00260FE5"/>
    <w:rsid w:val="00262D96"/>
    <w:rsid w:val="0026353D"/>
    <w:rsid w:val="00264983"/>
    <w:rsid w:val="00264FDB"/>
    <w:rsid w:val="00265D7F"/>
    <w:rsid w:val="0026737B"/>
    <w:rsid w:val="002700B4"/>
    <w:rsid w:val="00270F50"/>
    <w:rsid w:val="00277B17"/>
    <w:rsid w:val="0028048F"/>
    <w:rsid w:val="00280E3A"/>
    <w:rsid w:val="002845CC"/>
    <w:rsid w:val="002859C5"/>
    <w:rsid w:val="00287C91"/>
    <w:rsid w:val="00290A73"/>
    <w:rsid w:val="00292F07"/>
    <w:rsid w:val="00293518"/>
    <w:rsid w:val="002941A0"/>
    <w:rsid w:val="002A129D"/>
    <w:rsid w:val="002A36E8"/>
    <w:rsid w:val="002A4E46"/>
    <w:rsid w:val="002A630D"/>
    <w:rsid w:val="002B005B"/>
    <w:rsid w:val="002B0E78"/>
    <w:rsid w:val="002B2EE7"/>
    <w:rsid w:val="002B3EE6"/>
    <w:rsid w:val="002B416E"/>
    <w:rsid w:val="002B6B9D"/>
    <w:rsid w:val="002C09FC"/>
    <w:rsid w:val="002C371F"/>
    <w:rsid w:val="002C6679"/>
    <w:rsid w:val="002C6F75"/>
    <w:rsid w:val="002D4CED"/>
    <w:rsid w:val="002D6060"/>
    <w:rsid w:val="002D646F"/>
    <w:rsid w:val="002D7670"/>
    <w:rsid w:val="002E3738"/>
    <w:rsid w:val="002E4C99"/>
    <w:rsid w:val="002E5EA9"/>
    <w:rsid w:val="002E7ACC"/>
    <w:rsid w:val="002F07C2"/>
    <w:rsid w:val="002F40C5"/>
    <w:rsid w:val="00300139"/>
    <w:rsid w:val="003020EF"/>
    <w:rsid w:val="00302D0C"/>
    <w:rsid w:val="00303621"/>
    <w:rsid w:val="0030373E"/>
    <w:rsid w:val="00303F41"/>
    <w:rsid w:val="00305572"/>
    <w:rsid w:val="00313D52"/>
    <w:rsid w:val="00314CEE"/>
    <w:rsid w:val="0031550A"/>
    <w:rsid w:val="0031616E"/>
    <w:rsid w:val="00317A6A"/>
    <w:rsid w:val="0032205C"/>
    <w:rsid w:val="00322363"/>
    <w:rsid w:val="003233C0"/>
    <w:rsid w:val="003241B3"/>
    <w:rsid w:val="003307F0"/>
    <w:rsid w:val="00331F21"/>
    <w:rsid w:val="00332DE4"/>
    <w:rsid w:val="0033497B"/>
    <w:rsid w:val="00335CC2"/>
    <w:rsid w:val="003366A5"/>
    <w:rsid w:val="003379A6"/>
    <w:rsid w:val="0034283B"/>
    <w:rsid w:val="003430B0"/>
    <w:rsid w:val="00344C34"/>
    <w:rsid w:val="00345223"/>
    <w:rsid w:val="00345700"/>
    <w:rsid w:val="00346822"/>
    <w:rsid w:val="003507BF"/>
    <w:rsid w:val="00351A3C"/>
    <w:rsid w:val="00352640"/>
    <w:rsid w:val="00355735"/>
    <w:rsid w:val="0035756F"/>
    <w:rsid w:val="00357DAE"/>
    <w:rsid w:val="003618C0"/>
    <w:rsid w:val="003619B9"/>
    <w:rsid w:val="00361D41"/>
    <w:rsid w:val="003622FA"/>
    <w:rsid w:val="003627AE"/>
    <w:rsid w:val="003633E6"/>
    <w:rsid w:val="00363E53"/>
    <w:rsid w:val="0036432D"/>
    <w:rsid w:val="003652AC"/>
    <w:rsid w:val="00366843"/>
    <w:rsid w:val="00370FA6"/>
    <w:rsid w:val="00371199"/>
    <w:rsid w:val="00372EBE"/>
    <w:rsid w:val="003747F9"/>
    <w:rsid w:val="003749F8"/>
    <w:rsid w:val="00375FA8"/>
    <w:rsid w:val="0037695A"/>
    <w:rsid w:val="00377A9B"/>
    <w:rsid w:val="00380592"/>
    <w:rsid w:val="0038475C"/>
    <w:rsid w:val="00385110"/>
    <w:rsid w:val="00385EFA"/>
    <w:rsid w:val="0038692A"/>
    <w:rsid w:val="003957F1"/>
    <w:rsid w:val="00396A47"/>
    <w:rsid w:val="00397F8F"/>
    <w:rsid w:val="003A081C"/>
    <w:rsid w:val="003A14F2"/>
    <w:rsid w:val="003A2C97"/>
    <w:rsid w:val="003A43BC"/>
    <w:rsid w:val="003A50D6"/>
    <w:rsid w:val="003A6447"/>
    <w:rsid w:val="003A766B"/>
    <w:rsid w:val="003B01C7"/>
    <w:rsid w:val="003B2766"/>
    <w:rsid w:val="003B2E9F"/>
    <w:rsid w:val="003B57DD"/>
    <w:rsid w:val="003B58AE"/>
    <w:rsid w:val="003B6648"/>
    <w:rsid w:val="003C449D"/>
    <w:rsid w:val="003C52F0"/>
    <w:rsid w:val="003C59DB"/>
    <w:rsid w:val="003C7777"/>
    <w:rsid w:val="003D0212"/>
    <w:rsid w:val="003D3847"/>
    <w:rsid w:val="003D43BC"/>
    <w:rsid w:val="003D7117"/>
    <w:rsid w:val="003D7651"/>
    <w:rsid w:val="003E3C4E"/>
    <w:rsid w:val="003E3D95"/>
    <w:rsid w:val="003E45C5"/>
    <w:rsid w:val="003E5267"/>
    <w:rsid w:val="003E7EE8"/>
    <w:rsid w:val="003F0448"/>
    <w:rsid w:val="003F12C4"/>
    <w:rsid w:val="003F1774"/>
    <w:rsid w:val="003F3168"/>
    <w:rsid w:val="004035BF"/>
    <w:rsid w:val="00403FB6"/>
    <w:rsid w:val="004045A3"/>
    <w:rsid w:val="00410116"/>
    <w:rsid w:val="00410461"/>
    <w:rsid w:val="00410C02"/>
    <w:rsid w:val="00412691"/>
    <w:rsid w:val="00414740"/>
    <w:rsid w:val="00414E2F"/>
    <w:rsid w:val="00414FCF"/>
    <w:rsid w:val="00415D6B"/>
    <w:rsid w:val="004235B2"/>
    <w:rsid w:val="00424A8B"/>
    <w:rsid w:val="00424ADD"/>
    <w:rsid w:val="00424DB6"/>
    <w:rsid w:val="0042550A"/>
    <w:rsid w:val="00425F30"/>
    <w:rsid w:val="0043316D"/>
    <w:rsid w:val="00436E64"/>
    <w:rsid w:val="00437CCC"/>
    <w:rsid w:val="00437F7E"/>
    <w:rsid w:val="00443286"/>
    <w:rsid w:val="00443E30"/>
    <w:rsid w:val="00444C0A"/>
    <w:rsid w:val="0044684F"/>
    <w:rsid w:val="0044794A"/>
    <w:rsid w:val="00447A14"/>
    <w:rsid w:val="00450378"/>
    <w:rsid w:val="00451A96"/>
    <w:rsid w:val="004533C2"/>
    <w:rsid w:val="0045376C"/>
    <w:rsid w:val="00454DD0"/>
    <w:rsid w:val="00455C27"/>
    <w:rsid w:val="00455F47"/>
    <w:rsid w:val="00460390"/>
    <w:rsid w:val="00460E34"/>
    <w:rsid w:val="004631DC"/>
    <w:rsid w:val="00463416"/>
    <w:rsid w:val="00463D5E"/>
    <w:rsid w:val="00463DC4"/>
    <w:rsid w:val="00464830"/>
    <w:rsid w:val="0046575D"/>
    <w:rsid w:val="004659FE"/>
    <w:rsid w:val="0046615E"/>
    <w:rsid w:val="00467DC6"/>
    <w:rsid w:val="00467E56"/>
    <w:rsid w:val="004707EE"/>
    <w:rsid w:val="00470AA8"/>
    <w:rsid w:val="0047177A"/>
    <w:rsid w:val="004724FA"/>
    <w:rsid w:val="00473082"/>
    <w:rsid w:val="004734D5"/>
    <w:rsid w:val="0047501A"/>
    <w:rsid w:val="0047767F"/>
    <w:rsid w:val="00480C31"/>
    <w:rsid w:val="00481774"/>
    <w:rsid w:val="004828A3"/>
    <w:rsid w:val="004869AE"/>
    <w:rsid w:val="00487E47"/>
    <w:rsid w:val="0049257D"/>
    <w:rsid w:val="00493156"/>
    <w:rsid w:val="00493CED"/>
    <w:rsid w:val="0049431E"/>
    <w:rsid w:val="00494704"/>
    <w:rsid w:val="00495592"/>
    <w:rsid w:val="0049705E"/>
    <w:rsid w:val="004A0CAC"/>
    <w:rsid w:val="004A1790"/>
    <w:rsid w:val="004A36F6"/>
    <w:rsid w:val="004A4E6C"/>
    <w:rsid w:val="004A6981"/>
    <w:rsid w:val="004A6D89"/>
    <w:rsid w:val="004B0527"/>
    <w:rsid w:val="004B1186"/>
    <w:rsid w:val="004B1D75"/>
    <w:rsid w:val="004B3C3A"/>
    <w:rsid w:val="004B411F"/>
    <w:rsid w:val="004B5023"/>
    <w:rsid w:val="004B634A"/>
    <w:rsid w:val="004B648B"/>
    <w:rsid w:val="004B65E5"/>
    <w:rsid w:val="004B6B3B"/>
    <w:rsid w:val="004B785D"/>
    <w:rsid w:val="004C0857"/>
    <w:rsid w:val="004C2A8C"/>
    <w:rsid w:val="004C3F04"/>
    <w:rsid w:val="004C61D3"/>
    <w:rsid w:val="004D3BA9"/>
    <w:rsid w:val="004D415F"/>
    <w:rsid w:val="004D5006"/>
    <w:rsid w:val="004D76F4"/>
    <w:rsid w:val="004E26C8"/>
    <w:rsid w:val="004E2883"/>
    <w:rsid w:val="004E4B09"/>
    <w:rsid w:val="004E4C69"/>
    <w:rsid w:val="004E6DDC"/>
    <w:rsid w:val="004E7E3A"/>
    <w:rsid w:val="004F0670"/>
    <w:rsid w:val="004F3C09"/>
    <w:rsid w:val="004F5BE5"/>
    <w:rsid w:val="004F639C"/>
    <w:rsid w:val="004F64B3"/>
    <w:rsid w:val="00500EF8"/>
    <w:rsid w:val="00502229"/>
    <w:rsid w:val="00502FC0"/>
    <w:rsid w:val="00503032"/>
    <w:rsid w:val="005033E8"/>
    <w:rsid w:val="00504F2C"/>
    <w:rsid w:val="00510FFE"/>
    <w:rsid w:val="005111D3"/>
    <w:rsid w:val="00512CE1"/>
    <w:rsid w:val="0051393A"/>
    <w:rsid w:val="0051428F"/>
    <w:rsid w:val="0051429C"/>
    <w:rsid w:val="005144DB"/>
    <w:rsid w:val="0051510C"/>
    <w:rsid w:val="005155D7"/>
    <w:rsid w:val="00515FDC"/>
    <w:rsid w:val="00517958"/>
    <w:rsid w:val="00517981"/>
    <w:rsid w:val="00520055"/>
    <w:rsid w:val="00522543"/>
    <w:rsid w:val="00522774"/>
    <w:rsid w:val="0052283E"/>
    <w:rsid w:val="00531346"/>
    <w:rsid w:val="0053742A"/>
    <w:rsid w:val="00540717"/>
    <w:rsid w:val="0054325E"/>
    <w:rsid w:val="00544213"/>
    <w:rsid w:val="00546476"/>
    <w:rsid w:val="00546A00"/>
    <w:rsid w:val="00546DA3"/>
    <w:rsid w:val="005514EB"/>
    <w:rsid w:val="005517C1"/>
    <w:rsid w:val="00551E47"/>
    <w:rsid w:val="00552017"/>
    <w:rsid w:val="00552383"/>
    <w:rsid w:val="0055261F"/>
    <w:rsid w:val="0055426E"/>
    <w:rsid w:val="00554B1E"/>
    <w:rsid w:val="005557C2"/>
    <w:rsid w:val="0056111C"/>
    <w:rsid w:val="00563804"/>
    <w:rsid w:val="00563B41"/>
    <w:rsid w:val="0056667F"/>
    <w:rsid w:val="00567552"/>
    <w:rsid w:val="0057010A"/>
    <w:rsid w:val="0057306F"/>
    <w:rsid w:val="005735AF"/>
    <w:rsid w:val="00574FCC"/>
    <w:rsid w:val="005813C9"/>
    <w:rsid w:val="00582660"/>
    <w:rsid w:val="00582913"/>
    <w:rsid w:val="00583BDA"/>
    <w:rsid w:val="005850C3"/>
    <w:rsid w:val="00585212"/>
    <w:rsid w:val="005861EB"/>
    <w:rsid w:val="005913E0"/>
    <w:rsid w:val="005914FD"/>
    <w:rsid w:val="00592C2B"/>
    <w:rsid w:val="005939B4"/>
    <w:rsid w:val="00593F03"/>
    <w:rsid w:val="00594E75"/>
    <w:rsid w:val="005A05CD"/>
    <w:rsid w:val="005A1652"/>
    <w:rsid w:val="005A4448"/>
    <w:rsid w:val="005A7A9D"/>
    <w:rsid w:val="005B30D6"/>
    <w:rsid w:val="005B42D9"/>
    <w:rsid w:val="005B4670"/>
    <w:rsid w:val="005B7FC6"/>
    <w:rsid w:val="005C0ED2"/>
    <w:rsid w:val="005C2346"/>
    <w:rsid w:val="005C4703"/>
    <w:rsid w:val="005C6FBB"/>
    <w:rsid w:val="005C7C46"/>
    <w:rsid w:val="005D00C3"/>
    <w:rsid w:val="005D2461"/>
    <w:rsid w:val="005D2B9C"/>
    <w:rsid w:val="005D4FD0"/>
    <w:rsid w:val="005D5BFC"/>
    <w:rsid w:val="005D70AE"/>
    <w:rsid w:val="005D7331"/>
    <w:rsid w:val="005D77ED"/>
    <w:rsid w:val="005D7D94"/>
    <w:rsid w:val="005E1F40"/>
    <w:rsid w:val="005E35EE"/>
    <w:rsid w:val="005E4D5B"/>
    <w:rsid w:val="005E5376"/>
    <w:rsid w:val="005E5797"/>
    <w:rsid w:val="005E6FDA"/>
    <w:rsid w:val="005F18B4"/>
    <w:rsid w:val="005F1B5D"/>
    <w:rsid w:val="005F1BF0"/>
    <w:rsid w:val="005F2ABC"/>
    <w:rsid w:val="005F3497"/>
    <w:rsid w:val="005F3748"/>
    <w:rsid w:val="005F3C33"/>
    <w:rsid w:val="005F7D9A"/>
    <w:rsid w:val="00600E02"/>
    <w:rsid w:val="00601AE0"/>
    <w:rsid w:val="00601C74"/>
    <w:rsid w:val="00601FF3"/>
    <w:rsid w:val="006057EC"/>
    <w:rsid w:val="0060764F"/>
    <w:rsid w:val="0061246E"/>
    <w:rsid w:val="00612CC5"/>
    <w:rsid w:val="00614D08"/>
    <w:rsid w:val="00617BEC"/>
    <w:rsid w:val="0062035D"/>
    <w:rsid w:val="00621851"/>
    <w:rsid w:val="00622E78"/>
    <w:rsid w:val="006235B7"/>
    <w:rsid w:val="00623F57"/>
    <w:rsid w:val="006253C8"/>
    <w:rsid w:val="00625491"/>
    <w:rsid w:val="00626699"/>
    <w:rsid w:val="00630D89"/>
    <w:rsid w:val="00632798"/>
    <w:rsid w:val="0063386C"/>
    <w:rsid w:val="00634BCB"/>
    <w:rsid w:val="006357C5"/>
    <w:rsid w:val="00636C12"/>
    <w:rsid w:val="00636FAF"/>
    <w:rsid w:val="0064055A"/>
    <w:rsid w:val="00640E2E"/>
    <w:rsid w:val="0064499A"/>
    <w:rsid w:val="00645351"/>
    <w:rsid w:val="006474A4"/>
    <w:rsid w:val="006515F9"/>
    <w:rsid w:val="00652D55"/>
    <w:rsid w:val="006538C5"/>
    <w:rsid w:val="00654189"/>
    <w:rsid w:val="006556F3"/>
    <w:rsid w:val="00656CA8"/>
    <w:rsid w:val="00657810"/>
    <w:rsid w:val="006618B0"/>
    <w:rsid w:val="00661CE9"/>
    <w:rsid w:val="00662B28"/>
    <w:rsid w:val="00665BFD"/>
    <w:rsid w:val="0067268C"/>
    <w:rsid w:val="00672E2A"/>
    <w:rsid w:val="00673777"/>
    <w:rsid w:val="00673F59"/>
    <w:rsid w:val="006755DA"/>
    <w:rsid w:val="00675F99"/>
    <w:rsid w:val="00676822"/>
    <w:rsid w:val="006770FB"/>
    <w:rsid w:val="0068110D"/>
    <w:rsid w:val="00681813"/>
    <w:rsid w:val="00682811"/>
    <w:rsid w:val="00686463"/>
    <w:rsid w:val="006869E8"/>
    <w:rsid w:val="00690829"/>
    <w:rsid w:val="00691399"/>
    <w:rsid w:val="00694139"/>
    <w:rsid w:val="006955C0"/>
    <w:rsid w:val="00695835"/>
    <w:rsid w:val="00695986"/>
    <w:rsid w:val="00696127"/>
    <w:rsid w:val="006A036F"/>
    <w:rsid w:val="006A3C50"/>
    <w:rsid w:val="006A70A6"/>
    <w:rsid w:val="006A79E0"/>
    <w:rsid w:val="006B32D6"/>
    <w:rsid w:val="006B3C37"/>
    <w:rsid w:val="006B74ED"/>
    <w:rsid w:val="006B7A98"/>
    <w:rsid w:val="006C0733"/>
    <w:rsid w:val="006C0997"/>
    <w:rsid w:val="006C5AC4"/>
    <w:rsid w:val="006C6202"/>
    <w:rsid w:val="006C6D11"/>
    <w:rsid w:val="006D3592"/>
    <w:rsid w:val="006D490B"/>
    <w:rsid w:val="006D6704"/>
    <w:rsid w:val="006D7E1C"/>
    <w:rsid w:val="006E14F9"/>
    <w:rsid w:val="006E59A8"/>
    <w:rsid w:val="006F1151"/>
    <w:rsid w:val="006F28A8"/>
    <w:rsid w:val="006F4063"/>
    <w:rsid w:val="006F44E1"/>
    <w:rsid w:val="006F5DB6"/>
    <w:rsid w:val="006F6131"/>
    <w:rsid w:val="007006F6"/>
    <w:rsid w:val="00700D26"/>
    <w:rsid w:val="00702224"/>
    <w:rsid w:val="00702A74"/>
    <w:rsid w:val="007031AE"/>
    <w:rsid w:val="0070411C"/>
    <w:rsid w:val="007059EF"/>
    <w:rsid w:val="00706988"/>
    <w:rsid w:val="007124F6"/>
    <w:rsid w:val="00712E6A"/>
    <w:rsid w:val="0071356D"/>
    <w:rsid w:val="00715871"/>
    <w:rsid w:val="007200A4"/>
    <w:rsid w:val="00720D2C"/>
    <w:rsid w:val="007210C9"/>
    <w:rsid w:val="007240C3"/>
    <w:rsid w:val="0072492E"/>
    <w:rsid w:val="00726639"/>
    <w:rsid w:val="007267B6"/>
    <w:rsid w:val="00726E61"/>
    <w:rsid w:val="007272DD"/>
    <w:rsid w:val="00727DAB"/>
    <w:rsid w:val="00727F6E"/>
    <w:rsid w:val="00731907"/>
    <w:rsid w:val="00731C50"/>
    <w:rsid w:val="0073214F"/>
    <w:rsid w:val="00733E42"/>
    <w:rsid w:val="007346C5"/>
    <w:rsid w:val="00734C60"/>
    <w:rsid w:val="007371C8"/>
    <w:rsid w:val="00737B95"/>
    <w:rsid w:val="00742B35"/>
    <w:rsid w:val="007444CE"/>
    <w:rsid w:val="00744B34"/>
    <w:rsid w:val="007459D1"/>
    <w:rsid w:val="0074664D"/>
    <w:rsid w:val="0075033E"/>
    <w:rsid w:val="00750A56"/>
    <w:rsid w:val="00752C65"/>
    <w:rsid w:val="007533C8"/>
    <w:rsid w:val="00754B55"/>
    <w:rsid w:val="007551EA"/>
    <w:rsid w:val="00755918"/>
    <w:rsid w:val="00755933"/>
    <w:rsid w:val="00755AB5"/>
    <w:rsid w:val="00756483"/>
    <w:rsid w:val="00760D58"/>
    <w:rsid w:val="00760F6E"/>
    <w:rsid w:val="00761F9C"/>
    <w:rsid w:val="00762FDD"/>
    <w:rsid w:val="00770B25"/>
    <w:rsid w:val="00771BFC"/>
    <w:rsid w:val="00772EDE"/>
    <w:rsid w:val="00773932"/>
    <w:rsid w:val="00774021"/>
    <w:rsid w:val="00777773"/>
    <w:rsid w:val="007831EB"/>
    <w:rsid w:val="00783B9C"/>
    <w:rsid w:val="00785B11"/>
    <w:rsid w:val="00785C85"/>
    <w:rsid w:val="007872E4"/>
    <w:rsid w:val="00787781"/>
    <w:rsid w:val="00791DE2"/>
    <w:rsid w:val="007929A9"/>
    <w:rsid w:val="00792E84"/>
    <w:rsid w:val="0079361D"/>
    <w:rsid w:val="007940AE"/>
    <w:rsid w:val="00794201"/>
    <w:rsid w:val="00795F56"/>
    <w:rsid w:val="007974D2"/>
    <w:rsid w:val="0079793B"/>
    <w:rsid w:val="007A2667"/>
    <w:rsid w:val="007A2794"/>
    <w:rsid w:val="007A4E54"/>
    <w:rsid w:val="007A6F04"/>
    <w:rsid w:val="007A7034"/>
    <w:rsid w:val="007B0B64"/>
    <w:rsid w:val="007B0B89"/>
    <w:rsid w:val="007B1A8D"/>
    <w:rsid w:val="007B2555"/>
    <w:rsid w:val="007B339A"/>
    <w:rsid w:val="007C046D"/>
    <w:rsid w:val="007D17E0"/>
    <w:rsid w:val="007D2C5B"/>
    <w:rsid w:val="007D3069"/>
    <w:rsid w:val="007D3251"/>
    <w:rsid w:val="007D39AB"/>
    <w:rsid w:val="007D556D"/>
    <w:rsid w:val="007D5AA4"/>
    <w:rsid w:val="007D5D3B"/>
    <w:rsid w:val="007D766B"/>
    <w:rsid w:val="007E0A83"/>
    <w:rsid w:val="007E160F"/>
    <w:rsid w:val="007E35DF"/>
    <w:rsid w:val="007E55DC"/>
    <w:rsid w:val="007E6622"/>
    <w:rsid w:val="007E66F8"/>
    <w:rsid w:val="007F1DB2"/>
    <w:rsid w:val="007F2164"/>
    <w:rsid w:val="007F6B20"/>
    <w:rsid w:val="007F6DCA"/>
    <w:rsid w:val="007F7081"/>
    <w:rsid w:val="007F7817"/>
    <w:rsid w:val="007F7CE9"/>
    <w:rsid w:val="007F7FDD"/>
    <w:rsid w:val="00800360"/>
    <w:rsid w:val="00800EAD"/>
    <w:rsid w:val="00800F88"/>
    <w:rsid w:val="00801048"/>
    <w:rsid w:val="00801A56"/>
    <w:rsid w:val="00801EC5"/>
    <w:rsid w:val="00810D2E"/>
    <w:rsid w:val="008122EF"/>
    <w:rsid w:val="008129CE"/>
    <w:rsid w:val="00813753"/>
    <w:rsid w:val="00813D54"/>
    <w:rsid w:val="00815410"/>
    <w:rsid w:val="0081693B"/>
    <w:rsid w:val="00816DF9"/>
    <w:rsid w:val="00817019"/>
    <w:rsid w:val="00817ACB"/>
    <w:rsid w:val="00820479"/>
    <w:rsid w:val="008205C8"/>
    <w:rsid w:val="008206F5"/>
    <w:rsid w:val="008212F2"/>
    <w:rsid w:val="008230D2"/>
    <w:rsid w:val="00823C64"/>
    <w:rsid w:val="008255CA"/>
    <w:rsid w:val="008261D7"/>
    <w:rsid w:val="008262BB"/>
    <w:rsid w:val="00826E7F"/>
    <w:rsid w:val="00827518"/>
    <w:rsid w:val="0083044C"/>
    <w:rsid w:val="00831446"/>
    <w:rsid w:val="00833DEB"/>
    <w:rsid w:val="008347B5"/>
    <w:rsid w:val="008368D2"/>
    <w:rsid w:val="00836F13"/>
    <w:rsid w:val="00842F58"/>
    <w:rsid w:val="00844E7E"/>
    <w:rsid w:val="00846F52"/>
    <w:rsid w:val="008474D9"/>
    <w:rsid w:val="00851583"/>
    <w:rsid w:val="00853043"/>
    <w:rsid w:val="0085355D"/>
    <w:rsid w:val="00853EC2"/>
    <w:rsid w:val="00856AB1"/>
    <w:rsid w:val="00856C2F"/>
    <w:rsid w:val="0086260D"/>
    <w:rsid w:val="0086357A"/>
    <w:rsid w:val="00870B81"/>
    <w:rsid w:val="00871EB7"/>
    <w:rsid w:val="0087593B"/>
    <w:rsid w:val="00880814"/>
    <w:rsid w:val="00880AC0"/>
    <w:rsid w:val="00881BF6"/>
    <w:rsid w:val="0088232E"/>
    <w:rsid w:val="00882AC6"/>
    <w:rsid w:val="00882CB8"/>
    <w:rsid w:val="008839D4"/>
    <w:rsid w:val="00883C78"/>
    <w:rsid w:val="00892041"/>
    <w:rsid w:val="008939FE"/>
    <w:rsid w:val="008940E4"/>
    <w:rsid w:val="00896CD6"/>
    <w:rsid w:val="00897D53"/>
    <w:rsid w:val="008A090B"/>
    <w:rsid w:val="008A0FC3"/>
    <w:rsid w:val="008A6BFF"/>
    <w:rsid w:val="008B370D"/>
    <w:rsid w:val="008B595D"/>
    <w:rsid w:val="008B5D77"/>
    <w:rsid w:val="008B6705"/>
    <w:rsid w:val="008B6C62"/>
    <w:rsid w:val="008B7250"/>
    <w:rsid w:val="008B7AC3"/>
    <w:rsid w:val="008C083D"/>
    <w:rsid w:val="008C3A91"/>
    <w:rsid w:val="008C7D26"/>
    <w:rsid w:val="008D2D02"/>
    <w:rsid w:val="008D3270"/>
    <w:rsid w:val="008D355A"/>
    <w:rsid w:val="008D3F79"/>
    <w:rsid w:val="008D5900"/>
    <w:rsid w:val="008D7AA1"/>
    <w:rsid w:val="008E0A1D"/>
    <w:rsid w:val="008E235E"/>
    <w:rsid w:val="008E3D36"/>
    <w:rsid w:val="008E6276"/>
    <w:rsid w:val="008F0131"/>
    <w:rsid w:val="008F07CC"/>
    <w:rsid w:val="008F1829"/>
    <w:rsid w:val="008F5B45"/>
    <w:rsid w:val="00901212"/>
    <w:rsid w:val="00906891"/>
    <w:rsid w:val="009068A5"/>
    <w:rsid w:val="009068AB"/>
    <w:rsid w:val="00906C99"/>
    <w:rsid w:val="00907534"/>
    <w:rsid w:val="00907A6C"/>
    <w:rsid w:val="00907FCC"/>
    <w:rsid w:val="00910DEE"/>
    <w:rsid w:val="00912507"/>
    <w:rsid w:val="009136AB"/>
    <w:rsid w:val="00914124"/>
    <w:rsid w:val="00914807"/>
    <w:rsid w:val="00915D84"/>
    <w:rsid w:val="00916C2F"/>
    <w:rsid w:val="00920647"/>
    <w:rsid w:val="00927DAE"/>
    <w:rsid w:val="0093313B"/>
    <w:rsid w:val="00934549"/>
    <w:rsid w:val="00934AA0"/>
    <w:rsid w:val="00935094"/>
    <w:rsid w:val="00942169"/>
    <w:rsid w:val="0094293D"/>
    <w:rsid w:val="00953207"/>
    <w:rsid w:val="00953B50"/>
    <w:rsid w:val="00956644"/>
    <w:rsid w:val="00956C29"/>
    <w:rsid w:val="009571EC"/>
    <w:rsid w:val="009577EB"/>
    <w:rsid w:val="00957829"/>
    <w:rsid w:val="009637F3"/>
    <w:rsid w:val="00966E0C"/>
    <w:rsid w:val="00967084"/>
    <w:rsid w:val="009678E8"/>
    <w:rsid w:val="00970166"/>
    <w:rsid w:val="00970B6C"/>
    <w:rsid w:val="00974F39"/>
    <w:rsid w:val="00974FF0"/>
    <w:rsid w:val="00975B12"/>
    <w:rsid w:val="00976E8C"/>
    <w:rsid w:val="00977E0E"/>
    <w:rsid w:val="00980DE1"/>
    <w:rsid w:val="00980E86"/>
    <w:rsid w:val="00981BDF"/>
    <w:rsid w:val="00982AF7"/>
    <w:rsid w:val="00982F05"/>
    <w:rsid w:val="00983D79"/>
    <w:rsid w:val="00983D96"/>
    <w:rsid w:val="00985DFA"/>
    <w:rsid w:val="00987BFA"/>
    <w:rsid w:val="009924A9"/>
    <w:rsid w:val="00992994"/>
    <w:rsid w:val="00992E74"/>
    <w:rsid w:val="0099335F"/>
    <w:rsid w:val="0099393F"/>
    <w:rsid w:val="009952B8"/>
    <w:rsid w:val="009A0076"/>
    <w:rsid w:val="009A13F3"/>
    <w:rsid w:val="009A2868"/>
    <w:rsid w:val="009A2A72"/>
    <w:rsid w:val="009A5027"/>
    <w:rsid w:val="009A6F6B"/>
    <w:rsid w:val="009A79AF"/>
    <w:rsid w:val="009B024E"/>
    <w:rsid w:val="009B206E"/>
    <w:rsid w:val="009B3796"/>
    <w:rsid w:val="009B440E"/>
    <w:rsid w:val="009B5F8E"/>
    <w:rsid w:val="009C2C37"/>
    <w:rsid w:val="009C35A4"/>
    <w:rsid w:val="009C47F2"/>
    <w:rsid w:val="009C6AE9"/>
    <w:rsid w:val="009D03BE"/>
    <w:rsid w:val="009D211C"/>
    <w:rsid w:val="009D3B86"/>
    <w:rsid w:val="009D40DF"/>
    <w:rsid w:val="009D6502"/>
    <w:rsid w:val="009D6625"/>
    <w:rsid w:val="009D78CD"/>
    <w:rsid w:val="009E119C"/>
    <w:rsid w:val="009E1E32"/>
    <w:rsid w:val="009E22F0"/>
    <w:rsid w:val="009E3139"/>
    <w:rsid w:val="009E75A2"/>
    <w:rsid w:val="009F03EF"/>
    <w:rsid w:val="009F069A"/>
    <w:rsid w:val="009F0EC7"/>
    <w:rsid w:val="009F2F79"/>
    <w:rsid w:val="009F335E"/>
    <w:rsid w:val="009F43B3"/>
    <w:rsid w:val="009F5222"/>
    <w:rsid w:val="00A00D5A"/>
    <w:rsid w:val="00A01879"/>
    <w:rsid w:val="00A02043"/>
    <w:rsid w:val="00A045FE"/>
    <w:rsid w:val="00A04751"/>
    <w:rsid w:val="00A07CFF"/>
    <w:rsid w:val="00A10222"/>
    <w:rsid w:val="00A10986"/>
    <w:rsid w:val="00A128A8"/>
    <w:rsid w:val="00A13E2D"/>
    <w:rsid w:val="00A14008"/>
    <w:rsid w:val="00A14494"/>
    <w:rsid w:val="00A147DE"/>
    <w:rsid w:val="00A14E22"/>
    <w:rsid w:val="00A1575A"/>
    <w:rsid w:val="00A165DA"/>
    <w:rsid w:val="00A2008D"/>
    <w:rsid w:val="00A217B0"/>
    <w:rsid w:val="00A21EE8"/>
    <w:rsid w:val="00A22C43"/>
    <w:rsid w:val="00A22ECE"/>
    <w:rsid w:val="00A26076"/>
    <w:rsid w:val="00A276DC"/>
    <w:rsid w:val="00A307CD"/>
    <w:rsid w:val="00A30DCF"/>
    <w:rsid w:val="00A318E2"/>
    <w:rsid w:val="00A33414"/>
    <w:rsid w:val="00A336C6"/>
    <w:rsid w:val="00A3533A"/>
    <w:rsid w:val="00A401F5"/>
    <w:rsid w:val="00A40675"/>
    <w:rsid w:val="00A41F8C"/>
    <w:rsid w:val="00A42E30"/>
    <w:rsid w:val="00A44A92"/>
    <w:rsid w:val="00A50700"/>
    <w:rsid w:val="00A53C0D"/>
    <w:rsid w:val="00A5599A"/>
    <w:rsid w:val="00A5602B"/>
    <w:rsid w:val="00A56C32"/>
    <w:rsid w:val="00A6009D"/>
    <w:rsid w:val="00A60387"/>
    <w:rsid w:val="00A60AF8"/>
    <w:rsid w:val="00A60C85"/>
    <w:rsid w:val="00A61817"/>
    <w:rsid w:val="00A619BE"/>
    <w:rsid w:val="00A61B08"/>
    <w:rsid w:val="00A628DA"/>
    <w:rsid w:val="00A62A13"/>
    <w:rsid w:val="00A64F52"/>
    <w:rsid w:val="00A64FB2"/>
    <w:rsid w:val="00A6621D"/>
    <w:rsid w:val="00A6668B"/>
    <w:rsid w:val="00A70036"/>
    <w:rsid w:val="00A8376B"/>
    <w:rsid w:val="00A8414A"/>
    <w:rsid w:val="00A86877"/>
    <w:rsid w:val="00A86EDC"/>
    <w:rsid w:val="00A9151B"/>
    <w:rsid w:val="00A9382E"/>
    <w:rsid w:val="00A97079"/>
    <w:rsid w:val="00A97434"/>
    <w:rsid w:val="00AA6016"/>
    <w:rsid w:val="00AA7C8F"/>
    <w:rsid w:val="00AB0761"/>
    <w:rsid w:val="00AB0E5B"/>
    <w:rsid w:val="00AB159E"/>
    <w:rsid w:val="00AB1E01"/>
    <w:rsid w:val="00AB2FF0"/>
    <w:rsid w:val="00AB5590"/>
    <w:rsid w:val="00AB5908"/>
    <w:rsid w:val="00AB6634"/>
    <w:rsid w:val="00AB7BF1"/>
    <w:rsid w:val="00AC0B40"/>
    <w:rsid w:val="00AC31C1"/>
    <w:rsid w:val="00AC45F8"/>
    <w:rsid w:val="00AC4CAB"/>
    <w:rsid w:val="00AC532A"/>
    <w:rsid w:val="00AC5B5C"/>
    <w:rsid w:val="00AC6C07"/>
    <w:rsid w:val="00AD1D33"/>
    <w:rsid w:val="00AD1F39"/>
    <w:rsid w:val="00AD24EC"/>
    <w:rsid w:val="00AD31A3"/>
    <w:rsid w:val="00AD428E"/>
    <w:rsid w:val="00AD4871"/>
    <w:rsid w:val="00AD5164"/>
    <w:rsid w:val="00AD6976"/>
    <w:rsid w:val="00AD7628"/>
    <w:rsid w:val="00AE0B06"/>
    <w:rsid w:val="00AE4183"/>
    <w:rsid w:val="00AE44B6"/>
    <w:rsid w:val="00AE4D7C"/>
    <w:rsid w:val="00AF0CFF"/>
    <w:rsid w:val="00AF114F"/>
    <w:rsid w:val="00AF1718"/>
    <w:rsid w:val="00AF2C0D"/>
    <w:rsid w:val="00AF4502"/>
    <w:rsid w:val="00AF4691"/>
    <w:rsid w:val="00AF4710"/>
    <w:rsid w:val="00AF4D74"/>
    <w:rsid w:val="00AF5117"/>
    <w:rsid w:val="00AF7F3E"/>
    <w:rsid w:val="00B026DA"/>
    <w:rsid w:val="00B031F3"/>
    <w:rsid w:val="00B03470"/>
    <w:rsid w:val="00B05A5B"/>
    <w:rsid w:val="00B05E9E"/>
    <w:rsid w:val="00B06718"/>
    <w:rsid w:val="00B06D59"/>
    <w:rsid w:val="00B108FC"/>
    <w:rsid w:val="00B10904"/>
    <w:rsid w:val="00B11CF4"/>
    <w:rsid w:val="00B12347"/>
    <w:rsid w:val="00B14BB1"/>
    <w:rsid w:val="00B14F24"/>
    <w:rsid w:val="00B15B49"/>
    <w:rsid w:val="00B166D7"/>
    <w:rsid w:val="00B178FB"/>
    <w:rsid w:val="00B17EC1"/>
    <w:rsid w:val="00B203FF"/>
    <w:rsid w:val="00B20FF9"/>
    <w:rsid w:val="00B21006"/>
    <w:rsid w:val="00B22D56"/>
    <w:rsid w:val="00B238D7"/>
    <w:rsid w:val="00B24B63"/>
    <w:rsid w:val="00B26E67"/>
    <w:rsid w:val="00B319A6"/>
    <w:rsid w:val="00B31DD9"/>
    <w:rsid w:val="00B31E36"/>
    <w:rsid w:val="00B33E5A"/>
    <w:rsid w:val="00B35952"/>
    <w:rsid w:val="00B36761"/>
    <w:rsid w:val="00B415EB"/>
    <w:rsid w:val="00B416E5"/>
    <w:rsid w:val="00B4345F"/>
    <w:rsid w:val="00B43CA3"/>
    <w:rsid w:val="00B46F25"/>
    <w:rsid w:val="00B50A8F"/>
    <w:rsid w:val="00B50BD1"/>
    <w:rsid w:val="00B513EA"/>
    <w:rsid w:val="00B52016"/>
    <w:rsid w:val="00B530FB"/>
    <w:rsid w:val="00B62079"/>
    <w:rsid w:val="00B628FF"/>
    <w:rsid w:val="00B63D06"/>
    <w:rsid w:val="00B64A32"/>
    <w:rsid w:val="00B662C8"/>
    <w:rsid w:val="00B70A8C"/>
    <w:rsid w:val="00B70CF8"/>
    <w:rsid w:val="00B714C9"/>
    <w:rsid w:val="00B71A1F"/>
    <w:rsid w:val="00B75690"/>
    <w:rsid w:val="00B77306"/>
    <w:rsid w:val="00B77328"/>
    <w:rsid w:val="00B7739B"/>
    <w:rsid w:val="00B7786D"/>
    <w:rsid w:val="00B81E0A"/>
    <w:rsid w:val="00B81F4A"/>
    <w:rsid w:val="00B84C82"/>
    <w:rsid w:val="00B84EA8"/>
    <w:rsid w:val="00B8620D"/>
    <w:rsid w:val="00B90B45"/>
    <w:rsid w:val="00B913B7"/>
    <w:rsid w:val="00B922EB"/>
    <w:rsid w:val="00B92768"/>
    <w:rsid w:val="00B92C86"/>
    <w:rsid w:val="00B9395E"/>
    <w:rsid w:val="00B93FA3"/>
    <w:rsid w:val="00B95AC2"/>
    <w:rsid w:val="00B95CA6"/>
    <w:rsid w:val="00B972EB"/>
    <w:rsid w:val="00B9748A"/>
    <w:rsid w:val="00BA2A7A"/>
    <w:rsid w:val="00BA39EB"/>
    <w:rsid w:val="00BA41EE"/>
    <w:rsid w:val="00BA5536"/>
    <w:rsid w:val="00BA5821"/>
    <w:rsid w:val="00BA595F"/>
    <w:rsid w:val="00BB0521"/>
    <w:rsid w:val="00BB0D22"/>
    <w:rsid w:val="00BB3FF5"/>
    <w:rsid w:val="00BB7C74"/>
    <w:rsid w:val="00BC00AE"/>
    <w:rsid w:val="00BC06DE"/>
    <w:rsid w:val="00BC0F99"/>
    <w:rsid w:val="00BC2EF6"/>
    <w:rsid w:val="00BC3121"/>
    <w:rsid w:val="00BC72B1"/>
    <w:rsid w:val="00BD0304"/>
    <w:rsid w:val="00BD0D80"/>
    <w:rsid w:val="00BD497A"/>
    <w:rsid w:val="00BD5F95"/>
    <w:rsid w:val="00BE028A"/>
    <w:rsid w:val="00BE0BCB"/>
    <w:rsid w:val="00BE1270"/>
    <w:rsid w:val="00BE3503"/>
    <w:rsid w:val="00BE3689"/>
    <w:rsid w:val="00BE4AB3"/>
    <w:rsid w:val="00BE5A70"/>
    <w:rsid w:val="00BE5AC1"/>
    <w:rsid w:val="00BE65BD"/>
    <w:rsid w:val="00BE6C9B"/>
    <w:rsid w:val="00BF061A"/>
    <w:rsid w:val="00BF204A"/>
    <w:rsid w:val="00C0337F"/>
    <w:rsid w:val="00C03959"/>
    <w:rsid w:val="00C03F73"/>
    <w:rsid w:val="00C0455F"/>
    <w:rsid w:val="00C049B7"/>
    <w:rsid w:val="00C050B5"/>
    <w:rsid w:val="00C06F72"/>
    <w:rsid w:val="00C07594"/>
    <w:rsid w:val="00C07754"/>
    <w:rsid w:val="00C10AC8"/>
    <w:rsid w:val="00C11E2B"/>
    <w:rsid w:val="00C13906"/>
    <w:rsid w:val="00C14746"/>
    <w:rsid w:val="00C15289"/>
    <w:rsid w:val="00C15B09"/>
    <w:rsid w:val="00C15CA3"/>
    <w:rsid w:val="00C17246"/>
    <w:rsid w:val="00C23CFD"/>
    <w:rsid w:val="00C242EE"/>
    <w:rsid w:val="00C24FD9"/>
    <w:rsid w:val="00C2537F"/>
    <w:rsid w:val="00C2590B"/>
    <w:rsid w:val="00C262B9"/>
    <w:rsid w:val="00C26D96"/>
    <w:rsid w:val="00C27530"/>
    <w:rsid w:val="00C300ED"/>
    <w:rsid w:val="00C32B06"/>
    <w:rsid w:val="00C33EEC"/>
    <w:rsid w:val="00C34F1B"/>
    <w:rsid w:val="00C35108"/>
    <w:rsid w:val="00C35D53"/>
    <w:rsid w:val="00C3636B"/>
    <w:rsid w:val="00C372FB"/>
    <w:rsid w:val="00C37DE5"/>
    <w:rsid w:val="00C41730"/>
    <w:rsid w:val="00C436D4"/>
    <w:rsid w:val="00C46527"/>
    <w:rsid w:val="00C50FF1"/>
    <w:rsid w:val="00C51F2C"/>
    <w:rsid w:val="00C52834"/>
    <w:rsid w:val="00C54155"/>
    <w:rsid w:val="00C5666F"/>
    <w:rsid w:val="00C574D0"/>
    <w:rsid w:val="00C57EB9"/>
    <w:rsid w:val="00C6114A"/>
    <w:rsid w:val="00C620D4"/>
    <w:rsid w:val="00C62471"/>
    <w:rsid w:val="00C65DF2"/>
    <w:rsid w:val="00C65E82"/>
    <w:rsid w:val="00C667FE"/>
    <w:rsid w:val="00C66D65"/>
    <w:rsid w:val="00C703B1"/>
    <w:rsid w:val="00C71783"/>
    <w:rsid w:val="00C72570"/>
    <w:rsid w:val="00C73A44"/>
    <w:rsid w:val="00C77122"/>
    <w:rsid w:val="00C77453"/>
    <w:rsid w:val="00C80326"/>
    <w:rsid w:val="00C82896"/>
    <w:rsid w:val="00C829F8"/>
    <w:rsid w:val="00C84DF7"/>
    <w:rsid w:val="00C915E8"/>
    <w:rsid w:val="00C920D1"/>
    <w:rsid w:val="00C93E97"/>
    <w:rsid w:val="00C94AC0"/>
    <w:rsid w:val="00CA3AD7"/>
    <w:rsid w:val="00CB1BDC"/>
    <w:rsid w:val="00CB23E1"/>
    <w:rsid w:val="00CB32AC"/>
    <w:rsid w:val="00CC03AD"/>
    <w:rsid w:val="00CC0F24"/>
    <w:rsid w:val="00CC107E"/>
    <w:rsid w:val="00CC26CC"/>
    <w:rsid w:val="00CC3038"/>
    <w:rsid w:val="00CC36BE"/>
    <w:rsid w:val="00CC4D58"/>
    <w:rsid w:val="00CC7E1B"/>
    <w:rsid w:val="00CD0902"/>
    <w:rsid w:val="00CD256D"/>
    <w:rsid w:val="00CD3CC4"/>
    <w:rsid w:val="00CD5785"/>
    <w:rsid w:val="00CD6B31"/>
    <w:rsid w:val="00CE2AFE"/>
    <w:rsid w:val="00CE4C3D"/>
    <w:rsid w:val="00CE5310"/>
    <w:rsid w:val="00CE6055"/>
    <w:rsid w:val="00CE610D"/>
    <w:rsid w:val="00CE6991"/>
    <w:rsid w:val="00CE699C"/>
    <w:rsid w:val="00CE71FF"/>
    <w:rsid w:val="00CE7B42"/>
    <w:rsid w:val="00CF1040"/>
    <w:rsid w:val="00CF1D3D"/>
    <w:rsid w:val="00CF4AC4"/>
    <w:rsid w:val="00CF6E8E"/>
    <w:rsid w:val="00D006D4"/>
    <w:rsid w:val="00D02A33"/>
    <w:rsid w:val="00D049F4"/>
    <w:rsid w:val="00D05BA4"/>
    <w:rsid w:val="00D11422"/>
    <w:rsid w:val="00D122D0"/>
    <w:rsid w:val="00D1233E"/>
    <w:rsid w:val="00D157BA"/>
    <w:rsid w:val="00D23168"/>
    <w:rsid w:val="00D2357A"/>
    <w:rsid w:val="00D2396D"/>
    <w:rsid w:val="00D239C6"/>
    <w:rsid w:val="00D23B3A"/>
    <w:rsid w:val="00D255A7"/>
    <w:rsid w:val="00D25CF5"/>
    <w:rsid w:val="00D26675"/>
    <w:rsid w:val="00D27F0C"/>
    <w:rsid w:val="00D3053B"/>
    <w:rsid w:val="00D31FE6"/>
    <w:rsid w:val="00D33931"/>
    <w:rsid w:val="00D366CC"/>
    <w:rsid w:val="00D371A6"/>
    <w:rsid w:val="00D4019F"/>
    <w:rsid w:val="00D41676"/>
    <w:rsid w:val="00D419C5"/>
    <w:rsid w:val="00D41DD0"/>
    <w:rsid w:val="00D4445E"/>
    <w:rsid w:val="00D500A5"/>
    <w:rsid w:val="00D52433"/>
    <w:rsid w:val="00D54F3A"/>
    <w:rsid w:val="00D5521E"/>
    <w:rsid w:val="00D655EE"/>
    <w:rsid w:val="00D65987"/>
    <w:rsid w:val="00D7107A"/>
    <w:rsid w:val="00D71CD4"/>
    <w:rsid w:val="00D72925"/>
    <w:rsid w:val="00D75235"/>
    <w:rsid w:val="00D7627B"/>
    <w:rsid w:val="00D81DB9"/>
    <w:rsid w:val="00D820B8"/>
    <w:rsid w:val="00D821E1"/>
    <w:rsid w:val="00D87353"/>
    <w:rsid w:val="00D87465"/>
    <w:rsid w:val="00D9028B"/>
    <w:rsid w:val="00D94906"/>
    <w:rsid w:val="00D950CC"/>
    <w:rsid w:val="00D96583"/>
    <w:rsid w:val="00DA1314"/>
    <w:rsid w:val="00DA20CA"/>
    <w:rsid w:val="00DA2626"/>
    <w:rsid w:val="00DA2D1B"/>
    <w:rsid w:val="00DA2DDC"/>
    <w:rsid w:val="00DA3078"/>
    <w:rsid w:val="00DA4121"/>
    <w:rsid w:val="00DA4177"/>
    <w:rsid w:val="00DA4714"/>
    <w:rsid w:val="00DA6E8C"/>
    <w:rsid w:val="00DB26B9"/>
    <w:rsid w:val="00DB6B67"/>
    <w:rsid w:val="00DC0494"/>
    <w:rsid w:val="00DC1407"/>
    <w:rsid w:val="00DC15FE"/>
    <w:rsid w:val="00DC1BB1"/>
    <w:rsid w:val="00DC21B6"/>
    <w:rsid w:val="00DC2721"/>
    <w:rsid w:val="00DC3047"/>
    <w:rsid w:val="00DC3CD4"/>
    <w:rsid w:val="00DC49B5"/>
    <w:rsid w:val="00DC7779"/>
    <w:rsid w:val="00DD1BC2"/>
    <w:rsid w:val="00DD22D0"/>
    <w:rsid w:val="00DD2B19"/>
    <w:rsid w:val="00DD2FF5"/>
    <w:rsid w:val="00DD355C"/>
    <w:rsid w:val="00DD72CD"/>
    <w:rsid w:val="00DE05A7"/>
    <w:rsid w:val="00DE0C49"/>
    <w:rsid w:val="00DE1228"/>
    <w:rsid w:val="00DE39C1"/>
    <w:rsid w:val="00DE5FE3"/>
    <w:rsid w:val="00DE7FDD"/>
    <w:rsid w:val="00DF0549"/>
    <w:rsid w:val="00DF0908"/>
    <w:rsid w:val="00DF15B7"/>
    <w:rsid w:val="00DF2646"/>
    <w:rsid w:val="00DF47B8"/>
    <w:rsid w:val="00E005BA"/>
    <w:rsid w:val="00E01A34"/>
    <w:rsid w:val="00E02248"/>
    <w:rsid w:val="00E023A9"/>
    <w:rsid w:val="00E03729"/>
    <w:rsid w:val="00E04261"/>
    <w:rsid w:val="00E0441A"/>
    <w:rsid w:val="00E0594E"/>
    <w:rsid w:val="00E06467"/>
    <w:rsid w:val="00E07290"/>
    <w:rsid w:val="00E07887"/>
    <w:rsid w:val="00E12579"/>
    <w:rsid w:val="00E12D90"/>
    <w:rsid w:val="00E15396"/>
    <w:rsid w:val="00E20FA6"/>
    <w:rsid w:val="00E2164B"/>
    <w:rsid w:val="00E21D96"/>
    <w:rsid w:val="00E243BC"/>
    <w:rsid w:val="00E24852"/>
    <w:rsid w:val="00E251F1"/>
    <w:rsid w:val="00E26D6E"/>
    <w:rsid w:val="00E27E89"/>
    <w:rsid w:val="00E305E3"/>
    <w:rsid w:val="00E30A31"/>
    <w:rsid w:val="00E32454"/>
    <w:rsid w:val="00E3263E"/>
    <w:rsid w:val="00E32AE8"/>
    <w:rsid w:val="00E32C2A"/>
    <w:rsid w:val="00E32D59"/>
    <w:rsid w:val="00E33040"/>
    <w:rsid w:val="00E3338E"/>
    <w:rsid w:val="00E35191"/>
    <w:rsid w:val="00E35997"/>
    <w:rsid w:val="00E40066"/>
    <w:rsid w:val="00E40802"/>
    <w:rsid w:val="00E42278"/>
    <w:rsid w:val="00E430D1"/>
    <w:rsid w:val="00E441F9"/>
    <w:rsid w:val="00E45B06"/>
    <w:rsid w:val="00E46C92"/>
    <w:rsid w:val="00E47822"/>
    <w:rsid w:val="00E5016D"/>
    <w:rsid w:val="00E5151C"/>
    <w:rsid w:val="00E525B9"/>
    <w:rsid w:val="00E5453C"/>
    <w:rsid w:val="00E55AE0"/>
    <w:rsid w:val="00E570B3"/>
    <w:rsid w:val="00E60531"/>
    <w:rsid w:val="00E61600"/>
    <w:rsid w:val="00E6207A"/>
    <w:rsid w:val="00E62DF5"/>
    <w:rsid w:val="00E63207"/>
    <w:rsid w:val="00E6444A"/>
    <w:rsid w:val="00E666A1"/>
    <w:rsid w:val="00E66E74"/>
    <w:rsid w:val="00E702B1"/>
    <w:rsid w:val="00E71632"/>
    <w:rsid w:val="00E72843"/>
    <w:rsid w:val="00E743C2"/>
    <w:rsid w:val="00E75371"/>
    <w:rsid w:val="00E769FD"/>
    <w:rsid w:val="00E77E02"/>
    <w:rsid w:val="00E807F1"/>
    <w:rsid w:val="00E81BF9"/>
    <w:rsid w:val="00E82716"/>
    <w:rsid w:val="00E83332"/>
    <w:rsid w:val="00E8796E"/>
    <w:rsid w:val="00E90CE0"/>
    <w:rsid w:val="00E9196E"/>
    <w:rsid w:val="00E924F7"/>
    <w:rsid w:val="00E92A30"/>
    <w:rsid w:val="00E952FF"/>
    <w:rsid w:val="00E95942"/>
    <w:rsid w:val="00E9695B"/>
    <w:rsid w:val="00E97AA0"/>
    <w:rsid w:val="00EA1227"/>
    <w:rsid w:val="00EA168E"/>
    <w:rsid w:val="00EA2A15"/>
    <w:rsid w:val="00EA3A8A"/>
    <w:rsid w:val="00EA6527"/>
    <w:rsid w:val="00EA787C"/>
    <w:rsid w:val="00EA7F42"/>
    <w:rsid w:val="00EB1718"/>
    <w:rsid w:val="00EB2162"/>
    <w:rsid w:val="00EB3887"/>
    <w:rsid w:val="00EB768F"/>
    <w:rsid w:val="00EC068D"/>
    <w:rsid w:val="00EC23AC"/>
    <w:rsid w:val="00EC4EDA"/>
    <w:rsid w:val="00EC64E9"/>
    <w:rsid w:val="00EC777D"/>
    <w:rsid w:val="00ED00BB"/>
    <w:rsid w:val="00ED0BB4"/>
    <w:rsid w:val="00ED1884"/>
    <w:rsid w:val="00ED18B9"/>
    <w:rsid w:val="00ED6610"/>
    <w:rsid w:val="00ED76BA"/>
    <w:rsid w:val="00EE055A"/>
    <w:rsid w:val="00EE12EB"/>
    <w:rsid w:val="00EE3C23"/>
    <w:rsid w:val="00EE6D69"/>
    <w:rsid w:val="00EF0474"/>
    <w:rsid w:val="00EF0BD9"/>
    <w:rsid w:val="00EF0D4F"/>
    <w:rsid w:val="00EF175B"/>
    <w:rsid w:val="00EF2F86"/>
    <w:rsid w:val="00EF2FE0"/>
    <w:rsid w:val="00EF33C3"/>
    <w:rsid w:val="00EF3A36"/>
    <w:rsid w:val="00F00A74"/>
    <w:rsid w:val="00F014B1"/>
    <w:rsid w:val="00F02D64"/>
    <w:rsid w:val="00F04731"/>
    <w:rsid w:val="00F066AB"/>
    <w:rsid w:val="00F072C1"/>
    <w:rsid w:val="00F10FFA"/>
    <w:rsid w:val="00F13F51"/>
    <w:rsid w:val="00F14106"/>
    <w:rsid w:val="00F17096"/>
    <w:rsid w:val="00F17D3B"/>
    <w:rsid w:val="00F20416"/>
    <w:rsid w:val="00F226C3"/>
    <w:rsid w:val="00F244D9"/>
    <w:rsid w:val="00F251C0"/>
    <w:rsid w:val="00F25E8D"/>
    <w:rsid w:val="00F30EF5"/>
    <w:rsid w:val="00F32267"/>
    <w:rsid w:val="00F332F3"/>
    <w:rsid w:val="00F33506"/>
    <w:rsid w:val="00F35532"/>
    <w:rsid w:val="00F359B8"/>
    <w:rsid w:val="00F36A12"/>
    <w:rsid w:val="00F37E5C"/>
    <w:rsid w:val="00F40950"/>
    <w:rsid w:val="00F41159"/>
    <w:rsid w:val="00F427CE"/>
    <w:rsid w:val="00F436D9"/>
    <w:rsid w:val="00F44F43"/>
    <w:rsid w:val="00F45408"/>
    <w:rsid w:val="00F473E9"/>
    <w:rsid w:val="00F47627"/>
    <w:rsid w:val="00F476F7"/>
    <w:rsid w:val="00F478C7"/>
    <w:rsid w:val="00F523D9"/>
    <w:rsid w:val="00F53AD5"/>
    <w:rsid w:val="00F54A7A"/>
    <w:rsid w:val="00F54C29"/>
    <w:rsid w:val="00F55072"/>
    <w:rsid w:val="00F5539A"/>
    <w:rsid w:val="00F5587F"/>
    <w:rsid w:val="00F57C9A"/>
    <w:rsid w:val="00F61547"/>
    <w:rsid w:val="00F623F4"/>
    <w:rsid w:val="00F6523D"/>
    <w:rsid w:val="00F658CE"/>
    <w:rsid w:val="00F675D7"/>
    <w:rsid w:val="00F67E08"/>
    <w:rsid w:val="00F67FF3"/>
    <w:rsid w:val="00F7034F"/>
    <w:rsid w:val="00F73850"/>
    <w:rsid w:val="00F7533E"/>
    <w:rsid w:val="00F815CD"/>
    <w:rsid w:val="00F83274"/>
    <w:rsid w:val="00F83AB3"/>
    <w:rsid w:val="00F83E77"/>
    <w:rsid w:val="00F8601F"/>
    <w:rsid w:val="00F87372"/>
    <w:rsid w:val="00F904B2"/>
    <w:rsid w:val="00F90F50"/>
    <w:rsid w:val="00F91CA2"/>
    <w:rsid w:val="00F92F20"/>
    <w:rsid w:val="00F93CD3"/>
    <w:rsid w:val="00F963C6"/>
    <w:rsid w:val="00F96A86"/>
    <w:rsid w:val="00F97BA6"/>
    <w:rsid w:val="00FA3EB7"/>
    <w:rsid w:val="00FA474F"/>
    <w:rsid w:val="00FA657A"/>
    <w:rsid w:val="00FA7927"/>
    <w:rsid w:val="00FB1B80"/>
    <w:rsid w:val="00FB2CAC"/>
    <w:rsid w:val="00FB7497"/>
    <w:rsid w:val="00FB768F"/>
    <w:rsid w:val="00FC02E2"/>
    <w:rsid w:val="00FC02FE"/>
    <w:rsid w:val="00FC3176"/>
    <w:rsid w:val="00FC45FC"/>
    <w:rsid w:val="00FC5621"/>
    <w:rsid w:val="00FC57C1"/>
    <w:rsid w:val="00FC6C07"/>
    <w:rsid w:val="00FD55BA"/>
    <w:rsid w:val="00FD5F07"/>
    <w:rsid w:val="00FD69AF"/>
    <w:rsid w:val="00FD7C98"/>
    <w:rsid w:val="00FE038D"/>
    <w:rsid w:val="00FE0EEA"/>
    <w:rsid w:val="00FE1483"/>
    <w:rsid w:val="00FE31B6"/>
    <w:rsid w:val="00FE41E4"/>
    <w:rsid w:val="00FE5E6A"/>
    <w:rsid w:val="00FE649A"/>
    <w:rsid w:val="00FF298E"/>
    <w:rsid w:val="00FF351A"/>
    <w:rsid w:val="00FF7A1A"/>
    <w:rsid w:val="014F13CC"/>
    <w:rsid w:val="01F66ABD"/>
    <w:rsid w:val="0214373A"/>
    <w:rsid w:val="03E010D0"/>
    <w:rsid w:val="06190FCC"/>
    <w:rsid w:val="0A285FB5"/>
    <w:rsid w:val="0B094C47"/>
    <w:rsid w:val="0BBE689D"/>
    <w:rsid w:val="0D8D7238"/>
    <w:rsid w:val="0FCB3337"/>
    <w:rsid w:val="114E7421"/>
    <w:rsid w:val="122447C2"/>
    <w:rsid w:val="127812A4"/>
    <w:rsid w:val="138632AE"/>
    <w:rsid w:val="14076444"/>
    <w:rsid w:val="14D56241"/>
    <w:rsid w:val="14F80435"/>
    <w:rsid w:val="17EE6E91"/>
    <w:rsid w:val="185C1E29"/>
    <w:rsid w:val="1CBD6B81"/>
    <w:rsid w:val="1CDA105D"/>
    <w:rsid w:val="1CDA7904"/>
    <w:rsid w:val="1FEF63A3"/>
    <w:rsid w:val="20A8480D"/>
    <w:rsid w:val="22CB1664"/>
    <w:rsid w:val="2318643B"/>
    <w:rsid w:val="237F64BA"/>
    <w:rsid w:val="25117B1D"/>
    <w:rsid w:val="26A84EE5"/>
    <w:rsid w:val="26D7660D"/>
    <w:rsid w:val="27DA216D"/>
    <w:rsid w:val="29E555D9"/>
    <w:rsid w:val="2BF612E4"/>
    <w:rsid w:val="2CEF1AB3"/>
    <w:rsid w:val="2D2A56E9"/>
    <w:rsid w:val="2EFB2E45"/>
    <w:rsid w:val="30012D75"/>
    <w:rsid w:val="31342FDA"/>
    <w:rsid w:val="33705E1F"/>
    <w:rsid w:val="34A044E2"/>
    <w:rsid w:val="34CA1AAC"/>
    <w:rsid w:val="361E1B63"/>
    <w:rsid w:val="36E267B9"/>
    <w:rsid w:val="37CF5835"/>
    <w:rsid w:val="383514FF"/>
    <w:rsid w:val="38613F89"/>
    <w:rsid w:val="397439E1"/>
    <w:rsid w:val="39FF3A59"/>
    <w:rsid w:val="3CC4646D"/>
    <w:rsid w:val="40E8143B"/>
    <w:rsid w:val="41792343"/>
    <w:rsid w:val="43DF5027"/>
    <w:rsid w:val="44770EE3"/>
    <w:rsid w:val="472D5575"/>
    <w:rsid w:val="493F3295"/>
    <w:rsid w:val="4B1D294C"/>
    <w:rsid w:val="4BA263CE"/>
    <w:rsid w:val="4BEFCCA9"/>
    <w:rsid w:val="4C6F1244"/>
    <w:rsid w:val="4CA91BB3"/>
    <w:rsid w:val="4D20220D"/>
    <w:rsid w:val="4DA95270"/>
    <w:rsid w:val="4E6B4C2F"/>
    <w:rsid w:val="4EA66DD5"/>
    <w:rsid w:val="51B353FD"/>
    <w:rsid w:val="52CC5475"/>
    <w:rsid w:val="55284354"/>
    <w:rsid w:val="55D831E4"/>
    <w:rsid w:val="5621502B"/>
    <w:rsid w:val="571950AC"/>
    <w:rsid w:val="582165A1"/>
    <w:rsid w:val="5BFD3E45"/>
    <w:rsid w:val="5C4202EB"/>
    <w:rsid w:val="5CB80301"/>
    <w:rsid w:val="5CCB6F4A"/>
    <w:rsid w:val="5DF3AE77"/>
    <w:rsid w:val="5EAF592E"/>
    <w:rsid w:val="622E7082"/>
    <w:rsid w:val="63513C2E"/>
    <w:rsid w:val="639C058F"/>
    <w:rsid w:val="695146D1"/>
    <w:rsid w:val="69A12C2E"/>
    <w:rsid w:val="6D7777CF"/>
    <w:rsid w:val="6E076270"/>
    <w:rsid w:val="6EFB7AA0"/>
    <w:rsid w:val="70B34FC2"/>
    <w:rsid w:val="70DF7B65"/>
    <w:rsid w:val="742E64CE"/>
    <w:rsid w:val="743A6A8A"/>
    <w:rsid w:val="748A7DE8"/>
    <w:rsid w:val="74F25AD5"/>
    <w:rsid w:val="76CE589C"/>
    <w:rsid w:val="77E42515"/>
    <w:rsid w:val="77E7A83E"/>
    <w:rsid w:val="78B90C9C"/>
    <w:rsid w:val="78F9553C"/>
    <w:rsid w:val="79025017"/>
    <w:rsid w:val="793F2ACE"/>
    <w:rsid w:val="79EA1A55"/>
    <w:rsid w:val="7A9905B0"/>
    <w:rsid w:val="7AFF60AA"/>
    <w:rsid w:val="7B576E0B"/>
    <w:rsid w:val="7BFF78F0"/>
    <w:rsid w:val="7CEE2235"/>
    <w:rsid w:val="7DDD1C16"/>
    <w:rsid w:val="7DF528D4"/>
    <w:rsid w:val="7E7B5009"/>
    <w:rsid w:val="7FB9AA6C"/>
    <w:rsid w:val="7FFDEE66"/>
    <w:rsid w:val="8E9F80B7"/>
    <w:rsid w:val="ACD9603D"/>
    <w:rsid w:val="BB1EC6E7"/>
    <w:rsid w:val="BF6F7893"/>
    <w:rsid w:val="C5A89A43"/>
    <w:rsid w:val="DFDE3DEF"/>
    <w:rsid w:val="EAD6AAAB"/>
    <w:rsid w:val="F7475C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locked/>
    <w:uiPriority w:val="9"/>
    <w:pPr>
      <w:keepNext/>
      <w:keepLines/>
      <w:numPr>
        <w:ilvl w:val="0"/>
        <w:numId w:val="1"/>
      </w:numPr>
      <w:spacing w:before="240" w:after="240"/>
      <w:ind w:left="0"/>
    </w:pPr>
    <w:rPr>
      <w:kern w:val="44"/>
      <w:sz w:val="36"/>
      <w:szCs w:val="4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locked/>
    <w:uiPriority w:val="99"/>
    <w:pPr>
      <w:spacing w:before="330" w:after="340" w:line="360" w:lineRule="auto"/>
      <w:jc w:val="center"/>
      <w:outlineLvl w:val="0"/>
    </w:pPr>
    <w:rPr>
      <w:b/>
      <w:bCs/>
      <w:sz w:val="44"/>
    </w:rPr>
  </w:style>
  <w:style w:type="paragraph" w:styleId="4">
    <w:name w:val="annotation text"/>
    <w:basedOn w:val="1"/>
    <w:link w:val="41"/>
    <w:semiHidden/>
    <w:unhideWhenUsed/>
    <w:qFormat/>
    <w:uiPriority w:val="99"/>
    <w:pPr>
      <w:jc w:val="left"/>
    </w:pPr>
  </w:style>
  <w:style w:type="paragraph" w:styleId="5">
    <w:name w:val="Body Text"/>
    <w:basedOn w:val="1"/>
    <w:link w:val="22"/>
    <w:qFormat/>
    <w:uiPriority w:val="99"/>
    <w:rPr>
      <w:b/>
      <w:sz w:val="32"/>
      <w:szCs w:val="20"/>
    </w:rPr>
  </w:style>
  <w:style w:type="paragraph" w:styleId="6">
    <w:name w:val="Body Text Indent"/>
    <w:basedOn w:val="1"/>
    <w:link w:val="44"/>
    <w:semiHidden/>
    <w:unhideWhenUsed/>
    <w:qFormat/>
    <w:uiPriority w:val="99"/>
    <w:pPr>
      <w:spacing w:after="120"/>
      <w:ind w:left="420" w:leftChars="200"/>
    </w:pPr>
  </w:style>
  <w:style w:type="paragraph" w:styleId="7">
    <w:name w:val="Balloon Text"/>
    <w:basedOn w:val="1"/>
    <w:link w:val="43"/>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next w:val="10"/>
    <w:link w:val="24"/>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样式 Z正文 + 首行缩进:  2 字符1"/>
    <w:basedOn w:val="11"/>
    <w:qFormat/>
    <w:uiPriority w:val="0"/>
    <w:pPr>
      <w:ind w:firstLine="480"/>
    </w:pPr>
    <w:rPr>
      <w:rFonts w:cs="宋体"/>
    </w:rPr>
  </w:style>
  <w:style w:type="paragraph" w:customStyle="1" w:styleId="11">
    <w:name w:val="Z正文"/>
    <w:basedOn w:val="12"/>
    <w:qFormat/>
    <w:uiPriority w:val="0"/>
    <w:pPr>
      <w:ind w:firstLine="200" w:firstLineChars="200"/>
      <w:outlineLvl w:val="9"/>
    </w:pPr>
    <w:rPr>
      <w:rFonts w:ascii="Times New Roman"/>
      <w:sz w:val="24"/>
      <w:szCs w:val="24"/>
    </w:rPr>
  </w:style>
  <w:style w:type="paragraph" w:customStyle="1" w:styleId="12">
    <w:name w:val="样式 标题 1标题 11Head 1wsah1一、标题2Part'Document章Ch + 加粗"/>
    <w:basedOn w:val="2"/>
    <w:qFormat/>
    <w:uiPriority w:val="0"/>
    <w:rPr>
      <w:rFonts w:ascii="黑体"/>
      <w:sz w:val="32"/>
    </w:rPr>
  </w:style>
  <w:style w:type="paragraph" w:styleId="13">
    <w:name w:val="toc 1"/>
    <w:basedOn w:val="1"/>
    <w:next w:val="1"/>
    <w:qFormat/>
    <w:uiPriority w:val="99"/>
    <w:pPr>
      <w:tabs>
        <w:tab w:val="right" w:leader="dot" w:pos="8296"/>
      </w:tabs>
      <w:spacing w:line="360" w:lineRule="auto"/>
    </w:pPr>
    <w:rPr>
      <w:b/>
      <w:spacing w:val="-2"/>
      <w:kern w:val="30"/>
      <w:sz w:val="28"/>
    </w:rPr>
  </w:style>
  <w:style w:type="paragraph" w:styleId="14">
    <w:name w:val="List"/>
    <w:basedOn w:val="1"/>
    <w:semiHidden/>
    <w:unhideWhenUsed/>
    <w:qFormat/>
    <w:uiPriority w:val="99"/>
    <w:pPr>
      <w:ind w:left="200" w:hanging="200" w:hangingChars="200"/>
      <w:contextualSpacing/>
    </w:pPr>
  </w:style>
  <w:style w:type="paragraph" w:styleId="15">
    <w:name w:val="Body Text 2"/>
    <w:basedOn w:val="1"/>
    <w:link w:val="25"/>
    <w:qFormat/>
    <w:uiPriority w:val="99"/>
    <w:pPr>
      <w:spacing w:line="600" w:lineRule="exact"/>
      <w:jc w:val="center"/>
    </w:pPr>
    <w:rPr>
      <w:rFonts w:ascii="方正小标宋简体" w:eastAsia="方正小标宋简体"/>
      <w:bCs/>
      <w:sz w:val="44"/>
      <w:szCs w:val="44"/>
    </w:rPr>
  </w:style>
  <w:style w:type="paragraph" w:styleId="16">
    <w:name w:val="annotation subject"/>
    <w:basedOn w:val="4"/>
    <w:next w:val="4"/>
    <w:link w:val="42"/>
    <w:semiHidden/>
    <w:unhideWhenUsed/>
    <w:qFormat/>
    <w:uiPriority w:val="99"/>
    <w:rPr>
      <w:b/>
      <w:bCs/>
    </w:rPr>
  </w:style>
  <w:style w:type="paragraph" w:styleId="17">
    <w:name w:val="Body Text First Indent 2"/>
    <w:basedOn w:val="6"/>
    <w:link w:val="45"/>
    <w:semiHidden/>
    <w:unhideWhenUsed/>
    <w:qFormat/>
    <w:uiPriority w:val="99"/>
    <w:pPr>
      <w:ind w:firstLine="420" w:firstLineChars="200"/>
    </w:pPr>
  </w:style>
  <w:style w:type="character" w:styleId="20">
    <w:name w:val="page number"/>
    <w:basedOn w:val="19"/>
    <w:qFormat/>
    <w:uiPriority w:val="99"/>
    <w:rPr>
      <w:rFonts w:cs="Times New Roman"/>
    </w:rPr>
  </w:style>
  <w:style w:type="character" w:styleId="21">
    <w:name w:val="annotation reference"/>
    <w:unhideWhenUsed/>
    <w:qFormat/>
    <w:uiPriority w:val="99"/>
    <w:rPr>
      <w:sz w:val="21"/>
      <w:szCs w:val="21"/>
    </w:rPr>
  </w:style>
  <w:style w:type="character" w:customStyle="1" w:styleId="22">
    <w:name w:val="正文文本 字符"/>
    <w:basedOn w:val="19"/>
    <w:link w:val="5"/>
    <w:semiHidden/>
    <w:qFormat/>
    <w:uiPriority w:val="99"/>
    <w:rPr>
      <w:szCs w:val="24"/>
    </w:rPr>
  </w:style>
  <w:style w:type="character" w:customStyle="1" w:styleId="23">
    <w:name w:val="页脚 字符"/>
    <w:basedOn w:val="19"/>
    <w:link w:val="8"/>
    <w:qFormat/>
    <w:locked/>
    <w:uiPriority w:val="99"/>
    <w:rPr>
      <w:rFonts w:cs="Times New Roman"/>
      <w:kern w:val="2"/>
      <w:sz w:val="18"/>
      <w:szCs w:val="18"/>
    </w:rPr>
  </w:style>
  <w:style w:type="character" w:customStyle="1" w:styleId="24">
    <w:name w:val="页眉 字符"/>
    <w:basedOn w:val="19"/>
    <w:link w:val="9"/>
    <w:semiHidden/>
    <w:qFormat/>
    <w:uiPriority w:val="99"/>
    <w:rPr>
      <w:sz w:val="18"/>
      <w:szCs w:val="18"/>
    </w:rPr>
  </w:style>
  <w:style w:type="character" w:customStyle="1" w:styleId="25">
    <w:name w:val="正文文本 2 字符"/>
    <w:basedOn w:val="19"/>
    <w:link w:val="15"/>
    <w:semiHidden/>
    <w:qFormat/>
    <w:uiPriority w:val="99"/>
    <w:rPr>
      <w:szCs w:val="24"/>
    </w:rPr>
  </w:style>
  <w:style w:type="paragraph" w:customStyle="1" w:styleId="26">
    <w:name w:val="Char Char Char Char Char Char1 Char"/>
    <w:basedOn w:val="1"/>
    <w:qFormat/>
    <w:uiPriority w:val="99"/>
  </w:style>
  <w:style w:type="paragraph" w:customStyle="1" w:styleId="27">
    <w:name w:val="2"/>
    <w:basedOn w:val="1"/>
    <w:qFormat/>
    <w:uiPriority w:val="99"/>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99"/>
  </w:style>
  <w:style w:type="paragraph" w:customStyle="1" w:styleId="29">
    <w:name w:val="列出段落1"/>
    <w:basedOn w:val="1"/>
    <w:qFormat/>
    <w:uiPriority w:val="99"/>
    <w:pPr>
      <w:ind w:firstLine="420" w:firstLineChars="200"/>
    </w:pPr>
  </w:style>
  <w:style w:type="paragraph" w:customStyle="1" w:styleId="30">
    <w:name w:val="表文字"/>
    <w:link w:val="33"/>
    <w:semiHidden/>
    <w:qFormat/>
    <w:uiPriority w:val="99"/>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99"/>
    <w:pPr>
      <w:widowControl/>
      <w:tabs>
        <w:tab w:val="left" w:pos="360"/>
      </w:tabs>
      <w:jc w:val="left"/>
    </w:pPr>
    <w:rPr>
      <w:kern w:val="0"/>
      <w:sz w:val="24"/>
    </w:rPr>
  </w:style>
  <w:style w:type="paragraph" w:customStyle="1" w:styleId="32">
    <w:name w:val="Char1"/>
    <w:basedOn w:val="1"/>
    <w:qFormat/>
    <w:uiPriority w:val="99"/>
    <w:pPr>
      <w:widowControl/>
      <w:tabs>
        <w:tab w:val="left" w:pos="360"/>
      </w:tabs>
      <w:jc w:val="left"/>
    </w:pPr>
    <w:rPr>
      <w:kern w:val="0"/>
      <w:sz w:val="24"/>
    </w:rPr>
  </w:style>
  <w:style w:type="character" w:customStyle="1" w:styleId="33">
    <w:name w:val="表文字 Char1"/>
    <w:basedOn w:val="19"/>
    <w:link w:val="30"/>
    <w:semiHidden/>
    <w:qFormat/>
    <w:locked/>
    <w:uiPriority w:val="99"/>
    <w:rPr>
      <w:sz w:val="21"/>
      <w:szCs w:val="21"/>
      <w:lang w:val="en-US" w:eastAsia="zh-CN" w:bidi="ar-SA"/>
    </w:rPr>
  </w:style>
  <w:style w:type="paragraph" w:customStyle="1" w:styleId="34">
    <w:name w:val="A表内"/>
    <w:basedOn w:val="1"/>
    <w:link w:val="36"/>
    <w:qFormat/>
    <w:uiPriority w:val="0"/>
    <w:pPr>
      <w:adjustRightInd w:val="0"/>
      <w:snapToGrid w:val="0"/>
      <w:jc w:val="center"/>
    </w:pPr>
    <w:rPr>
      <w:szCs w:val="20"/>
    </w:rPr>
  </w:style>
  <w:style w:type="character" w:customStyle="1" w:styleId="35">
    <w:name w:val="font101"/>
    <w:basedOn w:val="19"/>
    <w:qFormat/>
    <w:uiPriority w:val="0"/>
    <w:rPr>
      <w:rFonts w:hint="default" w:ascii="Times New Roman" w:hAnsi="Times New Roman" w:cs="Times New Roman"/>
      <w:color w:val="FF0000"/>
      <w:sz w:val="24"/>
      <w:szCs w:val="24"/>
      <w:u w:val="none"/>
    </w:rPr>
  </w:style>
  <w:style w:type="character" w:customStyle="1" w:styleId="36">
    <w:name w:val="A表内 Char"/>
    <w:link w:val="34"/>
    <w:qFormat/>
    <w:uiPriority w:val="0"/>
    <w:rPr>
      <w:rFonts w:cs="宋体"/>
      <w:kern w:val="2"/>
      <w:sz w:val="21"/>
    </w:rPr>
  </w:style>
  <w:style w:type="character" w:customStyle="1" w:styleId="37">
    <w:name w:val="样式4 Char Char"/>
    <w:link w:val="38"/>
    <w:qFormat/>
    <w:uiPriority w:val="0"/>
    <w:rPr>
      <w:rFonts w:ascii="楷体_GB2312" w:eastAsia="楷体_GB2312"/>
      <w:b/>
      <w:iCs/>
      <w:sz w:val="18"/>
      <w:szCs w:val="18"/>
    </w:rPr>
  </w:style>
  <w:style w:type="paragraph" w:customStyle="1" w:styleId="38">
    <w:name w:val="样式4 Char"/>
    <w:basedOn w:val="8"/>
    <w:link w:val="37"/>
    <w:qFormat/>
    <w:uiPriority w:val="0"/>
    <w:pPr>
      <w:pBdr>
        <w:top w:val="thinThickSmallGap" w:color="auto" w:sz="12" w:space="1"/>
      </w:pBdr>
      <w:spacing w:line="240" w:lineRule="exact"/>
    </w:pPr>
    <w:rPr>
      <w:rFonts w:ascii="楷体_GB2312" w:eastAsia="楷体_GB2312"/>
      <w:b/>
      <w:iCs/>
      <w:kern w:val="0"/>
    </w:rPr>
  </w:style>
  <w:style w:type="character" w:customStyle="1" w:styleId="39">
    <w:name w:val="自动A Char"/>
    <w:basedOn w:val="19"/>
    <w:link w:val="40"/>
    <w:qFormat/>
    <w:uiPriority w:val="0"/>
    <w:rPr>
      <w:color w:val="000000"/>
      <w:sz w:val="24"/>
    </w:rPr>
  </w:style>
  <w:style w:type="paragraph" w:customStyle="1" w:styleId="40">
    <w:name w:val="自动A"/>
    <w:basedOn w:val="1"/>
    <w:link w:val="39"/>
    <w:qFormat/>
    <w:uiPriority w:val="0"/>
    <w:pPr>
      <w:spacing w:before="120" w:after="120" w:line="360" w:lineRule="auto"/>
      <w:ind w:firstLine="480" w:firstLineChars="200"/>
    </w:pPr>
    <w:rPr>
      <w:color w:val="000000"/>
      <w:kern w:val="0"/>
      <w:sz w:val="24"/>
      <w:szCs w:val="20"/>
    </w:rPr>
  </w:style>
  <w:style w:type="character" w:customStyle="1" w:styleId="41">
    <w:name w:val="批注文字 字符"/>
    <w:basedOn w:val="19"/>
    <w:link w:val="4"/>
    <w:semiHidden/>
    <w:qFormat/>
    <w:uiPriority w:val="99"/>
    <w:rPr>
      <w:kern w:val="2"/>
      <w:sz w:val="21"/>
      <w:szCs w:val="24"/>
    </w:rPr>
  </w:style>
  <w:style w:type="character" w:customStyle="1" w:styleId="42">
    <w:name w:val="批注主题 字符"/>
    <w:basedOn w:val="41"/>
    <w:link w:val="16"/>
    <w:semiHidden/>
    <w:qFormat/>
    <w:uiPriority w:val="99"/>
    <w:rPr>
      <w:b/>
      <w:bCs/>
      <w:kern w:val="2"/>
      <w:sz w:val="21"/>
      <w:szCs w:val="24"/>
    </w:rPr>
  </w:style>
  <w:style w:type="character" w:customStyle="1" w:styleId="43">
    <w:name w:val="批注框文本 字符"/>
    <w:basedOn w:val="19"/>
    <w:link w:val="7"/>
    <w:semiHidden/>
    <w:qFormat/>
    <w:uiPriority w:val="99"/>
    <w:rPr>
      <w:kern w:val="2"/>
      <w:sz w:val="18"/>
      <w:szCs w:val="18"/>
    </w:rPr>
  </w:style>
  <w:style w:type="character" w:customStyle="1" w:styleId="44">
    <w:name w:val="正文文本缩进 字符"/>
    <w:basedOn w:val="19"/>
    <w:link w:val="6"/>
    <w:semiHidden/>
    <w:qFormat/>
    <w:uiPriority w:val="99"/>
    <w:rPr>
      <w:kern w:val="2"/>
      <w:sz w:val="21"/>
      <w:szCs w:val="24"/>
    </w:rPr>
  </w:style>
  <w:style w:type="character" w:customStyle="1" w:styleId="45">
    <w:name w:val="正文首行缩进 2 字符"/>
    <w:basedOn w:val="44"/>
    <w:link w:val="17"/>
    <w:semiHidden/>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4</Pages>
  <Words>3040</Words>
  <Characters>3222</Characters>
  <Lines>20</Lines>
  <Paragraphs>5</Paragraphs>
  <TotalTime>1166</TotalTime>
  <ScaleCrop>false</ScaleCrop>
  <LinksUpToDate>false</LinksUpToDate>
  <CharactersWithSpaces>3338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2024-01-20T06:10:00Z</dcterms:created>
  <dc:creator>雨林木风</dc:creator>
  <cp:lastModifiedBy>苏芯</cp:lastModifiedBy>
  <cp:lastPrinted>2026-02-12T02:54:53Z</cp:lastPrinted>
  <dcterms:modified xsi:type="dcterms:W3CDTF">2026-02-12T03:24:22Z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11392CAEB1934C1A8BA373B53344D5AF_13</vt:lpwstr>
  </property>
  <property fmtid="{D5CDD505-2E9C-101B-9397-08002B2CF9AE}" pid="4" name="KSOTemplateDocerSaveRecord">
    <vt:lpwstr>eyJoZGlkIjoiNDY0OGFmZjczYjI5ZTg3OGY1MzA1ODI0NDc3ZmM0ODUiLCJ1c2VySWQiOiI0Mjg5MTQ1NjcifQ==</vt:lpwstr>
  </property>
</Properties>
</file>