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z w:val="44"/>
          <w:szCs w:val="44"/>
          <w:lang w:val="en-US" w:eastAsia="zh-CN"/>
        </w:rPr>
      </w:pPr>
      <w:bookmarkStart w:id="0" w:name="_GoBack"/>
      <w:r>
        <w:rPr>
          <w:rFonts w:eastAsia="方正小标宋_GBK"/>
          <w:sz w:val="44"/>
          <w:szCs w:val="44"/>
          <w:lang w:val="en-US" w:eastAsia="zh-CN"/>
        </w:rPr>
        <w:t>广西壮族自治区建设项目环境影响评价</w:t>
      </w:r>
    </w:p>
    <w:p>
      <w:pPr>
        <w:spacing w:line="600" w:lineRule="exact"/>
        <w:jc w:val="center"/>
        <w:rPr>
          <w:rFonts w:hint="eastAsia" w:eastAsia="方正小标宋_GBK"/>
          <w:sz w:val="44"/>
          <w:szCs w:val="44"/>
          <w:lang w:val="en-US" w:eastAsia="zh-CN"/>
        </w:rPr>
      </w:pPr>
      <w:r>
        <w:rPr>
          <w:rFonts w:eastAsia="方正小标宋_GBK"/>
          <w:sz w:val="44"/>
          <w:szCs w:val="44"/>
          <w:lang w:val="en-US" w:eastAsia="zh-CN"/>
        </w:rPr>
        <w:t>文件分级审批管理办法</w:t>
      </w:r>
      <w:r>
        <w:rPr>
          <w:rFonts w:hint="eastAsia" w:eastAsia="方正小标宋_GBK"/>
          <w:sz w:val="44"/>
          <w:szCs w:val="44"/>
          <w:lang w:val="en-US" w:eastAsia="zh-CN"/>
        </w:rPr>
        <w:t>（</w:t>
      </w:r>
      <w:r>
        <w:rPr>
          <w:rFonts w:hint="default" w:ascii="Times New Roman" w:hAnsi="Times New Roman" w:eastAsia="方正小标宋_GBK"/>
          <w:sz w:val="44"/>
          <w:szCs w:val="44"/>
          <w:lang w:val="en-US" w:eastAsia="zh-CN"/>
        </w:rPr>
        <w:t>2022</w:t>
      </w:r>
      <w:r>
        <w:rPr>
          <w:rFonts w:hint="eastAsia" w:eastAsia="方正小标宋_GBK"/>
          <w:sz w:val="44"/>
          <w:szCs w:val="44"/>
          <w:lang w:val="en-US" w:eastAsia="zh-CN"/>
        </w:rPr>
        <w:t>年修订版）</w:t>
      </w:r>
    </w:p>
    <w:bookmarkEnd w:id="0"/>
    <w:p>
      <w:pPr>
        <w:pStyle w:val="2"/>
        <w:spacing w:line="600" w:lineRule="exact"/>
        <w:jc w:val="both"/>
        <w:rPr>
          <w:rFonts w:hint="eastAsia"/>
          <w:lang w:val="en-US" w:eastAsia="zh-CN"/>
        </w:rPr>
      </w:pPr>
    </w:p>
    <w:p>
      <w:pPr>
        <w:numPr>
          <w:ilvl w:val="0"/>
          <w:numId w:val="0"/>
        </w:numPr>
        <w:spacing w:line="600" w:lineRule="exact"/>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第一条</w:t>
      </w:r>
      <w:r>
        <w:rPr>
          <w:rFonts w:hint="eastAsia"/>
          <w:sz w:val="32"/>
          <w:szCs w:val="32"/>
          <w:lang w:val="en-US" w:eastAsia="zh-CN"/>
        </w:rPr>
        <w:t xml:space="preserve">  </w:t>
      </w:r>
      <w:r>
        <w:rPr>
          <w:rFonts w:hint="eastAsia" w:ascii="仿宋" w:hAnsi="仿宋" w:eastAsia="仿宋" w:cs="仿宋"/>
          <w:sz w:val="32"/>
          <w:szCs w:val="32"/>
          <w:lang w:val="en-US" w:eastAsia="zh-CN"/>
        </w:rPr>
        <w:t>为贯彻落实“简政放权、放管结合、优化服务”的行政审批制度改革要求，进一步优化营商环境，根据《中华人民共和国环境保护法》、《中华人民共和国环境影响评价法》等有关法律、法规、规章等规定，结合我区实际，制定本办法。</w:t>
      </w:r>
    </w:p>
    <w:p>
      <w:pPr>
        <w:spacing w:line="600" w:lineRule="exact"/>
        <w:ind w:firstLine="640" w:firstLineChars="200"/>
        <w:jc w:val="both"/>
        <w:rPr>
          <w:rFonts w:hint="eastAsia" w:ascii="仿宋" w:hAnsi="仿宋" w:eastAsia="仿宋" w:cs="仿宋"/>
          <w:sz w:val="32"/>
          <w:szCs w:val="32"/>
          <w:lang w:val="en-US" w:eastAsia="zh-CN"/>
        </w:rPr>
      </w:pPr>
      <w:r>
        <w:rPr>
          <w:rFonts w:eastAsia="黑体"/>
          <w:sz w:val="32"/>
          <w:szCs w:val="32"/>
          <w:lang w:val="en-US" w:eastAsia="zh-CN"/>
        </w:rPr>
        <w:t>第二条</w:t>
      </w:r>
      <w:r>
        <w:rPr>
          <w:rFonts w:eastAsia="方正仿宋_GBK"/>
          <w:sz w:val="32"/>
          <w:szCs w:val="32"/>
          <w:lang w:val="en-US" w:eastAsia="zh-CN"/>
        </w:rPr>
        <w:t xml:space="preserve">  </w:t>
      </w:r>
      <w:r>
        <w:rPr>
          <w:rFonts w:hint="eastAsia" w:ascii="仿宋" w:hAnsi="仿宋" w:eastAsia="仿宋" w:cs="仿宋"/>
          <w:sz w:val="32"/>
          <w:szCs w:val="32"/>
          <w:lang w:val="en-US" w:eastAsia="zh-CN"/>
        </w:rPr>
        <w:t>本办法所称环境影响评价文件是指建设项目环境影响报告书和环境影响报告表。</w:t>
      </w:r>
    </w:p>
    <w:p>
      <w:pPr>
        <w:spacing w:line="600" w:lineRule="exact"/>
        <w:ind w:firstLine="640" w:firstLineChars="200"/>
        <w:jc w:val="both"/>
        <w:rPr>
          <w:rFonts w:hint="eastAsia" w:ascii="仿宋" w:hAnsi="仿宋" w:eastAsia="仿宋" w:cs="仿宋"/>
          <w:sz w:val="32"/>
          <w:szCs w:val="32"/>
          <w:lang w:val="en-US" w:eastAsia="zh-CN"/>
        </w:rPr>
      </w:pPr>
      <w:r>
        <w:rPr>
          <w:rFonts w:eastAsia="黑体"/>
          <w:sz w:val="32"/>
          <w:szCs w:val="32"/>
          <w:lang w:val="en-US" w:eastAsia="zh-CN"/>
        </w:rPr>
        <w:t>第三条</w:t>
      </w:r>
      <w:r>
        <w:rPr>
          <w:rFonts w:eastAsia="方正仿宋_GBK"/>
          <w:sz w:val="32"/>
          <w:szCs w:val="32"/>
          <w:lang w:val="en-US" w:eastAsia="zh-CN"/>
        </w:rPr>
        <w:t xml:space="preserve"> </w:t>
      </w:r>
      <w:r>
        <w:rPr>
          <w:rFonts w:hint="eastAsia" w:ascii="仿宋" w:hAnsi="仿宋" w:eastAsia="仿宋" w:cs="仿宋"/>
          <w:sz w:val="32"/>
          <w:szCs w:val="32"/>
          <w:lang w:val="en-US" w:eastAsia="zh-CN"/>
        </w:rPr>
        <w:t xml:space="preserve"> 县级以上行政审批部门按照规定的权限审批建设项目环境影响评价文件。在审批环境影响报告书前，应委托评估机构开展技术评估。环境影响报告表可根据实际需要开展技术评估。</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委托技术评估所需费用由行政审批部门商同级财政部门纳入部门预算，评估机构不得收取任何费用。</w:t>
      </w:r>
    </w:p>
    <w:p>
      <w:pPr>
        <w:spacing w:line="600" w:lineRule="exact"/>
        <w:ind w:firstLine="640" w:firstLineChars="200"/>
        <w:jc w:val="both"/>
        <w:rPr>
          <w:rFonts w:hint="eastAsia" w:ascii="仿宋" w:hAnsi="仿宋" w:eastAsia="仿宋" w:cs="仿宋"/>
          <w:sz w:val="32"/>
          <w:szCs w:val="32"/>
          <w:lang w:val="en-US" w:eastAsia="zh-CN"/>
        </w:rPr>
      </w:pPr>
      <w:r>
        <w:rPr>
          <w:rFonts w:eastAsia="黑体"/>
          <w:sz w:val="32"/>
          <w:szCs w:val="32"/>
          <w:lang w:val="en-US" w:eastAsia="zh-CN"/>
        </w:rPr>
        <w:t>第四条</w:t>
      </w:r>
      <w:r>
        <w:rPr>
          <w:rFonts w:eastAsia="方正仿宋_GBK"/>
          <w:sz w:val="32"/>
          <w:szCs w:val="32"/>
          <w:lang w:val="en-US" w:eastAsia="zh-CN"/>
        </w:rPr>
        <w:t xml:space="preserve">  </w:t>
      </w:r>
      <w:r>
        <w:rPr>
          <w:rFonts w:hint="eastAsia" w:ascii="仿宋" w:hAnsi="仿宋" w:eastAsia="仿宋" w:cs="仿宋"/>
          <w:sz w:val="32"/>
          <w:szCs w:val="32"/>
          <w:lang w:val="en-US" w:eastAsia="zh-CN"/>
        </w:rPr>
        <w:t>生态环境部负责审批的建设项目环境影响评价文件，按生态环境部规定执行。自治区生态环境主管部门负责审批下列建设项目环境影响评价文件：</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（一）跨设区市行政区域的建设项目；</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（二）可能造成跨设区市行政区域环境不良影响，有关行政审批部门对建设项目的环境影响评价结论有争议的建设项目；</w:t>
      </w:r>
    </w:p>
    <w:p>
      <w:pPr>
        <w:spacing w:line="600" w:lineRule="exact"/>
        <w:ind w:firstLine="640" w:firstLineChars="200"/>
        <w:jc w:val="both"/>
        <w:rPr>
          <w:rFonts w:hint="eastAsia" w:ascii="仿宋" w:hAnsi="仿宋" w:eastAsia="仿宋" w:cs="仿宋"/>
          <w:spacing w:val="-6"/>
          <w:sz w:val="32"/>
          <w:szCs w:val="32"/>
          <w:lang w:val="en-US" w:eastAsia="zh-CN"/>
        </w:rPr>
      </w:pPr>
      <w:r>
        <w:rPr>
          <w:rFonts w:hint="eastAsia" w:ascii="仿宋" w:hAnsi="仿宋" w:eastAsia="仿宋" w:cs="仿宋"/>
          <w:sz w:val="32"/>
          <w:szCs w:val="32"/>
          <w:lang w:val="en-US" w:eastAsia="zh-CN"/>
        </w:rPr>
        <w:t>（三）</w:t>
      </w:r>
      <w:r>
        <w:rPr>
          <w:rFonts w:hint="eastAsia" w:ascii="仿宋" w:hAnsi="仿宋" w:eastAsia="仿宋" w:cs="仿宋"/>
          <w:spacing w:val="-6"/>
          <w:sz w:val="32"/>
          <w:szCs w:val="32"/>
          <w:lang w:val="en-US" w:eastAsia="zh-CN"/>
        </w:rPr>
        <w:t>生态环境部委托省级生态环境主管部门审批的建设项目；</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（四）列入本办法附件的建设项目。</w:t>
      </w:r>
    </w:p>
    <w:p>
      <w:pPr>
        <w:spacing w:line="600" w:lineRule="exact"/>
        <w:ind w:firstLine="640" w:firstLineChars="200"/>
        <w:jc w:val="both"/>
        <w:rPr>
          <w:rFonts w:hint="eastAsia" w:ascii="仿宋" w:hAnsi="仿宋" w:eastAsia="仿宋" w:cs="仿宋"/>
          <w:sz w:val="32"/>
          <w:szCs w:val="32"/>
          <w:lang w:val="en-US" w:eastAsia="zh-CN"/>
        </w:rPr>
      </w:pPr>
      <w:r>
        <w:rPr>
          <w:rFonts w:eastAsia="黑体"/>
          <w:sz w:val="32"/>
          <w:szCs w:val="32"/>
          <w:lang w:val="en-US" w:eastAsia="zh-CN"/>
        </w:rPr>
        <w:t>第五条</w:t>
      </w:r>
      <w:r>
        <w:rPr>
          <w:rFonts w:eastAsia="方正仿宋_GBK"/>
          <w:sz w:val="32"/>
          <w:szCs w:val="32"/>
          <w:lang w:val="en-US" w:eastAsia="zh-CN"/>
        </w:rPr>
        <w:t xml:space="preserve">  </w:t>
      </w:r>
      <w:r>
        <w:rPr>
          <w:rFonts w:hint="eastAsia" w:eastAsia="方正仿宋_GBK"/>
          <w:sz w:val="32"/>
          <w:szCs w:val="32"/>
          <w:lang w:val="en-US" w:eastAsia="zh-CN"/>
        </w:rPr>
        <w:t>国家</w:t>
      </w:r>
      <w:r>
        <w:rPr>
          <w:rFonts w:hint="eastAsia" w:ascii="仿宋" w:hAnsi="仿宋" w:eastAsia="仿宋" w:cs="仿宋"/>
          <w:sz w:val="32"/>
          <w:szCs w:val="32"/>
          <w:lang w:val="en-US" w:eastAsia="zh-CN"/>
        </w:rPr>
        <w:t>生态环境部、自治区生态环境主管部门审批权限以外的建设项目环境影响评价文件，有符合以下情形的，由设区市行政审批部门审批：</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（一）按照《建设项目环境影响分类管理名录》需编制环境影响报告书的建设项目；</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（二）辐射类和涉密工程建设项目；</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（三）跨县级行政区域的建设项目；</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（四）可能造成跨县级行政区域环境不良影响，且有关行政审批部门对项目的环境影响评价结论有争议的建设项目。</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其他建设项目审批权限，由设区市行政审批部门根据本办法并结合当地情况提出，报同级人民政府批准后施行。</w:t>
      </w:r>
    </w:p>
    <w:p>
      <w:pPr>
        <w:numPr>
          <w:ilvl w:val="0"/>
          <w:numId w:val="0"/>
        </w:numPr>
        <w:spacing w:line="600" w:lineRule="exact"/>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第六条</w:t>
      </w:r>
      <w:r>
        <w:rPr>
          <w:rFonts w:hint="eastAsia"/>
          <w:sz w:val="32"/>
          <w:szCs w:val="32"/>
          <w:lang w:val="en-US" w:eastAsia="zh-CN"/>
        </w:rPr>
        <w:t xml:space="preserve">  </w:t>
      </w:r>
      <w:r>
        <w:rPr>
          <w:rFonts w:hint="eastAsia" w:ascii="仿宋" w:hAnsi="仿宋" w:eastAsia="仿宋" w:cs="仿宋"/>
          <w:sz w:val="32"/>
          <w:szCs w:val="32"/>
          <w:lang w:val="en-US" w:eastAsia="zh-CN"/>
        </w:rPr>
        <w:t>设区市行政审批部门委托相关审批部门行使建设项目环境影响评价文件审批权的，行使审批权限范围和流程由委托机关制订，报自治区生态环境主管部门备案。</w:t>
      </w:r>
    </w:p>
    <w:p>
      <w:pPr>
        <w:numPr>
          <w:ilvl w:val="0"/>
          <w:numId w:val="0"/>
        </w:numPr>
        <w:spacing w:line="600" w:lineRule="exact"/>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 w:hAnsi="仿宋" w:eastAsia="仿宋" w:cs="仿宋"/>
          <w:sz w:val="32"/>
          <w:szCs w:val="32"/>
          <w:lang w:val="en-US" w:eastAsia="zh-CN"/>
        </w:rPr>
        <w:t>下列地区在其辖区内行使本级环境影响评价文件审批权限及以下建设项目的环境影响评价文件审批权限：</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南宁市：列入本办法附件的水利、能源、交通（不跨设区市行政区域的建设项目）、化工石化、机械、轻工（除竹木制浆项目、新建非竹木制浆项目外）、城建、社会事业、辐射类、涉密工程（符合密级管理要求）；</w:t>
      </w:r>
    </w:p>
    <w:p>
      <w:pPr>
        <w:spacing w:line="600" w:lineRule="exact"/>
        <w:ind w:firstLine="624"/>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（二）百色市：除跨设区市行政区域的建设项目以外的列入本办法附件的建设项目；</w:t>
      </w:r>
    </w:p>
    <w:p>
      <w:pPr>
        <w:spacing w:line="600" w:lineRule="exact"/>
        <w:ind w:firstLine="624"/>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（三）贺州市：桂江干流河段上单站总装机容量</w:t>
      </w:r>
      <w:r>
        <w:rPr>
          <w:rFonts w:hint="default" w:ascii="Times New Roman" w:hAnsi="Times New Roman" w:eastAsia="仿宋" w:cs="Times New Roman"/>
          <w:sz w:val="32"/>
          <w:szCs w:val="32"/>
          <w:lang w:val="en-US" w:eastAsia="zh-CN"/>
        </w:rPr>
        <w:t>50</w:t>
      </w:r>
      <w:r>
        <w:rPr>
          <w:rFonts w:hint="eastAsia" w:ascii="仿宋" w:hAnsi="仿宋" w:eastAsia="仿宋" w:cs="仿宋"/>
          <w:sz w:val="32"/>
          <w:szCs w:val="32"/>
          <w:lang w:val="en-US" w:eastAsia="zh-CN"/>
        </w:rPr>
        <w:t>万千瓦以下水电站；</w:t>
      </w:r>
    </w:p>
    <w:p>
      <w:pPr>
        <w:spacing w:line="600" w:lineRule="exact"/>
        <w:ind w:firstLine="624"/>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广西）自由贸易试验区南宁、钦州、崇左片区行政审批部门行使辖区内除生态环境部委托省级生态环境主管部门审批外的建设项目环境影响评价文件，以及跨片区管理范围外的建设项目环境影响评价文件审批权限。</w:t>
      </w:r>
    </w:p>
    <w:p>
      <w:pPr>
        <w:spacing w:line="600" w:lineRule="exact"/>
        <w:ind w:firstLine="640" w:firstLineChars="200"/>
        <w:jc w:val="both"/>
        <w:rPr>
          <w:rFonts w:hint="eastAsia" w:ascii="仿宋" w:hAnsi="仿宋" w:eastAsia="仿宋" w:cs="仿宋"/>
          <w:sz w:val="32"/>
          <w:szCs w:val="32"/>
          <w:lang w:val="en-US" w:eastAsia="zh-CN"/>
        </w:rPr>
      </w:pPr>
      <w:r>
        <w:rPr>
          <w:rFonts w:eastAsia="黑体"/>
          <w:sz w:val="32"/>
          <w:szCs w:val="32"/>
          <w:lang w:val="en-US" w:eastAsia="zh-CN"/>
        </w:rPr>
        <w:t>第</w:t>
      </w:r>
      <w:r>
        <w:rPr>
          <w:rFonts w:hint="eastAsia" w:eastAsia="黑体"/>
          <w:sz w:val="32"/>
          <w:szCs w:val="32"/>
          <w:lang w:val="en-US" w:eastAsia="zh-CN"/>
        </w:rPr>
        <w:t>八</w:t>
      </w:r>
      <w:r>
        <w:rPr>
          <w:rFonts w:eastAsia="黑体"/>
          <w:sz w:val="32"/>
          <w:szCs w:val="32"/>
          <w:lang w:val="en-US" w:eastAsia="zh-CN"/>
        </w:rPr>
        <w:t>条</w:t>
      </w:r>
      <w:r>
        <w:rPr>
          <w:rFonts w:eastAsia="方正仿宋_GBK"/>
          <w:sz w:val="32"/>
          <w:szCs w:val="32"/>
          <w:lang w:val="en-US" w:eastAsia="zh-CN"/>
        </w:rPr>
        <w:t xml:space="preserve"> </w:t>
      </w:r>
      <w:r>
        <w:rPr>
          <w:rFonts w:hint="eastAsia" w:ascii="仿宋" w:hAnsi="仿宋" w:eastAsia="仿宋" w:cs="仿宋"/>
          <w:sz w:val="32"/>
          <w:szCs w:val="32"/>
          <w:lang w:val="en-US" w:eastAsia="zh-CN"/>
        </w:rPr>
        <w:t xml:space="preserve"> 行政审批部门超越法定职权、违反法定程序和相关规定做出的环境影响评价文件审批决定，上级行政审批部门有权予以撤销并责令其纠正。行政相对人的合法权益因此受到损害的，由原审批部门依法给予赔偿。</w:t>
      </w:r>
    </w:p>
    <w:p>
      <w:pPr>
        <w:spacing w:line="600" w:lineRule="exact"/>
        <w:ind w:firstLine="640" w:firstLineChars="200"/>
        <w:jc w:val="both"/>
        <w:rPr>
          <w:sz w:val="32"/>
          <w:szCs w:val="32"/>
          <w:lang w:val="en-US" w:eastAsia="zh-CN"/>
        </w:rPr>
      </w:pPr>
      <w:r>
        <w:rPr>
          <w:rFonts w:eastAsia="黑体"/>
          <w:sz w:val="32"/>
          <w:szCs w:val="32"/>
          <w:lang w:val="en-US" w:eastAsia="zh-CN"/>
        </w:rPr>
        <w:t>第</w:t>
      </w:r>
      <w:r>
        <w:rPr>
          <w:rFonts w:hint="eastAsia" w:eastAsia="黑体"/>
          <w:sz w:val="32"/>
          <w:szCs w:val="32"/>
          <w:lang w:val="en-US" w:eastAsia="zh-CN"/>
        </w:rPr>
        <w:t>九</w:t>
      </w:r>
      <w:r>
        <w:rPr>
          <w:rFonts w:eastAsia="黑体"/>
          <w:sz w:val="32"/>
          <w:szCs w:val="32"/>
          <w:lang w:val="en-US" w:eastAsia="zh-CN"/>
        </w:rPr>
        <w:t>条</w:t>
      </w:r>
      <w:r>
        <w:rPr>
          <w:rFonts w:eastAsia="方正仿宋_GBK"/>
          <w:sz w:val="32"/>
          <w:szCs w:val="32"/>
          <w:lang w:val="en-US" w:eastAsia="zh-CN"/>
        </w:rPr>
        <w:t xml:space="preserve">  </w:t>
      </w:r>
      <w:r>
        <w:rPr>
          <w:rFonts w:hint="eastAsia" w:ascii="仿宋" w:hAnsi="仿宋" w:eastAsia="仿宋" w:cs="仿宋"/>
          <w:sz w:val="32"/>
          <w:szCs w:val="32"/>
          <w:lang w:val="en-US" w:eastAsia="zh-CN"/>
        </w:rPr>
        <w:t>法律、法规、规章对建设项目环境影响评价文件审批另有规定的，从其规定。</w:t>
      </w:r>
    </w:p>
    <w:p>
      <w:pPr>
        <w:spacing w:line="600" w:lineRule="exact"/>
        <w:ind w:firstLine="640" w:firstLineChars="200"/>
        <w:jc w:val="both"/>
        <w:rPr>
          <w:rFonts w:hint="eastAsia" w:ascii="仿宋" w:hAnsi="仿宋" w:eastAsia="仿宋" w:cs="仿宋"/>
          <w:sz w:val="32"/>
          <w:szCs w:val="32"/>
          <w:lang w:val="en-US" w:eastAsia="zh-CN"/>
        </w:rPr>
      </w:pPr>
      <w:r>
        <w:rPr>
          <w:rFonts w:eastAsia="黑体"/>
          <w:sz w:val="32"/>
          <w:szCs w:val="32"/>
          <w:lang w:val="en-US" w:eastAsia="zh-CN"/>
        </w:rPr>
        <w:t>第</w:t>
      </w:r>
      <w:r>
        <w:rPr>
          <w:rFonts w:hint="eastAsia" w:eastAsia="黑体"/>
          <w:sz w:val="32"/>
          <w:szCs w:val="32"/>
          <w:lang w:val="en-US" w:eastAsia="zh-CN"/>
        </w:rPr>
        <w:t>十</w:t>
      </w:r>
      <w:r>
        <w:rPr>
          <w:rFonts w:eastAsia="黑体"/>
          <w:sz w:val="32"/>
          <w:szCs w:val="32"/>
          <w:lang w:val="en-US" w:eastAsia="zh-CN"/>
        </w:rPr>
        <w:t>条</w:t>
      </w:r>
      <w:r>
        <w:rPr>
          <w:rFonts w:eastAsia="方正仿宋_GBK"/>
          <w:sz w:val="32"/>
          <w:szCs w:val="32"/>
          <w:lang w:val="en-US" w:eastAsia="zh-CN"/>
        </w:rPr>
        <w:t xml:space="preserve">  </w:t>
      </w:r>
      <w:r>
        <w:rPr>
          <w:rFonts w:hint="eastAsia" w:ascii="仿宋" w:hAnsi="仿宋" w:eastAsia="仿宋" w:cs="仿宋"/>
          <w:sz w:val="32"/>
          <w:szCs w:val="32"/>
          <w:lang w:val="en-US" w:eastAsia="zh-CN"/>
        </w:rPr>
        <w:t>本办法附件中建设项目未注明新建或扩建的，包括新建、扩建。其中，新建项目包括新建和异地迁建项目，扩建项目包括扩建和技术改造项目。</w:t>
      </w:r>
    </w:p>
    <w:p>
      <w:pPr>
        <w:spacing w:line="600" w:lineRule="exact"/>
        <w:ind w:firstLine="640" w:firstLineChars="200"/>
        <w:jc w:val="both"/>
        <w:rPr>
          <w:rFonts w:hint="eastAsia" w:ascii="仿宋" w:hAnsi="仿宋" w:eastAsia="仿宋" w:cs="仿宋"/>
          <w:sz w:val="32"/>
          <w:szCs w:val="32"/>
          <w:lang w:val="en-US" w:eastAsia="zh-CN"/>
        </w:rPr>
      </w:pPr>
      <w:r>
        <w:rPr>
          <w:rFonts w:eastAsia="黑体"/>
          <w:sz w:val="32"/>
          <w:szCs w:val="32"/>
          <w:lang w:val="en-US" w:eastAsia="zh-CN"/>
        </w:rPr>
        <w:t>第</w:t>
      </w:r>
      <w:r>
        <w:rPr>
          <w:rFonts w:hint="eastAsia" w:eastAsia="黑体"/>
          <w:sz w:val="32"/>
          <w:szCs w:val="32"/>
          <w:lang w:val="en-US" w:eastAsia="zh-CN"/>
        </w:rPr>
        <w:t>十一</w:t>
      </w:r>
      <w:r>
        <w:rPr>
          <w:rFonts w:eastAsia="黑体"/>
          <w:sz w:val="32"/>
          <w:szCs w:val="32"/>
          <w:lang w:val="en-US" w:eastAsia="zh-CN"/>
        </w:rPr>
        <w:t>条</w:t>
      </w:r>
      <w:r>
        <w:rPr>
          <w:rFonts w:eastAsia="方正仿宋_GBK"/>
          <w:sz w:val="32"/>
          <w:szCs w:val="32"/>
          <w:lang w:val="en-US" w:eastAsia="zh-CN"/>
        </w:rPr>
        <w:t xml:space="preserve"> </w:t>
      </w:r>
      <w:r>
        <w:rPr>
          <w:rFonts w:hint="eastAsia" w:ascii="仿宋" w:hAnsi="仿宋" w:eastAsia="仿宋" w:cs="仿宋"/>
          <w:sz w:val="32"/>
          <w:szCs w:val="32"/>
          <w:lang w:val="en-US" w:eastAsia="zh-CN"/>
        </w:rPr>
        <w:t xml:space="preserve"> 各级建设项目环境影响报告书（表）审批名录实行动态调整。</w:t>
      </w:r>
    </w:p>
    <w:p>
      <w:pPr>
        <w:spacing w:line="600" w:lineRule="exact"/>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第十二条</w:t>
      </w:r>
      <w:r>
        <w:rPr>
          <w:rFonts w:hint="eastAsia"/>
          <w:sz w:val="32"/>
          <w:szCs w:val="32"/>
          <w:lang w:val="en-US" w:eastAsia="zh-CN"/>
        </w:rPr>
        <w:t xml:space="preserve">  </w:t>
      </w:r>
      <w:r>
        <w:rPr>
          <w:rFonts w:hint="eastAsia" w:ascii="仿宋" w:hAnsi="仿宋" w:eastAsia="仿宋" w:cs="仿宋"/>
          <w:sz w:val="32"/>
          <w:szCs w:val="32"/>
          <w:lang w:val="en-US" w:eastAsia="zh-CN"/>
        </w:rPr>
        <w:t>各级建设项目环境影响评价文件行政审批部门加强区域规划环境影响评价和建设项目环境影响评价的联动，满足生态保护红线、环境质量底线、资源利用上线和生态环境准入清单（“三线一单”）管控要求。</w:t>
      </w:r>
    </w:p>
    <w:p>
      <w:pPr>
        <w:spacing w:line="600" w:lineRule="exact"/>
        <w:ind w:firstLine="640" w:firstLineChars="200"/>
        <w:jc w:val="both"/>
        <w:rPr>
          <w:rFonts w:hint="eastAsia" w:ascii="仿宋" w:hAnsi="仿宋" w:eastAsia="仿宋" w:cs="仿宋"/>
          <w:sz w:val="32"/>
          <w:szCs w:val="32"/>
          <w:lang w:val="en-US" w:eastAsia="zh-CN"/>
        </w:rPr>
      </w:pPr>
      <w:r>
        <w:rPr>
          <w:rFonts w:eastAsia="黑体"/>
          <w:sz w:val="32"/>
          <w:szCs w:val="32"/>
          <w:lang w:val="en-US" w:eastAsia="zh-CN"/>
        </w:rPr>
        <w:t>第十</w:t>
      </w:r>
      <w:r>
        <w:rPr>
          <w:rFonts w:hint="eastAsia" w:eastAsia="黑体"/>
          <w:sz w:val="32"/>
          <w:szCs w:val="32"/>
          <w:lang w:val="en-US" w:eastAsia="zh-CN"/>
        </w:rPr>
        <w:t>三</w:t>
      </w:r>
      <w:r>
        <w:rPr>
          <w:rFonts w:eastAsia="黑体"/>
          <w:sz w:val="32"/>
          <w:szCs w:val="32"/>
          <w:lang w:val="en-US" w:eastAsia="zh-CN"/>
        </w:rPr>
        <w:t>条</w:t>
      </w:r>
      <w:r>
        <w:rPr>
          <w:rFonts w:eastAsia="方正仿宋_GBK"/>
          <w:sz w:val="32"/>
          <w:szCs w:val="32"/>
          <w:lang w:val="en-US" w:eastAsia="zh-CN"/>
        </w:rPr>
        <w:t xml:space="preserve"> </w:t>
      </w:r>
      <w:r>
        <w:rPr>
          <w:rFonts w:hint="eastAsia" w:ascii="仿宋" w:hAnsi="仿宋" w:eastAsia="仿宋" w:cs="仿宋"/>
          <w:sz w:val="32"/>
          <w:szCs w:val="32"/>
          <w:lang w:val="en-US" w:eastAsia="zh-CN"/>
        </w:rPr>
        <w:t xml:space="preserve"> 本办法自印发之日起施行。本办法由自治区生态环境主管部门负责解释。</w:t>
      </w:r>
    </w:p>
    <w:p>
      <w:pPr>
        <w:spacing w:line="600" w:lineRule="exact"/>
        <w:ind w:firstLine="640" w:firstLineChars="200"/>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附件：自治区审批环境影响评价文件的建设项目目录（2022年</w:t>
      </w:r>
      <w:r>
        <w:rPr>
          <w:rFonts w:hint="eastAsia" w:eastAsia="仿宋" w:cs="Times New Roman"/>
          <w:sz w:val="32"/>
          <w:szCs w:val="32"/>
          <w:lang w:val="en-US" w:eastAsia="zh-CN"/>
        </w:rPr>
        <w:t>修订版</w:t>
      </w:r>
      <w:r>
        <w:rPr>
          <w:rFonts w:hint="default" w:ascii="Times New Roman" w:hAnsi="Times New Roman" w:eastAsia="仿宋" w:cs="Times New Roman"/>
          <w:sz w:val="32"/>
          <w:szCs w:val="32"/>
          <w:lang w:val="en-US" w:eastAsia="zh-CN"/>
        </w:rPr>
        <w:t>）</w:t>
      </w:r>
    </w:p>
    <w:p>
      <w:pPr>
        <w:spacing w:line="600" w:lineRule="exact"/>
        <w:ind w:firstLine="560" w:firstLineChars="200"/>
        <w:jc w:val="both"/>
        <w:rPr>
          <w:sz w:val="28"/>
          <w:szCs w:val="28"/>
          <w:lang w:val="en-US" w:eastAsia="zh-CN"/>
        </w:rPr>
        <w:sectPr>
          <w:footerReference r:id="rId3" w:type="default"/>
          <w:footerReference r:id="rId4" w:type="even"/>
          <w:pgSz w:w="11906" w:h="16838"/>
          <w:pgMar w:top="1440" w:right="1361" w:bottom="1701" w:left="1474" w:header="1134" w:footer="1020" w:gutter="0"/>
          <w:pgBorders>
            <w:top w:val="none" w:sz="0" w:space="0"/>
            <w:left w:val="none" w:sz="0" w:space="0"/>
            <w:bottom w:val="none" w:sz="0" w:space="0"/>
            <w:right w:val="none" w:sz="0" w:space="0"/>
          </w:pgBorders>
          <w:cols w:space="720" w:num="1"/>
          <w:docGrid w:type="lines" w:linePitch="435" w:charSpace="0"/>
        </w:sectPr>
      </w:pPr>
    </w:p>
    <w:p>
      <w:pPr>
        <w:jc w:val="both"/>
        <w:rPr>
          <w:rFonts w:hint="default"/>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bidi w:val="0"/>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自治区审批环境影响评价文件的</w:t>
      </w:r>
    </w:p>
    <w:p>
      <w:pPr>
        <w:keepNext w:val="0"/>
        <w:keepLines w:val="0"/>
        <w:pageBreakBefore w:val="0"/>
        <w:widowControl w:val="0"/>
        <w:kinsoku/>
        <w:wordWrap/>
        <w:overflowPunct/>
        <w:topLinePunct w:val="0"/>
        <w:bidi w:val="0"/>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建设项目目录（</w:t>
      </w:r>
      <w:r>
        <w:rPr>
          <w:rFonts w:hint="default" w:ascii="Times New Roman" w:hAnsi="Times New Roman" w:eastAsia="方正小标宋_GBK" w:cs="Times New Roman"/>
          <w:sz w:val="44"/>
          <w:szCs w:val="44"/>
          <w:lang w:val="en-US" w:eastAsia="zh-CN"/>
        </w:rPr>
        <w:t>2022</w:t>
      </w:r>
      <w:r>
        <w:rPr>
          <w:rFonts w:hint="eastAsia" w:ascii="方正小标宋_GBK" w:hAnsi="方正小标宋_GBK" w:eastAsia="方正小标宋_GBK" w:cs="方正小标宋_GBK"/>
          <w:sz w:val="44"/>
          <w:szCs w:val="44"/>
          <w:lang w:val="en-US" w:eastAsia="zh-CN"/>
        </w:rPr>
        <w:t>年修订版）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7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项目类别</w:t>
            </w:r>
          </w:p>
        </w:tc>
        <w:tc>
          <w:tcPr>
            <w:tcW w:w="78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水利</w:t>
            </w: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涉及跨设区市</w:t>
            </w:r>
            <w:r>
              <w:rPr>
                <w:rFonts w:hint="default" w:ascii="Times New Roman" w:hAnsi="Times New Roman" w:eastAsia="仿宋" w:cs="Times New Roman"/>
                <w:color w:val="auto"/>
                <w:kern w:val="0"/>
                <w:sz w:val="28"/>
                <w:szCs w:val="28"/>
                <w:lang w:val="en" w:eastAsia="zh-CN"/>
              </w:rPr>
              <w:t>河流上建设或涉及跨设区市</w:t>
            </w:r>
            <w:r>
              <w:rPr>
                <w:rFonts w:hint="default" w:ascii="Times New Roman" w:hAnsi="Times New Roman" w:eastAsia="仿宋" w:cs="Times New Roman"/>
                <w:color w:val="auto"/>
                <w:sz w:val="28"/>
                <w:szCs w:val="28"/>
                <w:lang w:val="en-US" w:eastAsia="zh-CN"/>
              </w:rPr>
              <w:t>水资源配置调整的水利项目。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能源</w:t>
            </w: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在西江、浔江、黔江、红水河、柳江、桂江、郁江干流河段上单站总装机容量50万千瓦以下，或在其他河流上跨设区市建设的水电站。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火电、热电项目（燃煤、燃油机组）。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油田开发项目。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气田开发项目。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u w:val="single"/>
                <w:lang w:val="en-US" w:eastAsia="zh-CN"/>
              </w:rPr>
            </w:pPr>
            <w:r>
              <w:rPr>
                <w:rFonts w:hint="default" w:ascii="Times New Roman" w:hAnsi="Times New Roman" w:eastAsia="仿宋" w:cs="Times New Roman"/>
                <w:color w:val="auto"/>
                <w:sz w:val="28"/>
                <w:szCs w:val="28"/>
                <w:lang w:val="en-US" w:eastAsia="zh-CN"/>
              </w:rPr>
              <w:t>海上风电项目。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交通</w:t>
            </w: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列入国家或自治区批准的相关规划中的内河3000吨级及以上码头和年吞吐能力1000万吨以下煤炭、矿石、油气、集装箱专用码头，跨省（区、市）高等级航道的千吨级以下和非跨省（区、市）高等级航道航电枢纽项目、500吨级及以上通航建筑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u w:val="single"/>
                <w:lang w:val="en-US" w:eastAsia="zh-CN"/>
              </w:rPr>
            </w:pPr>
            <w:r>
              <w:rPr>
                <w:rFonts w:hint="default" w:ascii="Times New Roman" w:hAnsi="Times New Roman" w:eastAsia="仿宋" w:cs="Times New Roman"/>
                <w:color w:val="auto"/>
                <w:sz w:val="28"/>
                <w:szCs w:val="28"/>
                <w:lang w:val="en-US" w:eastAsia="zh-CN"/>
              </w:rPr>
              <w:t>含飞机跑道的机场项目（包括陆域、内河、海上）。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原材料</w:t>
            </w: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钢铁（包括烧结、球团、焦化、直接还原、熔融还原）项目</w:t>
            </w:r>
            <w:r>
              <w:rPr>
                <w:rFonts w:hint="eastAsia" w:ascii="Times New Roman" w:hAnsi="Times New Roman" w:eastAsia="仿宋" w:cs="Times New Roman"/>
                <w:color w:val="auto"/>
                <w:sz w:val="28"/>
                <w:szCs w:val="28"/>
                <w:lang w:val="en-US" w:eastAsia="zh-CN"/>
              </w:rPr>
              <w:t>；炼钢项目</w:t>
            </w:r>
            <w:r>
              <w:rPr>
                <w:rFonts w:hint="default" w:ascii="Times New Roman" w:hAnsi="Times New Roman" w:eastAsia="仿宋" w:cs="Times New Roman"/>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有色金属矿采选（不含金矿）、冶炼项目（含再生有色金属冶炼）</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电解锰项目。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稀土矿山开发、冶炼分离项目。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 xml:space="preserve">化工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石化</w:t>
            </w: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列入国务院批准的国家能源发展规划、石化产业规划布局方案的扩建一次炼油项目。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新建对二甲苯（PX）、二苯基甲烷二异氰酸酯（MDI），编制环境影响报告书的炼焦业、化学纤维制造业、农药原药、有机合成染料、化学原料药制造项目。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轻工</w:t>
            </w: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竹木制浆项目和新建非竹木制浆项目（再生浆项目除外）。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表面处理项目（涉及电镀废水综合处理）、制革（涉及重金属鞣制）项目。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新建涉及铅、镉、铬、汞、砷排放及盐类污染物排放的电池及其材料制造项目。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城建</w:t>
            </w: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危险废物（医疗废物除外）集中焚烧处置、安全填埋处置项目；采用火法冶炼工艺的危险废物综合利用项目（包括协同处置）。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辐射类</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广播电台、差转台:中波50千瓦</w:t>
            </w:r>
            <w:r>
              <w:rPr>
                <w:rFonts w:hint="default" w:ascii="Times New Roman" w:hAnsi="Times New Roman" w:eastAsia="仿宋" w:cs="Times New Roman"/>
                <w:color w:val="auto"/>
                <w:sz w:val="28"/>
                <w:szCs w:val="28"/>
                <w:highlight w:val="none"/>
                <w:lang w:val="en-US" w:eastAsia="zh-CN"/>
              </w:rPr>
              <w:t>及以上的项目；短波100千瓦及以上的项目；涉及环境敏感区的</w:t>
            </w:r>
            <w:r>
              <w:rPr>
                <w:rFonts w:hint="default" w:ascii="Times New Roman" w:hAnsi="Times New Roman" w:eastAsia="仿宋" w:cs="Times New Roman"/>
                <w:color w:val="auto"/>
                <w:sz w:val="28"/>
                <w:szCs w:val="28"/>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电视塔台：涉及环境敏感区的100千瓦及以上的项目。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卫星地球上行站：涉及环境敏感区的项目。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雷达：涉及环境敏感区的项目。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核技术利用建设项目：生产I类、Ⅱ类、Ⅲ类、</w:t>
            </w:r>
            <w:r>
              <w:rPr>
                <w:rFonts w:hint="default" w:ascii="Times New Roman" w:hAnsi="Times New Roman" w:eastAsia="仿宋" w:cs="Times New Roman"/>
                <w:sz w:val="28"/>
                <w:szCs w:val="28"/>
                <w:highlight w:val="none"/>
                <w:lang w:val="en-US" w:eastAsia="zh-CN"/>
              </w:rPr>
              <w:t>Ⅳ类、Ⅴ类放射源</w:t>
            </w:r>
            <w:r>
              <w:rPr>
                <w:rFonts w:hint="default" w:ascii="Times New Roman" w:hAnsi="Times New Roman" w:eastAsia="仿宋" w:cs="Times New Roman"/>
                <w:color w:val="auto"/>
                <w:sz w:val="28"/>
                <w:szCs w:val="28"/>
                <w:highlight w:val="none"/>
                <w:lang w:val="en-US" w:eastAsia="zh-CN"/>
              </w:rPr>
              <w:t>；使用I类、Ⅱ类、Ⅲ类放射源；销售（含建造）、使用I类射线装置的；甲级、乙级非密封放射性物质工作场所；在野外进行放射性同位素示踪试验的。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核技术利用项目退役：生产I类、Ⅱ类、Ⅲ类、</w:t>
            </w:r>
            <w:r>
              <w:rPr>
                <w:rFonts w:hint="default" w:ascii="Times New Roman" w:hAnsi="Times New Roman" w:eastAsia="仿宋" w:cs="Times New Roman"/>
                <w:sz w:val="28"/>
                <w:szCs w:val="28"/>
                <w:highlight w:val="none"/>
                <w:lang w:val="en-US" w:eastAsia="zh-CN"/>
              </w:rPr>
              <w:t>Ⅳ类、Ⅴ类放射源</w:t>
            </w:r>
            <w:r>
              <w:rPr>
                <w:rFonts w:hint="default" w:ascii="Times New Roman" w:hAnsi="Times New Roman" w:eastAsia="仿宋" w:cs="Times New Roman"/>
                <w:color w:val="auto"/>
                <w:sz w:val="28"/>
                <w:szCs w:val="28"/>
                <w:highlight w:val="none"/>
                <w:lang w:val="en-US" w:eastAsia="zh-CN"/>
              </w:rPr>
              <w:t>；甲级、乙级非密封放射性物质工作场所；使用Ⅰ类、Ⅱ类、Ⅲ类放射源场所存在污染的；使用Ⅰ类射线装置存在污染的。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伴生放射性矿物资源的采选、冶炼。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输变电工程：500千伏以上项目。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 xml:space="preserve">   海洋类</w:t>
            </w: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填海：50公顷以下的填海工程。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海砂开采项目。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海底工程：生态环境部审批权限之外的海底电缆、海底隧道、海底场馆等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Times New Roman" w:hAnsi="Times New Roman"/>
        <w:sz w:val="28"/>
        <w:szCs w:val="28"/>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ind w:right="280"/>
                            <w:jc w:val="right"/>
                          </w:pPr>
                          <w:r>
                            <w:rPr>
                              <w:rFonts w:hint="default" w:ascii="Times New Roman" w:hAnsi="Times New Roman" w:cs="Times New Roman"/>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4</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path/>
              <v:fill on="f" focussize="0,0"/>
              <v:stroke on="f"/>
              <v:imagedata o:title=""/>
              <o:lock v:ext="edit" aspectratio="f"/>
              <v:textbox inset="0mm,0mm,0mm,0mm" style="mso-fit-shape-to-text:t;">
                <w:txbxContent>
                  <w:p>
                    <w:pPr>
                      <w:pStyle w:val="4"/>
                      <w:ind w:right="280"/>
                      <w:jc w:val="right"/>
                    </w:pPr>
                    <w:r>
                      <w:rPr>
                        <w:rFonts w:hint="default" w:ascii="Times New Roman" w:hAnsi="Times New Roman" w:cs="Times New Roman"/>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4</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仿宋_GB2312" w:hAnsi="Times New Roman" w:eastAsia="仿宋_GB2312"/>
        <w:sz w:val="28"/>
        <w:lang w:val="en-US" w:eastAsia="zh-CN"/>
      </w:rP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ind w:right="280"/>
                            <w:jc w:val="right"/>
                            <w:rPr>
                              <w:lang w:val="en-US" w:eastAsia="zh-CN"/>
                            </w:rPr>
                          </w:pPr>
                          <w:r>
                            <w:rPr>
                              <w:rFonts w:ascii="Times New Roman" w:hAnsi="Times New Roman"/>
                              <w:sz w:val="28"/>
                              <w:lang w:val="en-US" w:eastAsia="zh-CN"/>
                            </w:rPr>
                            <w:t xml:space="preserve">— </w:t>
                          </w:r>
                          <w:r>
                            <w:rPr>
                              <w:rFonts w:ascii="Times New Roman" w:hAnsi="Times New Roman"/>
                              <w:sz w:val="28"/>
                              <w:lang w:val="en-US" w:eastAsia="zh-CN"/>
                            </w:rPr>
                            <w:fldChar w:fldCharType="begin"/>
                          </w:r>
                          <w:r>
                            <w:rPr>
                              <w:rFonts w:ascii="Times New Roman" w:hAnsi="Times New Roman"/>
                              <w:sz w:val="28"/>
                              <w:lang w:val="en-US" w:eastAsia="zh-CN"/>
                            </w:rPr>
                            <w:instrText xml:space="preserve"> PAGE </w:instrText>
                          </w:r>
                          <w:r>
                            <w:rPr>
                              <w:rFonts w:ascii="Times New Roman" w:hAnsi="Times New Roman"/>
                              <w:sz w:val="28"/>
                              <w:lang w:val="en-US" w:eastAsia="zh-CN"/>
                            </w:rPr>
                            <w:fldChar w:fldCharType="separate"/>
                          </w:r>
                          <w:r>
                            <w:rPr>
                              <w:rFonts w:ascii="Times New Roman" w:hAnsi="Times New Roman"/>
                              <w:sz w:val="28"/>
                              <w:lang w:val="en-US" w:eastAsia="zh-CN"/>
                            </w:rPr>
                            <w:t>8</w:t>
                          </w:r>
                          <w:r>
                            <w:rPr>
                              <w:rFonts w:ascii="Times New Roman" w:hAnsi="Times New Roman"/>
                              <w:sz w:val="28"/>
                              <w:lang w:val="en-US" w:eastAsia="zh-CN"/>
                            </w:rPr>
                            <w:fldChar w:fldCharType="end"/>
                          </w:r>
                          <w:r>
                            <w:rPr>
                              <w:rFonts w:ascii="Times New Roman" w:hAnsi="Times New Roman"/>
                              <w:sz w:val="28"/>
                              <w:lang w:val="en-US" w:eastAsia="zh-CN"/>
                            </w:rPr>
                            <w:t xml:space="preserve"> —</w:t>
                          </w:r>
                        </w:p>
                        <w:p>
                          <w:pPr>
                            <w:jc w:val="both"/>
                            <w:rPr>
                              <w:lang w:val="en-US" w:eastAsia="zh-CN"/>
                            </w:rPr>
                          </w:pP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path/>
              <v:fill on="f" focussize="0,0"/>
              <v:stroke on="f"/>
              <v:imagedata o:title=""/>
              <o:lock v:ext="edit"/>
              <v:textbox inset="0mm,0mm,0mm,0mm" style="mso-fit-shape-to-text:t;">
                <w:txbxContent>
                  <w:p>
                    <w:pPr>
                      <w:pStyle w:val="4"/>
                      <w:ind w:right="280"/>
                      <w:jc w:val="right"/>
                      <w:rPr>
                        <w:lang w:val="en-US" w:eastAsia="zh-CN"/>
                      </w:rPr>
                    </w:pPr>
                    <w:r>
                      <w:rPr>
                        <w:rFonts w:ascii="Times New Roman" w:hAnsi="Times New Roman"/>
                        <w:sz w:val="28"/>
                        <w:lang w:val="en-US" w:eastAsia="zh-CN"/>
                      </w:rPr>
                      <w:t xml:space="preserve">— </w:t>
                    </w:r>
                    <w:r>
                      <w:rPr>
                        <w:rFonts w:ascii="Times New Roman" w:hAnsi="Times New Roman"/>
                        <w:sz w:val="28"/>
                        <w:lang w:val="en-US" w:eastAsia="zh-CN"/>
                      </w:rPr>
                      <w:fldChar w:fldCharType="begin"/>
                    </w:r>
                    <w:r>
                      <w:rPr>
                        <w:rFonts w:ascii="Times New Roman" w:hAnsi="Times New Roman"/>
                        <w:sz w:val="28"/>
                        <w:lang w:val="en-US" w:eastAsia="zh-CN"/>
                      </w:rPr>
                      <w:instrText xml:space="preserve"> PAGE </w:instrText>
                    </w:r>
                    <w:r>
                      <w:rPr>
                        <w:rFonts w:ascii="Times New Roman" w:hAnsi="Times New Roman"/>
                        <w:sz w:val="28"/>
                        <w:lang w:val="en-US" w:eastAsia="zh-CN"/>
                      </w:rPr>
                      <w:fldChar w:fldCharType="separate"/>
                    </w:r>
                    <w:r>
                      <w:rPr>
                        <w:rFonts w:ascii="Times New Roman" w:hAnsi="Times New Roman"/>
                        <w:sz w:val="28"/>
                        <w:lang w:val="en-US" w:eastAsia="zh-CN"/>
                      </w:rPr>
                      <w:t>8</w:t>
                    </w:r>
                    <w:r>
                      <w:rPr>
                        <w:rFonts w:ascii="Times New Roman" w:hAnsi="Times New Roman"/>
                        <w:sz w:val="28"/>
                        <w:lang w:val="en-US" w:eastAsia="zh-CN"/>
                      </w:rPr>
                      <w:fldChar w:fldCharType="end"/>
                    </w:r>
                    <w:r>
                      <w:rPr>
                        <w:rFonts w:ascii="Times New Roman" w:hAnsi="Times New Roman"/>
                        <w:sz w:val="28"/>
                        <w:lang w:val="en-US" w:eastAsia="zh-CN"/>
                      </w:rPr>
                      <w:t xml:space="preserve"> —</w:t>
                    </w:r>
                  </w:p>
                  <w:p>
                    <w:pPr>
                      <w:jc w:val="both"/>
                      <w:rPr>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FC3FE"/>
    <w:rsid w:val="673FC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3"/>
    <w:unhideWhenUsed/>
    <w:qFormat/>
    <w:uiPriority w:val="99"/>
    <w:pPr>
      <w:widowControl w:val="0"/>
      <w:pBdr>
        <w:top w:val="none" w:color="auto" w:sz="0" w:space="0"/>
        <w:left w:val="none" w:color="auto" w:sz="0" w:space="0"/>
        <w:bottom w:val="none" w:color="auto" w:sz="0" w:space="0"/>
        <w:right w:val="none" w:color="auto" w:sz="0" w:space="0"/>
        <w:between w:val="none" w:color="auto" w:sz="0" w:space="0"/>
      </w:pBdr>
      <w:shd w:val="clear" w:color="auto" w:fill="auto"/>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3">
    <w:name w:val="index 6"/>
    <w:basedOn w:val="1"/>
    <w:next w:val="1"/>
    <w:qFormat/>
    <w:uiPriority w:val="0"/>
    <w:pPr>
      <w:ind w:left="2100"/>
    </w:pPr>
    <w:rPr>
      <w:rFonts w:ascii="Times New Roman" w:hAnsi="Times New Roman" w:eastAsia="宋体"/>
    </w:rPr>
  </w:style>
  <w:style w:type="paragraph" w:styleId="4">
    <w:name w:val="footer"/>
    <w:basedOn w:val="1"/>
    <w:next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napToGrid w:val="0"/>
      <w:jc w:val="left"/>
    </w:pPr>
    <w:rPr>
      <w:sz w:val="18"/>
      <w:szCs w:val="18"/>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2022-08-10T16:41:00Z</dcterms:created>
  <dc:creator>杨春琳</dc:creator>
  <cp:lastModifiedBy>杨春琳</cp:lastModifiedBy>
  <dcterms:modified xsi:type="dcterms:W3CDTF">2022-08-10T16:42:36Z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