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eastAsia="仿宋_GB2312" w:cs="仿宋_GB2312"/>
          <w:sz w:val="32"/>
          <w:szCs w:val="32"/>
        </w:rPr>
        <w:t>柳发改规划〔</w:t>
      </w:r>
      <w:r>
        <w:rPr>
          <w:rFonts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225</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_GBK"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pacing w:val="-6"/>
          <w:sz w:val="44"/>
          <w:szCs w:val="44"/>
        </w:rPr>
      </w:pPr>
      <w:r>
        <w:rPr>
          <w:rFonts w:hint="eastAsia" w:ascii="方正小标宋简体" w:hAnsi="方正小标宋_GBK" w:eastAsia="方正小标宋简体" w:cs="方正小标宋简体"/>
          <w:sz w:val="44"/>
          <w:szCs w:val="44"/>
        </w:rPr>
        <w:t>柳州市发展和改革委员会</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pacing w:val="-6"/>
          <w:sz w:val="44"/>
          <w:szCs w:val="44"/>
        </w:rPr>
        <w:t>柳州军事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hAnsi="方正小标宋_GBK"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博物馆</w:t>
      </w:r>
      <w:r>
        <w:rPr>
          <w:rFonts w:hint="eastAsia" w:ascii="方正小标宋简体" w:hAnsi="方正小标宋简体" w:eastAsia="方正小标宋简体" w:cs="方正小标宋简体"/>
          <w:sz w:val="44"/>
          <w:szCs w:val="44"/>
        </w:rPr>
        <w:t>配套</w:t>
      </w:r>
      <w:r>
        <w:rPr>
          <w:rFonts w:hint="eastAsia" w:ascii="方正小标宋简体" w:hAnsi="Times New Roman" w:eastAsia="方正小标宋简体" w:cs="方正小标宋简体"/>
          <w:sz w:val="44"/>
          <w:szCs w:val="44"/>
        </w:rPr>
        <w:t>项目</w:t>
      </w:r>
      <w:r>
        <w:rPr>
          <w:rFonts w:hint="eastAsia" w:ascii="方正小标宋简体" w:hAnsi="方正小标宋_GBK" w:eastAsia="方正小标宋简体" w:cs="方正小标宋简体"/>
          <w:sz w:val="44"/>
          <w:szCs w:val="44"/>
        </w:rPr>
        <w:t>初步设计的批复</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黑体" w:eastAsia="黑体"/>
          <w:b/>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广西柳州市建设投资开发有限责任公司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报来《</w:t>
      </w:r>
      <w:r>
        <w:rPr>
          <w:rFonts w:hint="eastAsia" w:ascii="仿宋_GB2312" w:hAnsi="仿宋_GB2312" w:eastAsia="仿宋_GB2312" w:cs="仿宋_GB2312"/>
          <w:color w:val="auto"/>
          <w:sz w:val="32"/>
          <w:szCs w:val="32"/>
        </w:rPr>
        <w:t>关于申请</w:t>
      </w:r>
      <w:r>
        <w:rPr>
          <w:rFonts w:hint="eastAsia" w:ascii="仿宋_GB2312" w:hAnsi="仿宋_GB2312" w:eastAsia="仿宋_GB2312" w:cs="仿宋_GB2312"/>
          <w:color w:val="auto"/>
          <w:sz w:val="32"/>
          <w:szCs w:val="32"/>
          <w:lang w:eastAsia="zh-CN"/>
        </w:rPr>
        <w:t>审</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&lt;柳州军事博物馆配套项目初步设计&gt;</w:t>
      </w:r>
      <w:r>
        <w:rPr>
          <w:rFonts w:hint="eastAsia" w:ascii="仿宋_GB2312" w:hAnsi="仿宋_GB2312" w:eastAsia="仿宋_GB2312" w:cs="仿宋_GB2312"/>
          <w:color w:val="auto"/>
          <w:sz w:val="32"/>
          <w:szCs w:val="32"/>
        </w:rPr>
        <w:t>的请示》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柳</w:t>
      </w:r>
      <w:r>
        <w:rPr>
          <w:rFonts w:hint="eastAsia" w:ascii="仿宋_GB2312" w:hAnsi="宋体" w:eastAsia="仿宋_GB2312"/>
          <w:kern w:val="0"/>
          <w:sz w:val="32"/>
          <w:szCs w:val="32"/>
          <w:lang w:val="en-US" w:eastAsia="zh-CN"/>
        </w:rPr>
        <w:t>建投请字</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一、原则同意柳州军事博物馆配套项目初步设计。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投资项目审批监管平台项目代码：</w:t>
      </w:r>
      <w:r>
        <w:rPr>
          <w:rFonts w:hint="eastAsia" w:ascii="仿宋_GB2312" w:hAnsi="仿宋_GB2312" w:eastAsia="仿宋_GB2312" w:cs="仿宋_GB2312"/>
          <w:color w:val="000000" w:themeColor="text1"/>
          <w:sz w:val="32"/>
          <w:szCs w:val="32"/>
        </w:rPr>
        <w:t>2103-450200-04-01-206602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三、项目建设地点：柳州市柳南区航银路与航五路交叉路口，柳州军事博物园内。</w:t>
      </w:r>
    </w:p>
    <w:p>
      <w:pPr>
        <w:spacing w:line="57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sz w:val="32"/>
          <w:szCs w:val="32"/>
        </w:rPr>
        <w:t>四、项目建设内容及规模：</w:t>
      </w:r>
      <w:r>
        <w:rPr>
          <w:rFonts w:hint="eastAsia" w:ascii="仿宋_GB2312" w:hAnsi="仿宋" w:eastAsia="仿宋_GB2312"/>
          <w:color w:val="000000"/>
          <w:sz w:val="32"/>
          <w:szCs w:val="32"/>
        </w:rPr>
        <w:t>对柳州军事博物馆进行配套提升，配套园区总用地面积约22211.16平方米，其中新建门卫室</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建筑面积19.44平方米，新建通透式围墙</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长度30</w:t>
      </w:r>
      <w:r>
        <w:rPr>
          <w:rFonts w:ascii="仿宋_GB2312" w:hAnsi="仿宋" w:eastAsia="仿宋_GB2312"/>
          <w:color w:val="000000"/>
          <w:sz w:val="32"/>
          <w:szCs w:val="32"/>
        </w:rPr>
        <w:t>2.67</w:t>
      </w:r>
      <w:r>
        <w:rPr>
          <w:rFonts w:hint="eastAsia" w:ascii="仿宋_GB2312" w:hAnsi="仿宋" w:eastAsia="仿宋_GB2312"/>
          <w:color w:val="000000"/>
          <w:sz w:val="32"/>
          <w:szCs w:val="32"/>
        </w:rPr>
        <w:t>米，改造学术报告厅、建筑面积389.66平方米。主要建设内容包括新建门卫室、围墙，室外安防系统、园区标识系统、“清原号”猎潜艇展示配套、学术报告厅改造及其他附属配套设施等。</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五、总投资及资金来源:项目总投资概算为</w:t>
      </w:r>
      <w:r>
        <w:rPr>
          <w:rFonts w:ascii="仿宋_GB2312" w:eastAsia="仿宋_GB2312" w:cs="宋体"/>
          <w:color w:val="000000"/>
          <w:sz w:val="32"/>
          <w:szCs w:val="32"/>
          <w:lang w:val="zh-CN"/>
        </w:rPr>
        <w:t>739.30</w:t>
      </w:r>
      <w:r>
        <w:rPr>
          <w:rFonts w:hint="eastAsia" w:ascii="仿宋_GB2312" w:hAnsi="仿宋_GB2312" w:eastAsia="仿宋_GB2312" w:cs="仿宋_GB2312"/>
          <w:sz w:val="32"/>
          <w:szCs w:val="32"/>
        </w:rPr>
        <w:t>万元,其中工程费用</w:t>
      </w:r>
      <w:r>
        <w:rPr>
          <w:rFonts w:ascii="仿宋_GB2312" w:eastAsia="仿宋_GB2312" w:cs="宋体"/>
          <w:color w:val="000000"/>
          <w:sz w:val="32"/>
          <w:szCs w:val="32"/>
          <w:lang w:val="zh-CN"/>
        </w:rPr>
        <w:t>619.79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工程建设其他费用</w:t>
      </w:r>
      <w:r>
        <w:rPr>
          <w:rFonts w:ascii="仿宋_GB2312" w:eastAsia="仿宋_GB2312" w:cs="宋体"/>
          <w:color w:val="000000"/>
          <w:sz w:val="32"/>
          <w:szCs w:val="32"/>
          <w:lang w:val="zh-CN"/>
        </w:rPr>
        <w:t>84.31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基本预备费</w:t>
      </w:r>
      <w:r>
        <w:rPr>
          <w:rFonts w:ascii="仿宋_GB2312" w:eastAsia="仿宋_GB2312" w:cs="宋体"/>
          <w:color w:val="000000"/>
          <w:sz w:val="32"/>
          <w:szCs w:val="32"/>
          <w:lang w:val="zh-CN"/>
        </w:rPr>
        <w:t>35.20</w:t>
      </w:r>
      <w:r>
        <w:rPr>
          <w:rFonts w:hint="eastAsia" w:ascii="仿宋_GB2312" w:hAnsi="仿宋_GB2312" w:eastAsia="仿宋_GB2312" w:cs="仿宋_GB2312"/>
          <w:sz w:val="32"/>
          <w:szCs w:val="32"/>
        </w:rPr>
        <w:t>万元。资金来源为</w:t>
      </w:r>
      <w:r>
        <w:rPr>
          <w:rFonts w:hint="eastAsia" w:ascii="仿宋_GB2312" w:eastAsia="仿宋_GB2312"/>
          <w:sz w:val="32"/>
          <w:szCs w:val="32"/>
          <w:lang w:val="en-US" w:eastAsia="zh-CN"/>
        </w:rPr>
        <w:t>柳州市财政投资。</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接文后，请严格按照基本建设程序办理相关建设事项，严格控制项目建设标准、建设规模、概算等控制性指标，不得随意变更和突破。</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8"/>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每月5日前通过广西投资项目在线并联审批监管平台完成项目进展信息填报工作，直至项目实施完毕为止。</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w:t>
      </w:r>
      <w:r>
        <w:rPr>
          <w:sz w:val="32"/>
        </w:rPr>
        <w:pict>
          <v:rect id="KGD_61639030$01$18$00011" o:spid="_x0000_s2062" o:spt="1" alt="nwkOiId/bBbOAe61rgYT4vXM3UaFFF0tl2W9B2ekj1Z7kYnHXrUHbs1gN35c90qv/92aHVdEGfMASOyNrkDyfebu+NiDUu2Ll/pA6KIYQM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SF3HgiaUvpz5aO/tXUOEiJflJ7kYCQ4ddm34pLQjFrZHPpBTlDtous0K0IXIMgRBn0xwwGsIvmtKtDOPGf4e8/qSWZpEtGD8WLYs7aRMhAREch0XL8RGXTtLmPR+GWOtyFQYnQRCrWQ3Av69tA4X+glCqRIMFXWC6s97VV+G6I4KFVotA80FJG9NeKDmZwBghKY8oTG9z0Vkm3s+X4Jq7ZpNbxJ3AV1KiZdZyUbBJXn7LHQVjEppunCaJn/8NjgiNs5nfp+3BsZSGKppJikyHakT48SMJipAJm9iyLGZlS/02k8GYzyeWiRIC2lrssDA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InaSPOUTsXtsbBaQHNG4ieu0z7Z93vHOcZedW2p3sgovi+mVPfb2pMVkOrUTINIc1ZlEcaILff5Sr64JIS4QLV+B/RH8aWN5UipArh19L4/yA3FpkJIGJhvPIAZfgc/VKeTSr60746FHN+Hnb4ITr+7u2ASDkTFxvC76HhqbI8N6OgZdl40yEUL2rZE6+UWz0ETf3oFo3MKtxxZTjqzBXJA0BMQYdwXqFbjEmqJijrY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8" o:spid="_x0000_s2061"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7" o:spid="_x0000_s2060"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6" o:spid="_x0000_s2059"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5" o:spid="_x0000_s2058"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4" o:spid="_x0000_s2057"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3" o:spid="_x0000_s205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2" o:spid="_x0000_s2055"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 o:spid="_x0000_s2054"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Gobal1" o:spid="_x0000_s2053" o:spt="1" alt="lskY7P30+39SSS2ze3CC/C/BzkxYSIxHwOsiFx635g9+0F5j1mxRpqHkANIc4i3jfvzdhBgpykStEgmtH++nIH8FkSnjLqTIRHRGFJ8jG41j3xqp2SZHcVHcCt7rE68UrB8q0hiWI3ELFUi7yIhacMqo6M2GvwbETK/WHSKVDcJ4SnVvkoGdUbq1yvDLMPphiYpfGx7KZs3olPN6sPWfrQ7nWOslgR0xS87P/0+PN+du/9zjtNDQrTi7eU5AY82TNhnu7MEpMa5a/ljPw6n+g7dbUbyZdlQMsGx+QyxTdt/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pUKtUUF0CV5EGfAGZiWbizp403u1mrOfD9jrPcCo2t8JVNJ1hDGJuPVZQnES+CWISX08zE1p/4abjal3OFIpWgpb4OPGsXMXHiw5Z3l9YR66S0rQ9WOYRsNNJ5fBJiwtghAgTgtsX5bdQKp1rOy6RWMS34EpDiCX4UfrjEkzXN8u8uUVh/WZhnrqRUN1q2qaTPxJsYxiXQrntOTHGkkvGb" style="position:absolute;left:0pt;margin-left:-89.35pt;margin-top:-94.9pt;height:5pt;width:5pt;visibility:hidden;z-index:251671552;mso-width-relative:page;mso-height-relative:page;" fillcolor="#FFFFFF" filled="t" stroked="t" coordsize="21600,21600">
            <v:path/>
            <v:fill on="t" focussize="0,0"/>
            <v:stroke color="#000000"/>
            <v:imagedata o:title=""/>
            <o:lock v:ext="edit" aspectratio="f"/>
          </v:rect>
        </w:pict>
      </w:r>
      <w:r>
        <w:rPr>
          <w:rFonts w:hint="eastAsia" w:ascii="仿宋_GB2312" w:hAnsi="仿宋_GB2312" w:eastAsia="仿宋_GB2312" w:cs="仿宋_GB2312"/>
          <w:b w:val="0"/>
          <w:bCs w:val="0"/>
          <w:sz w:val="32"/>
          <w:szCs w:val="32"/>
          <w:lang w:val="en-US" w:eastAsia="zh-CN"/>
        </w:rPr>
        <w:t>合楼柳州市纪委监委驻市发展改革委纪检监察组，邮编：545006。)</w:t>
      </w:r>
    </w:p>
    <w:p>
      <w:pPr>
        <w:pStyle w:val="11"/>
        <w:rPr>
          <w:rFonts w:hint="eastAsia"/>
        </w:rPr>
      </w:pPr>
    </w:p>
    <w:p>
      <w:pPr>
        <w:pStyle w:val="4"/>
        <w:ind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1695" w:leftChars="350" w:right="0" w:rightChars="0" w:hanging="960" w:hanging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附件：柳州军事博物馆配套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初步设计投资概算汇总表</w:t>
      </w: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r>
        <w:rPr>
          <w:sz w:val="32"/>
        </w:rPr>
        <w:pict>
          <v:rect id="KG_Shd_3" o:spid="_x0000_s2052" o:spt="1" style="position:absolute;left:0pt;margin-left:-297.65pt;margin-top:-420.95pt;height:1683.8pt;width:1190.6pt;z-index:251681792;mso-width-relative:page;mso-height-relative:page;" fillcolor="#FFFFFF" filled="t" stroked="t" coordsize="21600,21600">
            <v:path/>
            <v:fill on="t" opacity="0f" focussize="0,0"/>
            <v:stroke color="#FFFFFF" opacity="0f"/>
            <v:imagedata o:title=""/>
            <o:lock v:ext="edit" aspectratio="f"/>
          </v:rect>
        </w:pict>
      </w:r>
      <w:r>
        <w:rPr>
          <w:sz w:val="32"/>
        </w:rPr>
        <w:drawing>
          <wp:anchor distT="0" distB="0" distL="114300" distR="114300" simplePos="0" relativeHeight="251670528" behindDoc="0" locked="1" layoutInCell="1" allowOverlap="1">
            <wp:simplePos x="0" y="0"/>
            <wp:positionH relativeFrom="page">
              <wp:posOffset>3819525</wp:posOffset>
            </wp:positionH>
            <wp:positionV relativeFrom="page">
              <wp:posOffset>4541520</wp:posOffset>
            </wp:positionV>
            <wp:extent cx="1447165" cy="1464945"/>
            <wp:effectExtent l="0" t="0" r="635" b="1905"/>
            <wp:wrapNone/>
            <wp:docPr id="1" name="KG_61639030$01$18$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1639030$01$18$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3840" w:firstLineChars="1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416" w:firstLineChars="138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p>
    <w:p>
      <w:pPr>
        <w:spacing w:line="400" w:lineRule="exact"/>
        <w:rPr>
          <w:rFonts w:hint="eastAsia" w:ascii="楷体_GB2312" w:hAnsi="宋体" w:eastAsia="楷体_GB2312" w:cs="楷体_GB2312"/>
          <w:b/>
          <w:bCs/>
          <w:sz w:val="32"/>
          <w:szCs w:val="32"/>
          <w:u w:val="single"/>
          <w:lang w:val="en-US" w:eastAsia="zh-CN"/>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lang w:val="en-US" w:eastAsia="zh-CN"/>
        </w:rPr>
        <w:t xml:space="preserve">    </w:t>
      </w:r>
      <w:r>
        <w:rPr>
          <w:rFonts w:ascii="楷体_GB2312" w:hAnsi="宋体" w:eastAsia="楷体_GB2312" w:cs="楷体_GB2312"/>
          <w:b/>
          <w:bCs/>
          <w:sz w:val="32"/>
          <w:szCs w:val="32"/>
          <w:u w:val="single"/>
        </w:rPr>
        <w:t xml:space="preserve">   </w:t>
      </w:r>
    </w:p>
    <w:p>
      <w:pPr>
        <w:spacing w:line="400" w:lineRule="exact"/>
        <w:rPr>
          <w:rFonts w:hint="eastAsia" w:ascii="仿宋_GB2312" w:hAnsi="宋体" w:eastAsia="仿宋_GB2312" w:cs="宋体"/>
          <w:sz w:val="28"/>
          <w:szCs w:val="28"/>
          <w:highlight w:val="none"/>
          <w:u w:val="single"/>
          <w:lang w:val="en-US" w:eastAsia="zh-CN"/>
        </w:rPr>
      </w:pPr>
      <w:r>
        <w:rPr>
          <w:rFonts w:ascii="仿宋_GB2312" w:hAnsi="宋体" w:eastAsia="仿宋_GB2312" w:cs="仿宋_GB2312"/>
          <w:sz w:val="30"/>
          <w:szCs w:val="30"/>
          <w:highlight w:val="none"/>
          <w:u w:val="single"/>
        </w:rPr>
        <w:t xml:space="preserve">  </w:t>
      </w:r>
      <w:r>
        <w:rPr>
          <w:rFonts w:hint="eastAsia" w:ascii="仿宋_GB2312" w:hAnsi="宋体" w:eastAsia="仿宋_GB2312" w:cs="仿宋_GB2312"/>
          <w:sz w:val="30"/>
          <w:szCs w:val="30"/>
          <w:highlight w:val="none"/>
          <w:u w:val="single"/>
          <w:lang w:eastAsia="zh-CN"/>
        </w:rPr>
        <w:t>抄</w:t>
      </w:r>
      <w:r>
        <w:rPr>
          <w:rFonts w:hint="eastAsia" w:ascii="仿宋_GB2312" w:hAnsi="宋体" w:eastAsia="仿宋_GB2312" w:cs="仿宋_GB2312"/>
          <w:sz w:val="30"/>
          <w:szCs w:val="30"/>
          <w:highlight w:val="none"/>
          <w:u w:val="single"/>
          <w:lang w:val="en-US" w:eastAsia="zh-CN"/>
        </w:rPr>
        <w:t xml:space="preserve"> </w:t>
      </w:r>
      <w:r>
        <w:rPr>
          <w:rFonts w:hint="eastAsia" w:ascii="仿宋_GB2312" w:hAnsi="宋体" w:eastAsia="仿宋_GB2312" w:cs="仿宋_GB2312"/>
          <w:sz w:val="30"/>
          <w:szCs w:val="30"/>
          <w:highlight w:val="none"/>
          <w:u w:val="single"/>
          <w:lang w:eastAsia="zh-CN"/>
        </w:rPr>
        <w:t>送：</w:t>
      </w:r>
      <w:r>
        <w:rPr>
          <w:rFonts w:hint="eastAsia" w:eastAsia="仿宋_GB2312"/>
          <w:sz w:val="30"/>
          <w:szCs w:val="30"/>
          <w:highlight w:val="none"/>
          <w:u w:val="single"/>
          <w:lang w:eastAsia="zh-CN"/>
        </w:rPr>
        <w:t>市文化广电旅游局</w:t>
      </w:r>
      <w:r>
        <w:rPr>
          <w:rFonts w:eastAsia="仿宋_GB2312"/>
          <w:sz w:val="30"/>
          <w:szCs w:val="30"/>
          <w:u w:val="single"/>
        </w:rPr>
        <w:t xml:space="preserve"> </w:t>
      </w:r>
      <w:r>
        <w:rPr>
          <w:rFonts w:hint="eastAsia" w:ascii="仿宋_GB2312" w:hAnsi="宋体" w:eastAsia="仿宋_GB2312" w:cs="仿宋_GB2312"/>
          <w:sz w:val="30"/>
          <w:szCs w:val="30"/>
          <w:highlight w:val="none"/>
          <w:u w:val="single"/>
          <w:lang w:val="en-US" w:eastAsia="zh-CN"/>
        </w:rPr>
        <w:t xml:space="preserve">                                 </w:t>
      </w:r>
      <w:r>
        <w:rPr>
          <w:rFonts w:ascii="仿宋_GB2312" w:hAnsi="宋体" w:eastAsia="仿宋_GB2312" w:cs="仿宋_GB2312"/>
          <w:sz w:val="30"/>
          <w:szCs w:val="30"/>
          <w:highlight w:val="none"/>
          <w:u w:val="single"/>
        </w:rPr>
        <w:t xml:space="preserve"> </w:t>
      </w:r>
      <w:r>
        <w:rPr>
          <w:rFonts w:hint="eastAsia" w:ascii="仿宋_GB2312" w:hAnsi="宋体" w:eastAsia="仿宋_GB2312" w:cs="宋体"/>
          <w:sz w:val="28"/>
          <w:szCs w:val="28"/>
          <w:highlight w:val="none"/>
          <w:u w:val="single"/>
        </w:rPr>
        <w:t xml:space="preserve"> </w:t>
      </w:r>
      <w:r>
        <w:rPr>
          <w:rFonts w:hint="eastAsia" w:ascii="仿宋_GB2312" w:hAnsi="宋体" w:eastAsia="仿宋_GB2312" w:cs="宋体"/>
          <w:sz w:val="28"/>
          <w:szCs w:val="28"/>
          <w:highlight w:val="none"/>
          <w:u w:val="single"/>
          <w:lang w:val="en-US" w:eastAsia="zh-CN"/>
        </w:rPr>
        <w:t xml:space="preserve">  </w:t>
      </w:r>
    </w:p>
    <w:p>
      <w:pPr>
        <w:spacing w:line="400" w:lineRule="exact"/>
        <w:rPr>
          <w:rFonts w:ascii="仿宋_GB2312" w:hAnsi="宋体" w:eastAsia="仿宋_GB2312" w:cs="仿宋_GB2312"/>
          <w:sz w:val="30"/>
          <w:szCs w:val="30"/>
          <w:u w:val="single"/>
        </w:rPr>
      </w:pPr>
      <w:r>
        <w:rPr>
          <w:rFonts w:hint="eastAsia"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hint="eastAsia" w:ascii="仿宋_GB2312" w:hAnsi="宋体" w:eastAsia="仿宋_GB2312" w:cs="仿宋_GB2312"/>
          <w:sz w:val="30"/>
          <w:szCs w:val="30"/>
          <w:u w:val="single"/>
        </w:rPr>
        <w:t xml:space="preserve">柳州市发展和改革委员会      </w:t>
      </w:r>
      <w:r>
        <w:rPr>
          <w:rFonts w:hint="eastAsia" w:ascii="仿宋_GB2312" w:hAnsi="宋体" w:eastAsia="仿宋_GB2312" w:cs="仿宋_GB2312"/>
          <w:sz w:val="30"/>
          <w:szCs w:val="30"/>
          <w:u w:val="single"/>
          <w:lang w:val="en-US" w:eastAsia="zh-CN"/>
        </w:rPr>
        <w:t xml:space="preserve">     </w:t>
      </w:r>
      <w:r>
        <w:rPr>
          <w:rFonts w:hint="eastAsia" w:ascii="仿宋_GB2312" w:hAnsi="宋体" w:eastAsia="仿宋_GB2312" w:cs="仿宋_GB2312"/>
          <w:sz w:val="30"/>
          <w:szCs w:val="30"/>
          <w:u w:val="single"/>
        </w:rPr>
        <w:t xml:space="preserve"> 20</w:t>
      </w:r>
      <w:r>
        <w:rPr>
          <w:rFonts w:hint="eastAsia" w:ascii="仿宋_GB2312" w:hAnsi="宋体" w:eastAsia="仿宋_GB2312" w:cs="仿宋_GB2312"/>
          <w:sz w:val="30"/>
          <w:szCs w:val="30"/>
          <w:u w:val="single"/>
          <w:lang w:val="en-US" w:eastAsia="zh-CN"/>
        </w:rPr>
        <w:t>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9</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28</w:t>
      </w:r>
      <w:r>
        <w:rPr>
          <w:rFonts w:hint="eastAsia" w:ascii="仿宋_GB2312" w:hAnsi="宋体" w:eastAsia="仿宋_GB2312" w:cs="仿宋_GB2312"/>
          <w:sz w:val="30"/>
          <w:szCs w:val="30"/>
          <w:u w:val="single"/>
        </w:rPr>
        <w:t xml:space="preserve">日印发              </w:t>
      </w:r>
    </w:p>
    <w:p>
      <w:pPr>
        <w:spacing w:line="400" w:lineRule="exact"/>
        <w:rPr>
          <w:rFonts w:ascii="仿宋_GB2312" w:hAnsi="宋体" w:eastAsia="仿宋_GB2312" w:cs="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jc w:val="center"/>
        <w:rPr>
          <w:rFonts w:hint="eastAsia"/>
          <w:b/>
          <w:bCs/>
          <w:sz w:val="32"/>
          <w:szCs w:val="32"/>
        </w:rPr>
      </w:pPr>
      <w:r>
        <w:rPr>
          <w:rFonts w:hint="eastAsia"/>
          <w:b/>
          <w:bCs/>
          <w:sz w:val="32"/>
          <w:szCs w:val="32"/>
        </w:rPr>
        <w:t>柳州军事博物馆配套项目初步设计投资概算汇总表</w:t>
      </w:r>
    </w:p>
    <w:tbl>
      <w:tblPr>
        <w:tblStyle w:val="9"/>
        <w:tblW w:w="13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391"/>
        <w:gridCol w:w="848"/>
        <w:gridCol w:w="1116"/>
        <w:gridCol w:w="1256"/>
        <w:gridCol w:w="949"/>
        <w:gridCol w:w="908"/>
        <w:gridCol w:w="1268"/>
        <w:gridCol w:w="1073"/>
        <w:gridCol w:w="137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blHeader/>
          <w:jc w:val="center"/>
        </w:trPr>
        <w:tc>
          <w:tcPr>
            <w:tcW w:w="906" w:type="dxa"/>
            <w:vMerge w:val="restart"/>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序号</w:t>
            </w:r>
          </w:p>
        </w:tc>
        <w:tc>
          <w:tcPr>
            <w:tcW w:w="2391" w:type="dxa"/>
            <w:vMerge w:val="restart"/>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工程或费用名称</w:t>
            </w:r>
          </w:p>
        </w:tc>
        <w:tc>
          <w:tcPr>
            <w:tcW w:w="5077" w:type="dxa"/>
            <w:gridSpan w:val="5"/>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概算造价（万元）</w:t>
            </w:r>
          </w:p>
        </w:tc>
        <w:tc>
          <w:tcPr>
            <w:tcW w:w="3713" w:type="dxa"/>
            <w:gridSpan w:val="3"/>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技术经济指标</w:t>
            </w:r>
          </w:p>
        </w:tc>
        <w:tc>
          <w:tcPr>
            <w:tcW w:w="1273" w:type="dxa"/>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tblHeader/>
          <w:jc w:val="center"/>
        </w:trPr>
        <w:tc>
          <w:tcPr>
            <w:tcW w:w="906" w:type="dxa"/>
            <w:vMerge w:val="continue"/>
            <w:shd w:val="clear" w:color="auto" w:fill="auto"/>
            <w:vAlign w:val="center"/>
          </w:tcPr>
          <w:p>
            <w:pPr>
              <w:jc w:val="center"/>
              <w:rPr>
                <w:rFonts w:hint="eastAsia" w:asciiTheme="minorEastAsia" w:hAnsiTheme="minorEastAsia" w:eastAsiaTheme="minorEastAsia" w:cstheme="minorEastAsia"/>
                <w:b/>
                <w:bCs/>
                <w:color w:val="000000"/>
                <w:sz w:val="24"/>
                <w:szCs w:val="24"/>
              </w:rPr>
            </w:pPr>
          </w:p>
        </w:tc>
        <w:tc>
          <w:tcPr>
            <w:tcW w:w="2391" w:type="dxa"/>
            <w:vMerge w:val="continue"/>
            <w:shd w:val="clear" w:color="auto" w:fill="auto"/>
            <w:vAlign w:val="center"/>
          </w:tcPr>
          <w:p>
            <w:pPr>
              <w:jc w:val="center"/>
              <w:rPr>
                <w:rFonts w:hint="eastAsia" w:asciiTheme="minorEastAsia" w:hAnsiTheme="minorEastAsia" w:eastAsiaTheme="minorEastAsia" w:cstheme="minorEastAsia"/>
                <w:b/>
                <w:bCs/>
                <w:color w:val="000000"/>
                <w:sz w:val="24"/>
                <w:szCs w:val="24"/>
              </w:rPr>
            </w:pPr>
          </w:p>
        </w:tc>
        <w:tc>
          <w:tcPr>
            <w:tcW w:w="848"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建筑</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工程费</w:t>
            </w:r>
          </w:p>
        </w:tc>
        <w:tc>
          <w:tcPr>
            <w:tcW w:w="1116"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设备</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购置费</w:t>
            </w:r>
          </w:p>
        </w:tc>
        <w:tc>
          <w:tcPr>
            <w:tcW w:w="1256"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安装</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工程费</w:t>
            </w:r>
          </w:p>
        </w:tc>
        <w:tc>
          <w:tcPr>
            <w:tcW w:w="949"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其他</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费用</w:t>
            </w:r>
          </w:p>
        </w:tc>
        <w:tc>
          <w:tcPr>
            <w:tcW w:w="908"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合计</w:t>
            </w:r>
          </w:p>
        </w:tc>
        <w:tc>
          <w:tcPr>
            <w:tcW w:w="1268"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单位</w:t>
            </w:r>
          </w:p>
        </w:tc>
        <w:tc>
          <w:tcPr>
            <w:tcW w:w="1073" w:type="dxa"/>
            <w:shd w:val="clear" w:color="auto" w:fill="auto"/>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数量</w:t>
            </w:r>
          </w:p>
        </w:tc>
        <w:tc>
          <w:tcPr>
            <w:tcW w:w="1372" w:type="dxa"/>
            <w:shd w:val="clear" w:color="auto" w:fill="auto"/>
            <w:vAlign w:val="center"/>
          </w:tcPr>
          <w:p>
            <w:pPr>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单方指标</w:t>
            </w:r>
          </w:p>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highlight w:val="none"/>
              </w:rPr>
              <w:t>（元）</w:t>
            </w:r>
          </w:p>
        </w:tc>
        <w:tc>
          <w:tcPr>
            <w:tcW w:w="1273" w:type="dxa"/>
            <w:vAlign w:val="center"/>
          </w:tcPr>
          <w:p>
            <w:pPr>
              <w:jc w:val="center"/>
              <w:rPr>
                <w:rFonts w:hint="eastAsia" w:asciiTheme="minorEastAsia" w:hAnsiTheme="minorEastAsia" w:eastAsiaTheme="minorEastAsia" w:cstheme="minorEastAsia"/>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一</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rPr>
              <w:t>第一部分 工程费用</w:t>
            </w:r>
          </w:p>
        </w:tc>
        <w:tc>
          <w:tcPr>
            <w:tcW w:w="84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367.40</w:t>
            </w:r>
          </w:p>
        </w:tc>
        <w:tc>
          <w:tcPr>
            <w:tcW w:w="111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132.55</w:t>
            </w:r>
          </w:p>
        </w:tc>
        <w:tc>
          <w:tcPr>
            <w:tcW w:w="125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119.84</w:t>
            </w:r>
          </w:p>
        </w:tc>
        <w:tc>
          <w:tcPr>
            <w:tcW w:w="94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619.79</w:t>
            </w:r>
          </w:p>
        </w:tc>
        <w:tc>
          <w:tcPr>
            <w:tcW w:w="126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07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372"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室外配套工程</w:t>
            </w:r>
          </w:p>
        </w:tc>
        <w:tc>
          <w:tcPr>
            <w:tcW w:w="84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79.36</w:t>
            </w:r>
          </w:p>
        </w:tc>
        <w:tc>
          <w:tcPr>
            <w:tcW w:w="111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4.74</w:t>
            </w:r>
          </w:p>
        </w:tc>
        <w:tc>
          <w:tcPr>
            <w:tcW w:w="94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84.10</w:t>
            </w:r>
          </w:p>
        </w:tc>
        <w:tc>
          <w:tcPr>
            <w:tcW w:w="1268" w:type="dxa"/>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p>
        </w:tc>
        <w:tc>
          <w:tcPr>
            <w:tcW w:w="1073" w:type="dxa"/>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p>
        </w:tc>
        <w:tc>
          <w:tcPr>
            <w:tcW w:w="1372" w:type="dxa"/>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大门及围墙</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54.63</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4.74</w:t>
            </w: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59.37</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302.67</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1805.00</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围墙拆除</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1.98</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1.98</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285.00</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69.57</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绿篱</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6.14</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6.14</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株</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794.00</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77.31</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1.4</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传达室及值班室</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16.61</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16.61</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19.44</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8543.52</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2</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室外安防系统工程</w:t>
            </w:r>
          </w:p>
        </w:tc>
        <w:tc>
          <w:tcPr>
            <w:tcW w:w="84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111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1.20</w:t>
            </w:r>
          </w:p>
        </w:tc>
        <w:tc>
          <w:tcPr>
            <w:tcW w:w="125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49.59</w:t>
            </w:r>
          </w:p>
        </w:tc>
        <w:tc>
          <w:tcPr>
            <w:tcW w:w="949"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50.79</w:t>
            </w:r>
          </w:p>
        </w:tc>
        <w:tc>
          <w:tcPr>
            <w:tcW w:w="1268"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073"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372"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3</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园区标识系统</w:t>
            </w:r>
          </w:p>
        </w:tc>
        <w:tc>
          <w:tcPr>
            <w:tcW w:w="84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46.83</w:t>
            </w:r>
          </w:p>
        </w:tc>
        <w:tc>
          <w:tcPr>
            <w:tcW w:w="111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125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949"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90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46.83</w:t>
            </w:r>
          </w:p>
        </w:tc>
        <w:tc>
          <w:tcPr>
            <w:tcW w:w="1268"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073"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372"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4</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“清原号”猎潜艇展示配套工程</w:t>
            </w:r>
          </w:p>
        </w:tc>
        <w:tc>
          <w:tcPr>
            <w:tcW w:w="84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149.57</w:t>
            </w:r>
          </w:p>
        </w:tc>
        <w:tc>
          <w:tcPr>
            <w:tcW w:w="111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125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1.47</w:t>
            </w:r>
          </w:p>
        </w:tc>
        <w:tc>
          <w:tcPr>
            <w:tcW w:w="949"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90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151.04</w:t>
            </w:r>
          </w:p>
        </w:tc>
        <w:tc>
          <w:tcPr>
            <w:tcW w:w="1268"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m2</w:t>
            </w:r>
          </w:p>
        </w:tc>
        <w:tc>
          <w:tcPr>
            <w:tcW w:w="1073"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1056.63</w:t>
            </w:r>
          </w:p>
        </w:tc>
        <w:tc>
          <w:tcPr>
            <w:tcW w:w="1372"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1429.49</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猎潜艇水池</w:t>
            </w:r>
          </w:p>
        </w:tc>
        <w:tc>
          <w:tcPr>
            <w:tcW w:w="848"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137.98</w:t>
            </w:r>
          </w:p>
        </w:tc>
        <w:tc>
          <w:tcPr>
            <w:tcW w:w="1116"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137.98</w:t>
            </w:r>
          </w:p>
        </w:tc>
        <w:tc>
          <w:tcPr>
            <w:tcW w:w="1268"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1056.63</w:t>
            </w:r>
          </w:p>
        </w:tc>
        <w:tc>
          <w:tcPr>
            <w:tcW w:w="1372" w:type="dxa"/>
            <w:shd w:val="clear" w:color="auto" w:fill="auto"/>
            <w:vAlign w:val="center"/>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1305.89</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猎潜艇水池铺装</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11.59</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11.59</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1056.63</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109.68</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给排水工程</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1.47</w:t>
            </w: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1.47</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1056.63</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13.92</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5</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博物馆学术报告厅改造</w:t>
            </w:r>
          </w:p>
        </w:tc>
        <w:tc>
          <w:tcPr>
            <w:tcW w:w="84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91.63</w:t>
            </w:r>
          </w:p>
        </w:tc>
        <w:tc>
          <w:tcPr>
            <w:tcW w:w="111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131.35</w:t>
            </w:r>
          </w:p>
        </w:tc>
        <w:tc>
          <w:tcPr>
            <w:tcW w:w="125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58.64</w:t>
            </w:r>
          </w:p>
        </w:tc>
        <w:tc>
          <w:tcPr>
            <w:tcW w:w="949"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90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281.62</w:t>
            </w:r>
          </w:p>
        </w:tc>
        <w:tc>
          <w:tcPr>
            <w:tcW w:w="1268"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m2</w:t>
            </w:r>
          </w:p>
        </w:tc>
        <w:tc>
          <w:tcPr>
            <w:tcW w:w="1073"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389.66</w:t>
            </w:r>
          </w:p>
        </w:tc>
        <w:tc>
          <w:tcPr>
            <w:tcW w:w="1372"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rPr>
              <w:t>7227.26</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5.1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学术报告厅室内装饰</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71.82</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71.82</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389.66</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1843.16</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5.2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博物馆学术报告厅改造工程</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131.35</w:t>
            </w: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58.64</w:t>
            </w: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189.99</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389.66</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4875.72</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5.3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座椅</w:t>
            </w:r>
          </w:p>
        </w:tc>
        <w:tc>
          <w:tcPr>
            <w:tcW w:w="84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19.81</w:t>
            </w:r>
          </w:p>
        </w:tc>
        <w:tc>
          <w:tcPr>
            <w:tcW w:w="111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56"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19.81</w:t>
            </w:r>
          </w:p>
        </w:tc>
        <w:tc>
          <w:tcPr>
            <w:tcW w:w="126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10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233.00</w:t>
            </w:r>
          </w:p>
        </w:tc>
        <w:tc>
          <w:tcPr>
            <w:tcW w:w="1372"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850.20</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6</w:t>
            </w:r>
          </w:p>
        </w:tc>
        <w:tc>
          <w:tcPr>
            <w:tcW w:w="2391"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车库监控系统工程</w:t>
            </w:r>
          </w:p>
        </w:tc>
        <w:tc>
          <w:tcPr>
            <w:tcW w:w="84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111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1256"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5.40</w:t>
            </w:r>
          </w:p>
        </w:tc>
        <w:tc>
          <w:tcPr>
            <w:tcW w:w="949"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0.00</w:t>
            </w:r>
          </w:p>
        </w:tc>
        <w:tc>
          <w:tcPr>
            <w:tcW w:w="908" w:type="dxa"/>
            <w:shd w:val="clear" w:color="auto" w:fill="auto"/>
            <w:vAlign w:val="center"/>
          </w:tcPr>
          <w:p>
            <w:pPr>
              <w:widowControl/>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5.40</w:t>
            </w:r>
          </w:p>
        </w:tc>
        <w:tc>
          <w:tcPr>
            <w:tcW w:w="1268"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073"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372" w:type="dxa"/>
            <w:shd w:val="clear" w:color="auto" w:fill="auto"/>
            <w:vAlign w:val="center"/>
          </w:tcPr>
          <w:p>
            <w:pPr>
              <w:widowControl/>
              <w:jc w:val="center"/>
              <w:rPr>
                <w:rFonts w:hint="eastAsia" w:asciiTheme="minorEastAsia" w:hAnsiTheme="minorEastAsia" w:eastAsiaTheme="minorEastAsia" w:cstheme="minorEastAsia"/>
                <w:b/>
                <w:bCs w:val="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jc w:val="center"/>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eastAsia="zh-CN"/>
              </w:rPr>
              <w:t>二</w:t>
            </w:r>
          </w:p>
        </w:tc>
        <w:tc>
          <w:tcPr>
            <w:tcW w:w="2391" w:type="dxa"/>
            <w:shd w:val="clear" w:color="auto" w:fill="auto"/>
            <w:vAlign w:val="center"/>
          </w:tcPr>
          <w:p>
            <w:pPr>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第二部分</w:t>
            </w:r>
          </w:p>
          <w:p>
            <w:pPr>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工程建设其他费用</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color w:val="000000"/>
                <w:kern w:val="0"/>
                <w:sz w:val="24"/>
                <w:szCs w:val="24"/>
              </w:rPr>
              <w:t>84.31</w:t>
            </w:r>
          </w:p>
        </w:tc>
        <w:tc>
          <w:tcPr>
            <w:tcW w:w="3713" w:type="dxa"/>
            <w:gridSpan w:val="3"/>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建设用地费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0.00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建设管理费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29.33</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项目建设管理费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0.00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总投资*2%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施工图设计文件审查费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1.49</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建安工程费用*0.2%*1.2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招标代理服务费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3.98</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2.3.1</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2.3.1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工程招标</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2.81</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0.63+1.764+（工程费用-设备费-500）*0.3465%</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2.3.2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设备招标</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1.17</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0.945+（建安工程费-100）*0.693%</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2.3.3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服务招标</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0.00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2.4</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工程实施阶段造价咨询费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8.06</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工程费用*1.3%</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2.5</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工程监理费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15.81</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13.20+(24.08-13.20)*(工程费用-500)/(1000-500)</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建设项目前期工作咨询费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3.1+3.2+3.3+3.4+3.5</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3.1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项目建议书编制</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0.00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3.2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可行性研究报告编制</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((总投资-500)/（1000-500）*(4.8-3.2)+3.2)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3.3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可行性研究报告评估</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0.40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((总投资-500)/（1000-500）*(2.0-1.2)+1.2)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3.4</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初步设计审查</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0.40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((总投资-500)/（1000-500）*(2.0-1.2)+1.2)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工程勘察设计费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39.27</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4.1+4.2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工程勘察费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工程费用×0.5%</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工程设计费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36.17</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4.2.1</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4.2.1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基本设计费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36.17</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(24.8+(工程费用-500)*4.46%)*1.2</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5</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工程保险费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3.72</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工程费用*0.6%</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6</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检验试验费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2"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7</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基建竣工财务结算审计费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0.62</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工程费用*1‰</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8</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其他费用</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0.21</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8.1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水土保持补偿费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0.21</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用地面积*2元</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9</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室内环境检测服务费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0.56</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9.1</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氡检测费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0.16</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200元每个点</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9.2</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苯检测费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0.24</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300元每个点</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9.3</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甲醛检测费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0.16</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200元每个点</w:t>
            </w: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10</w:t>
            </w: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建设工程交易服务费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p>
        </w:tc>
        <w:tc>
          <w:tcPr>
            <w:tcW w:w="2391"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第一、二部分合计</w:t>
            </w:r>
          </w:p>
        </w:tc>
        <w:tc>
          <w:tcPr>
            <w:tcW w:w="848"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p>
        </w:tc>
        <w:tc>
          <w:tcPr>
            <w:tcW w:w="908" w:type="dxa"/>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r>
              <w:rPr>
                <w:rFonts w:hint="eastAsia" w:asciiTheme="minorEastAsia" w:hAnsiTheme="minorEastAsia" w:eastAsiaTheme="minorEastAsia" w:cstheme="minorEastAsia"/>
                <w:b w:val="0"/>
                <w:bCs/>
                <w:color w:val="000000"/>
                <w:kern w:val="0"/>
                <w:sz w:val="24"/>
                <w:szCs w:val="24"/>
              </w:rPr>
              <w:t>704.09</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b w:val="0"/>
                <w:bCs/>
                <w:color w:val="000000"/>
                <w:kern w:val="0"/>
                <w:sz w:val="24"/>
                <w:szCs w:val="24"/>
              </w:rPr>
            </w:pPr>
          </w:p>
        </w:tc>
        <w:tc>
          <w:tcPr>
            <w:tcW w:w="1273" w:type="dxa"/>
            <w:vAlign w:val="center"/>
          </w:tcPr>
          <w:p>
            <w:pPr>
              <w:widowControl/>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jc w:val="center"/>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三</w:t>
            </w:r>
          </w:p>
        </w:tc>
        <w:tc>
          <w:tcPr>
            <w:tcW w:w="2391" w:type="dxa"/>
            <w:shd w:val="clear" w:color="auto" w:fill="auto"/>
            <w:vAlign w:val="center"/>
          </w:tcPr>
          <w:p>
            <w:pPr>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预备费</w:t>
            </w:r>
          </w:p>
        </w:tc>
        <w:tc>
          <w:tcPr>
            <w:tcW w:w="848"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b/>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35.20</w:t>
            </w:r>
          </w:p>
        </w:tc>
        <w:tc>
          <w:tcPr>
            <w:tcW w:w="908" w:type="dxa"/>
            <w:shd w:val="clear" w:color="auto" w:fill="auto"/>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35.20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06" w:type="dxa"/>
            <w:shd w:val="clear" w:color="auto" w:fill="auto"/>
            <w:vAlign w:val="center"/>
          </w:tcPr>
          <w:p>
            <w:pPr>
              <w:jc w:val="center"/>
              <w:rPr>
                <w:rFonts w:hint="default"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1</w:t>
            </w:r>
          </w:p>
        </w:tc>
        <w:tc>
          <w:tcPr>
            <w:tcW w:w="2391" w:type="dxa"/>
            <w:shd w:val="clear" w:color="auto" w:fill="auto"/>
            <w:vAlign w:val="center"/>
          </w:tcPr>
          <w:p>
            <w:pPr>
              <w:jc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基本预备费</w:t>
            </w:r>
          </w:p>
        </w:tc>
        <w:tc>
          <w:tcPr>
            <w:tcW w:w="848"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11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56" w:type="dxa"/>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949" w:type="dxa"/>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35.20</w:t>
            </w:r>
          </w:p>
        </w:tc>
        <w:tc>
          <w:tcPr>
            <w:tcW w:w="908" w:type="dxa"/>
            <w:shd w:val="clear" w:color="auto" w:fill="auto"/>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35.20</w:t>
            </w:r>
          </w:p>
        </w:tc>
        <w:tc>
          <w:tcPr>
            <w:tcW w:w="3713" w:type="dxa"/>
            <w:gridSpan w:val="3"/>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（第一部分+第二部分）*5%</w:t>
            </w: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906" w:type="dxa"/>
            <w:shd w:val="clear" w:color="auto" w:fill="auto"/>
            <w:vAlign w:val="center"/>
          </w:tcPr>
          <w:p>
            <w:pPr>
              <w:jc w:val="center"/>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eastAsia="zh-CN"/>
              </w:rPr>
              <w:t>四</w:t>
            </w:r>
          </w:p>
        </w:tc>
        <w:tc>
          <w:tcPr>
            <w:tcW w:w="2391" w:type="dxa"/>
            <w:shd w:val="clear" w:color="auto" w:fill="auto"/>
            <w:vAlign w:val="center"/>
          </w:tcPr>
          <w:p>
            <w:pPr>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项目总投资</w:t>
            </w:r>
          </w:p>
        </w:tc>
        <w:tc>
          <w:tcPr>
            <w:tcW w:w="848"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367.40</w:t>
            </w:r>
          </w:p>
        </w:tc>
        <w:tc>
          <w:tcPr>
            <w:tcW w:w="1116"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132.55</w:t>
            </w:r>
          </w:p>
        </w:tc>
        <w:tc>
          <w:tcPr>
            <w:tcW w:w="1256" w:type="dxa"/>
            <w:shd w:val="clear" w:color="auto" w:fill="auto"/>
            <w:vAlign w:val="center"/>
          </w:tcPr>
          <w:p>
            <w:pPr>
              <w:widowControl/>
              <w:ind w:right="120"/>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119.84</w:t>
            </w:r>
          </w:p>
        </w:tc>
        <w:tc>
          <w:tcPr>
            <w:tcW w:w="94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119.51</w:t>
            </w:r>
          </w:p>
        </w:tc>
        <w:tc>
          <w:tcPr>
            <w:tcW w:w="908" w:type="dxa"/>
            <w:shd w:val="clear" w:color="auto" w:fill="auto"/>
            <w:vAlign w:val="center"/>
          </w:tcPr>
          <w:p>
            <w:pPr>
              <w:widowControl/>
              <w:jc w:val="center"/>
              <w:rPr>
                <w:rFonts w:hint="eastAsia" w:asciiTheme="minorEastAsia" w:hAnsiTheme="minorEastAsia" w:eastAsiaTheme="minorEastAsia" w:cstheme="minorEastAsia"/>
                <w:b/>
                <w:bCs/>
                <w:color w:val="FF0000"/>
                <w:kern w:val="0"/>
                <w:sz w:val="24"/>
                <w:szCs w:val="24"/>
              </w:rPr>
            </w:pPr>
            <w:r>
              <w:rPr>
                <w:rFonts w:hint="eastAsia" w:asciiTheme="minorEastAsia" w:hAnsiTheme="minorEastAsia" w:eastAsiaTheme="minorEastAsia" w:cstheme="minorEastAsia"/>
                <w:b/>
                <w:bCs/>
                <w:color w:val="auto"/>
                <w:kern w:val="0"/>
                <w:sz w:val="24"/>
                <w:szCs w:val="24"/>
              </w:rPr>
              <w:t>739.30</w:t>
            </w:r>
          </w:p>
        </w:tc>
        <w:tc>
          <w:tcPr>
            <w:tcW w:w="3713" w:type="dxa"/>
            <w:gridSpan w:val="3"/>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1273" w:type="dxa"/>
            <w:vAlign w:val="center"/>
          </w:tcPr>
          <w:p>
            <w:pPr>
              <w:jc w:val="center"/>
              <w:rPr>
                <w:rFonts w:hint="eastAsia" w:asciiTheme="minorEastAsia" w:hAnsiTheme="minorEastAsia" w:eastAsiaTheme="minorEastAsia" w:cstheme="minorEastAsia"/>
                <w:color w:val="000000"/>
                <w:sz w:val="24"/>
                <w:szCs w:val="24"/>
              </w:rPr>
            </w:pPr>
          </w:p>
        </w:tc>
      </w:tr>
    </w:tbl>
    <w:p>
      <w:pPr>
        <w:pStyle w:val="3"/>
        <w:rPr>
          <w:rFonts w:hint="eastAsia" w:ascii="宋体" w:hAnsi="宋体" w:eastAsia="宋体" w:cs="宋体"/>
          <w:sz w:val="24"/>
          <w:szCs w:val="24"/>
        </w:rPr>
      </w:pPr>
    </w:p>
    <w:sectPr>
      <w:pgSz w:w="16838" w:h="11906" w:orient="landscape"/>
      <w:pgMar w:top="1134" w:right="1077" w:bottom="567" w:left="1077"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kotX2IeFVzpJVQh9EdS9+lFQ4Ow=" w:salt="t2IXS4Cicklui95mrjbnxQ=="/>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BB7980F5-880B-4E0C-B4D3-18BEF78EFEFD}"/>
    <w:docVar w:name="DocumentName" w:val="柳发改规划〔2021〕225号柳州市发展和改革委员会关于柳州军事博物馆配套项目初步设计的批复（社发科）主动公开"/>
  </w:docVars>
  <w:rsids>
    <w:rsidRoot w:val="00A03638"/>
    <w:rsid w:val="00000E75"/>
    <w:rsid w:val="000157D7"/>
    <w:rsid w:val="00024028"/>
    <w:rsid w:val="0003132E"/>
    <w:rsid w:val="00032541"/>
    <w:rsid w:val="00034908"/>
    <w:rsid w:val="000630CB"/>
    <w:rsid w:val="0007274E"/>
    <w:rsid w:val="000865D0"/>
    <w:rsid w:val="000C7B32"/>
    <w:rsid w:val="000D5F30"/>
    <w:rsid w:val="0012350C"/>
    <w:rsid w:val="00142FD2"/>
    <w:rsid w:val="001766CA"/>
    <w:rsid w:val="00194B80"/>
    <w:rsid w:val="001B1F0E"/>
    <w:rsid w:val="001C2AE0"/>
    <w:rsid w:val="001D18C4"/>
    <w:rsid w:val="00212B47"/>
    <w:rsid w:val="002356B0"/>
    <w:rsid w:val="00246864"/>
    <w:rsid w:val="00254B78"/>
    <w:rsid w:val="00267787"/>
    <w:rsid w:val="0027176F"/>
    <w:rsid w:val="0027219B"/>
    <w:rsid w:val="0028532A"/>
    <w:rsid w:val="0028710C"/>
    <w:rsid w:val="002A0CD4"/>
    <w:rsid w:val="002A5DF2"/>
    <w:rsid w:val="002C1961"/>
    <w:rsid w:val="002C77BB"/>
    <w:rsid w:val="002E537E"/>
    <w:rsid w:val="002F6A89"/>
    <w:rsid w:val="003108A5"/>
    <w:rsid w:val="00315872"/>
    <w:rsid w:val="0033322A"/>
    <w:rsid w:val="0033561F"/>
    <w:rsid w:val="0035067E"/>
    <w:rsid w:val="003646B2"/>
    <w:rsid w:val="0037569D"/>
    <w:rsid w:val="003A1347"/>
    <w:rsid w:val="003A76BD"/>
    <w:rsid w:val="003B2FC5"/>
    <w:rsid w:val="003D5085"/>
    <w:rsid w:val="003E0D8A"/>
    <w:rsid w:val="003E5776"/>
    <w:rsid w:val="003F2CB1"/>
    <w:rsid w:val="003F4F4C"/>
    <w:rsid w:val="00416F88"/>
    <w:rsid w:val="00417B22"/>
    <w:rsid w:val="0042319B"/>
    <w:rsid w:val="004335DB"/>
    <w:rsid w:val="004339EF"/>
    <w:rsid w:val="00450E60"/>
    <w:rsid w:val="00461F5E"/>
    <w:rsid w:val="00472EC7"/>
    <w:rsid w:val="00487520"/>
    <w:rsid w:val="0049580E"/>
    <w:rsid w:val="0050519A"/>
    <w:rsid w:val="005239AF"/>
    <w:rsid w:val="00530F7E"/>
    <w:rsid w:val="0053348A"/>
    <w:rsid w:val="005455F6"/>
    <w:rsid w:val="005556B6"/>
    <w:rsid w:val="00570F59"/>
    <w:rsid w:val="005905B8"/>
    <w:rsid w:val="0059623F"/>
    <w:rsid w:val="0059729C"/>
    <w:rsid w:val="005E7F02"/>
    <w:rsid w:val="00647129"/>
    <w:rsid w:val="00652A9A"/>
    <w:rsid w:val="00664FE5"/>
    <w:rsid w:val="006B68FD"/>
    <w:rsid w:val="006E482A"/>
    <w:rsid w:val="006E7DE1"/>
    <w:rsid w:val="00703E2D"/>
    <w:rsid w:val="00716C2C"/>
    <w:rsid w:val="00722B65"/>
    <w:rsid w:val="0072347B"/>
    <w:rsid w:val="00737C8A"/>
    <w:rsid w:val="00751EBA"/>
    <w:rsid w:val="007724B2"/>
    <w:rsid w:val="00786473"/>
    <w:rsid w:val="00790289"/>
    <w:rsid w:val="007A5576"/>
    <w:rsid w:val="007C051F"/>
    <w:rsid w:val="007D073B"/>
    <w:rsid w:val="007D251E"/>
    <w:rsid w:val="008071F5"/>
    <w:rsid w:val="00811624"/>
    <w:rsid w:val="00814596"/>
    <w:rsid w:val="00820FEB"/>
    <w:rsid w:val="00826481"/>
    <w:rsid w:val="008337DC"/>
    <w:rsid w:val="00837E17"/>
    <w:rsid w:val="00854A1D"/>
    <w:rsid w:val="0085565A"/>
    <w:rsid w:val="008601A7"/>
    <w:rsid w:val="0086298B"/>
    <w:rsid w:val="00874B1D"/>
    <w:rsid w:val="00885057"/>
    <w:rsid w:val="00885665"/>
    <w:rsid w:val="00896A5B"/>
    <w:rsid w:val="008C1FF2"/>
    <w:rsid w:val="008C2728"/>
    <w:rsid w:val="008E41B8"/>
    <w:rsid w:val="008E60A8"/>
    <w:rsid w:val="0090062A"/>
    <w:rsid w:val="00907862"/>
    <w:rsid w:val="009145CD"/>
    <w:rsid w:val="00921E90"/>
    <w:rsid w:val="00922397"/>
    <w:rsid w:val="0092585A"/>
    <w:rsid w:val="00925887"/>
    <w:rsid w:val="00931166"/>
    <w:rsid w:val="00931FF0"/>
    <w:rsid w:val="00935385"/>
    <w:rsid w:val="0095461A"/>
    <w:rsid w:val="00967E36"/>
    <w:rsid w:val="00975F7C"/>
    <w:rsid w:val="009815FF"/>
    <w:rsid w:val="00997F60"/>
    <w:rsid w:val="009A301F"/>
    <w:rsid w:val="009A5D7F"/>
    <w:rsid w:val="009C4FF5"/>
    <w:rsid w:val="009D6ACE"/>
    <w:rsid w:val="009F0714"/>
    <w:rsid w:val="00A03630"/>
    <w:rsid w:val="00A03638"/>
    <w:rsid w:val="00A125C6"/>
    <w:rsid w:val="00A15ABC"/>
    <w:rsid w:val="00A22D0D"/>
    <w:rsid w:val="00A33A7B"/>
    <w:rsid w:val="00A34C0F"/>
    <w:rsid w:val="00A35B48"/>
    <w:rsid w:val="00A37B19"/>
    <w:rsid w:val="00A50E5A"/>
    <w:rsid w:val="00A61D49"/>
    <w:rsid w:val="00A80FDE"/>
    <w:rsid w:val="00A8107B"/>
    <w:rsid w:val="00A848B1"/>
    <w:rsid w:val="00A85703"/>
    <w:rsid w:val="00AA0259"/>
    <w:rsid w:val="00AA6276"/>
    <w:rsid w:val="00AB2F42"/>
    <w:rsid w:val="00AF1519"/>
    <w:rsid w:val="00B01296"/>
    <w:rsid w:val="00B11478"/>
    <w:rsid w:val="00B31741"/>
    <w:rsid w:val="00B36289"/>
    <w:rsid w:val="00B560AD"/>
    <w:rsid w:val="00B57C5A"/>
    <w:rsid w:val="00B63067"/>
    <w:rsid w:val="00B63DCC"/>
    <w:rsid w:val="00B72F6D"/>
    <w:rsid w:val="00B75076"/>
    <w:rsid w:val="00B77202"/>
    <w:rsid w:val="00BA40B0"/>
    <w:rsid w:val="00BA54E7"/>
    <w:rsid w:val="00BB594A"/>
    <w:rsid w:val="00BC790B"/>
    <w:rsid w:val="00BC7DA3"/>
    <w:rsid w:val="00BF1F23"/>
    <w:rsid w:val="00BF217A"/>
    <w:rsid w:val="00C1218C"/>
    <w:rsid w:val="00C24CAA"/>
    <w:rsid w:val="00C47758"/>
    <w:rsid w:val="00C51BBD"/>
    <w:rsid w:val="00C56D5E"/>
    <w:rsid w:val="00C63336"/>
    <w:rsid w:val="00C650DA"/>
    <w:rsid w:val="00C65267"/>
    <w:rsid w:val="00C65F0F"/>
    <w:rsid w:val="00C72EDD"/>
    <w:rsid w:val="00C748C7"/>
    <w:rsid w:val="00C801F7"/>
    <w:rsid w:val="00C90EAE"/>
    <w:rsid w:val="00C9504A"/>
    <w:rsid w:val="00CC3769"/>
    <w:rsid w:val="00CD33C1"/>
    <w:rsid w:val="00CD6A39"/>
    <w:rsid w:val="00CE5415"/>
    <w:rsid w:val="00CF1E95"/>
    <w:rsid w:val="00CF31A9"/>
    <w:rsid w:val="00D15493"/>
    <w:rsid w:val="00D33189"/>
    <w:rsid w:val="00D35304"/>
    <w:rsid w:val="00D63567"/>
    <w:rsid w:val="00D8379E"/>
    <w:rsid w:val="00D83988"/>
    <w:rsid w:val="00DB6849"/>
    <w:rsid w:val="00DC154D"/>
    <w:rsid w:val="00DE2909"/>
    <w:rsid w:val="00DF1474"/>
    <w:rsid w:val="00E12959"/>
    <w:rsid w:val="00E60ACB"/>
    <w:rsid w:val="00E97CD3"/>
    <w:rsid w:val="00EB1F12"/>
    <w:rsid w:val="00EB75C8"/>
    <w:rsid w:val="00EB7D39"/>
    <w:rsid w:val="00ED2136"/>
    <w:rsid w:val="00ED4754"/>
    <w:rsid w:val="00EE57A8"/>
    <w:rsid w:val="00EE6E10"/>
    <w:rsid w:val="00EF58FF"/>
    <w:rsid w:val="00F11B51"/>
    <w:rsid w:val="00F30A33"/>
    <w:rsid w:val="00F35C77"/>
    <w:rsid w:val="00F41D17"/>
    <w:rsid w:val="00F4653D"/>
    <w:rsid w:val="00F47D1C"/>
    <w:rsid w:val="00F74EBF"/>
    <w:rsid w:val="00F75152"/>
    <w:rsid w:val="00FB26B0"/>
    <w:rsid w:val="00FD4E8B"/>
    <w:rsid w:val="00FD74E8"/>
    <w:rsid w:val="00FE354A"/>
    <w:rsid w:val="00FE62AA"/>
    <w:rsid w:val="024C5FA3"/>
    <w:rsid w:val="045C39D4"/>
    <w:rsid w:val="05A53B47"/>
    <w:rsid w:val="0911521D"/>
    <w:rsid w:val="0AA761CB"/>
    <w:rsid w:val="0AE95409"/>
    <w:rsid w:val="0CFB0A3E"/>
    <w:rsid w:val="12E77F89"/>
    <w:rsid w:val="137941A4"/>
    <w:rsid w:val="144A3BDC"/>
    <w:rsid w:val="16A00FBD"/>
    <w:rsid w:val="16E202A1"/>
    <w:rsid w:val="178919AB"/>
    <w:rsid w:val="17916A84"/>
    <w:rsid w:val="18D77F42"/>
    <w:rsid w:val="1B69605B"/>
    <w:rsid w:val="1D4C39F2"/>
    <w:rsid w:val="1D4F2403"/>
    <w:rsid w:val="1E8E5A16"/>
    <w:rsid w:val="221642E0"/>
    <w:rsid w:val="229E6D4E"/>
    <w:rsid w:val="255862B7"/>
    <w:rsid w:val="258E4B9A"/>
    <w:rsid w:val="26941C0A"/>
    <w:rsid w:val="28405C1C"/>
    <w:rsid w:val="2AFA0950"/>
    <w:rsid w:val="31422251"/>
    <w:rsid w:val="33931514"/>
    <w:rsid w:val="368706B8"/>
    <w:rsid w:val="3A1E6875"/>
    <w:rsid w:val="3A7A09D5"/>
    <w:rsid w:val="3BED0C02"/>
    <w:rsid w:val="3D376F74"/>
    <w:rsid w:val="3DB444AF"/>
    <w:rsid w:val="3FDD3451"/>
    <w:rsid w:val="44AE74BE"/>
    <w:rsid w:val="450F7228"/>
    <w:rsid w:val="452807A2"/>
    <w:rsid w:val="49825E7F"/>
    <w:rsid w:val="4A191332"/>
    <w:rsid w:val="4B91277B"/>
    <w:rsid w:val="4CD84DC4"/>
    <w:rsid w:val="4F6406A6"/>
    <w:rsid w:val="50AB1E45"/>
    <w:rsid w:val="519B21E4"/>
    <w:rsid w:val="53022D48"/>
    <w:rsid w:val="54810078"/>
    <w:rsid w:val="55661D28"/>
    <w:rsid w:val="5605797D"/>
    <w:rsid w:val="56253BD8"/>
    <w:rsid w:val="5700543A"/>
    <w:rsid w:val="572D22FF"/>
    <w:rsid w:val="58187FF2"/>
    <w:rsid w:val="584B01B8"/>
    <w:rsid w:val="59880C8E"/>
    <w:rsid w:val="59AC2493"/>
    <w:rsid w:val="5D1267D1"/>
    <w:rsid w:val="5E526C17"/>
    <w:rsid w:val="5EB707D8"/>
    <w:rsid w:val="5FAB6B10"/>
    <w:rsid w:val="628A7206"/>
    <w:rsid w:val="62A6786C"/>
    <w:rsid w:val="662B077B"/>
    <w:rsid w:val="66483B1D"/>
    <w:rsid w:val="67613383"/>
    <w:rsid w:val="685B1FE7"/>
    <w:rsid w:val="690D341A"/>
    <w:rsid w:val="691A7A67"/>
    <w:rsid w:val="694E5F6E"/>
    <w:rsid w:val="6A373D9F"/>
    <w:rsid w:val="6B1E0DD3"/>
    <w:rsid w:val="6B567A18"/>
    <w:rsid w:val="6CFC3AD5"/>
    <w:rsid w:val="6EA94C1C"/>
    <w:rsid w:val="6F5C0638"/>
    <w:rsid w:val="6FE263F4"/>
    <w:rsid w:val="70B15059"/>
    <w:rsid w:val="72C06A8C"/>
    <w:rsid w:val="72D979E6"/>
    <w:rsid w:val="73FC22F6"/>
    <w:rsid w:val="74455D7A"/>
    <w:rsid w:val="75F83B16"/>
    <w:rsid w:val="7632313E"/>
    <w:rsid w:val="76D85EE2"/>
    <w:rsid w:val="77E026F7"/>
    <w:rsid w:val="7B1D5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4">
    <w:name w:val="Body Text First Indent"/>
    <w:basedOn w:val="2"/>
    <w:unhideWhenUsed/>
    <w:qFormat/>
    <w:uiPriority w:val="99"/>
    <w:pPr>
      <w:spacing w:line="600" w:lineRule="exact"/>
      <w:ind w:firstLine="720" w:firstLineChars="200"/>
      <w:jc w:val="left"/>
    </w:pPr>
    <w:rPr>
      <w:rFonts w:ascii="宋体" w:hAnsi="宋体" w:cs="宋体"/>
      <w:sz w:val="28"/>
      <w:szCs w:val="22"/>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10">
    <w:name w:val="样式 行距: 1.5 倍行距 首行缩进:  2 字符"/>
    <w:basedOn w:val="1"/>
    <w:qFormat/>
    <w:uiPriority w:val="99"/>
    <w:pPr>
      <w:adjustRightInd w:val="0"/>
      <w:snapToGrid w:val="0"/>
      <w:spacing w:line="460" w:lineRule="exact"/>
    </w:pPr>
    <w:rPr>
      <w:sz w:val="24"/>
    </w:rPr>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6"/>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5"/>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4171D-AD1E-4291-831D-A51448F0A280}">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6</Pages>
  <Words>1582</Words>
  <Characters>2483</Characters>
  <Lines>19</Lines>
  <Paragraphs>5</Paragraphs>
  <TotalTime>0</TotalTime>
  <ScaleCrop>false</ScaleCrop>
  <LinksUpToDate>false</LinksUpToDate>
  <CharactersWithSpaces>2585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2018-04-26T11:08:00Z</dcterms:created>
  <dc:creator>何意</dc:creator>
  <cp:lastModifiedBy>唐萍</cp:lastModifiedBy>
  <dcterms:modified xsi:type="dcterms:W3CDTF">2021-10-11T01:15:30Z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BC9D8E4A78D146D2AB96DCAFCE81417E</vt:lpwstr>
  </property>
</Properties>
</file>