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outlineLvl w:val="9"/>
        <w:rPr>
          <w:rFonts w:hint="eastAsia" w:ascii="华文中宋" w:hAnsi="华文中宋" w:eastAsia="华文中宋"/>
          <w:b/>
          <w:color w:val="FF0000"/>
          <w:spacing w:val="-45"/>
          <w:w w:val="80"/>
          <w:sz w:val="72"/>
          <w:szCs w:val="72"/>
          <w:lang w:eastAsia="zh-CN"/>
        </w:rPr>
      </w:pPr>
      <w:r>
        <w:rPr>
          <w:rFonts w:hint="eastAsia" w:ascii="华文中宋" w:hAnsi="华文中宋" w:eastAsia="华文中宋"/>
          <w:b/>
          <w:bCs/>
          <w:color w:val="FF0000"/>
          <w:spacing w:val="-45"/>
          <w:sz w:val="72"/>
          <w:szCs w:val="72"/>
        </w:rPr>
        <w:t>柳州市发展和改革委员会</w:t>
      </w:r>
      <w:r>
        <w:rPr>
          <w:rFonts w:hint="eastAsia" w:ascii="华文中宋" w:hAnsi="华文中宋" w:eastAsia="华文中宋"/>
          <w:b/>
          <w:bCs/>
          <w:color w:val="FF0000"/>
          <w:spacing w:val="-45"/>
          <w:sz w:val="72"/>
          <w:szCs w:val="72"/>
          <w:lang w:eastAsia="zh-CN"/>
        </w:rPr>
        <w:t>文件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ascii="黑体" w:hAnsi="黑体" w:eastAsia="黑体" w:cs="黑体"/>
          <w:sz w:val="32"/>
          <w:szCs w:val="32"/>
          <w:u w:val="single"/>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lang w:val="en-US" w:eastAsia="zh-CN"/>
        </w:rPr>
      </w:pPr>
    </w:p>
    <w:p>
      <w:pPr>
        <w:spacing w:line="600" w:lineRule="exact"/>
        <w:jc w:val="center"/>
        <w:rPr>
          <w:rFonts w:ascii="Times New Roman" w:hAnsi="Times New Roman" w:eastAsia="方正小标宋简体" w:cs="Times New Roman"/>
          <w:sz w:val="44"/>
          <w:szCs w:val="44"/>
        </w:rPr>
      </w:pPr>
      <w:r>
        <w:rPr>
          <w:rFonts w:hint="eastAsia" w:ascii="仿宋_GB2312" w:hAnsi="仿宋_GB2312" w:eastAsia="仿宋_GB2312" w:cs="仿宋_GB2312"/>
          <w:sz w:val="32"/>
          <w:szCs w:val="32"/>
          <w:lang w:eastAsia="zh-CN"/>
        </w:rPr>
        <w:t>柳发改规划〔</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10号</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outlineLvl w:val="2"/>
        <w:rPr>
          <w:rFonts w:hint="eastAsia" w:ascii="黑体" w:hAnsi="黑体" w:eastAsia="黑体" w:cs="黑体"/>
          <w:sz w:val="44"/>
          <w:szCs w:val="44"/>
          <w:u w:val="single"/>
          <w:lang w:val="en-US" w:eastAsia="zh-CN"/>
        </w:rPr>
      </w:pPr>
      <w:r>
        <w:rPr>
          <w:sz w:val="44"/>
        </w:rPr>
        <mc:AlternateContent>
          <mc:Choice Requires="wps">
            <w:drawing>
              <wp:anchor distT="0" distB="0" distL="114300" distR="114300" simplePos="0" relativeHeight="251669504" behindDoc="0" locked="0" layoutInCell="1" allowOverlap="1">
                <wp:simplePos x="0" y="0"/>
                <wp:positionH relativeFrom="column">
                  <wp:posOffset>-40640</wp:posOffset>
                </wp:positionH>
                <wp:positionV relativeFrom="paragraph">
                  <wp:posOffset>91440</wp:posOffset>
                </wp:positionV>
                <wp:extent cx="5676265" cy="47625"/>
                <wp:effectExtent l="0" t="12700" r="635" b="15875"/>
                <wp:wrapNone/>
                <wp:docPr id="1" name="直接连接符 1"/>
                <wp:cNvGraphicFramePr/>
                <a:graphic xmlns:a="http://schemas.openxmlformats.org/drawingml/2006/main">
                  <a:graphicData uri="http://schemas.microsoft.com/office/word/2010/wordprocessingShape">
                    <wps:wsp>
                      <wps:cNvSpPr/>
                      <wps:spPr>
                        <a:xfrm flipV="1">
                          <a:off x="0" y="0"/>
                          <a:ext cx="5676265" cy="4762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pt;margin-top:7.2pt;height:3.75pt;width:446.95pt;z-index:251669504;mso-width-relative:page;mso-height-relative:page;" filled="f" stroked="t" coordsize="21600,21600" o:gfxdata="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kc5BdYAAAAI&#10;AQAADwAAAAAAAAABACAAAAAiAAAAZHJzL2Rvd25yZXYueG1sUEsBAhQAFAAAAAgAh07iQIMDY+zl&#10;AQAApQMAAA4AAAAAAAAAAQAgAAAAJQEAAGRycy9lMm9Eb2MueG1sUEsFBgAAAAAGAAYAWQEAAHwF&#10;AAAAAA==&#10;">
                <v:fill on="f" focussize="0,0"/>
                <v:stroke weight="2pt" color="#FF0000" joinstyle="round"/>
                <v:imagedata o:title=""/>
                <o:lock v:ext="edit" aspectratio="f"/>
              </v:line>
            </w:pict>
          </mc:Fallback>
        </mc:AlternateContent>
      </w:r>
    </w:p>
    <w:p>
      <w:pPr>
        <w:spacing w:line="600" w:lineRule="exact"/>
        <w:jc w:val="center"/>
        <w:rPr>
          <w:rFonts w:ascii="Times New Roman" w:hAnsi="Times New Roman" w:eastAsia="方正小标宋简体" w:cs="Times New Roman"/>
          <w:sz w:val="44"/>
          <w:szCs w:val="44"/>
        </w:rPr>
      </w:pPr>
    </w:p>
    <w:p>
      <w:pPr>
        <w:spacing w:line="600" w:lineRule="exact"/>
        <w:jc w:val="center"/>
        <w:rPr>
          <w:rFonts w:hint="eastAsia" w:ascii="方正小标宋简体" w:hAnsi="方正小标宋简体" w:eastAsia="方正小标宋简体" w:cs="方正小标宋简体"/>
          <w:b w:val="0"/>
          <w:bCs w:val="0"/>
          <w:spacing w:val="1"/>
          <w:sz w:val="44"/>
          <w:szCs w:val="44"/>
          <w:lang w:val="en-US" w:eastAsia="zh-CN"/>
        </w:rPr>
      </w:pPr>
      <w:r>
        <w:rPr>
          <w:rFonts w:hint="eastAsia" w:ascii="方正小标宋简体" w:hAnsi="方正小标宋简体" w:eastAsia="方正小标宋简体" w:cs="方正小标宋简体"/>
          <w:b w:val="0"/>
          <w:bCs w:val="0"/>
          <w:spacing w:val="1"/>
          <w:sz w:val="44"/>
          <w:szCs w:val="44"/>
          <w:lang w:val="en-US" w:eastAsia="zh-CN"/>
        </w:rPr>
        <w:t>柳州市发展和改革委员会</w:t>
      </w:r>
      <w:r>
        <w:rPr>
          <w:rFonts w:hint="eastAsia" w:ascii="方正小标宋简体" w:hAnsi="方正小标宋简体" w:eastAsia="方正小标宋简体" w:cs="方正小标宋简体"/>
          <w:b w:val="0"/>
          <w:bCs w:val="0"/>
          <w:spacing w:val="1"/>
          <w:sz w:val="44"/>
          <w:szCs w:val="44"/>
        </w:rPr>
        <w:t>关于</w:t>
      </w:r>
      <w:r>
        <w:rPr>
          <w:rFonts w:hint="eastAsia" w:ascii="方正小标宋简体" w:hAnsi="方正小标宋简体" w:eastAsia="方正小标宋简体" w:cs="方正小标宋简体"/>
          <w:b w:val="0"/>
          <w:bCs w:val="0"/>
          <w:spacing w:val="1"/>
          <w:sz w:val="44"/>
          <w:szCs w:val="44"/>
          <w:lang w:eastAsia="zh-CN"/>
        </w:rPr>
        <w:t>调整</w:t>
      </w:r>
      <w:r>
        <w:rPr>
          <w:rFonts w:hint="eastAsia" w:ascii="方正小标宋简体" w:hAnsi="方正小标宋简体" w:eastAsia="方正小标宋简体" w:cs="方正小标宋简体"/>
          <w:b w:val="0"/>
          <w:bCs w:val="0"/>
          <w:spacing w:val="1"/>
          <w:sz w:val="44"/>
          <w:szCs w:val="44"/>
        </w:rPr>
        <w:t>柳州</w:t>
      </w:r>
      <w:r>
        <w:rPr>
          <w:rFonts w:hint="eastAsia" w:ascii="方正小标宋简体" w:hAnsi="方正小标宋简体" w:eastAsia="方正小标宋简体" w:cs="方正小标宋简体"/>
          <w:b w:val="0"/>
          <w:bCs w:val="0"/>
          <w:spacing w:val="1"/>
          <w:sz w:val="44"/>
          <w:szCs w:val="44"/>
          <w:lang w:val="en-US" w:eastAsia="zh-CN"/>
        </w:rPr>
        <w:t>市</w:t>
      </w:r>
    </w:p>
    <w:p>
      <w:pPr>
        <w:spacing w:line="600" w:lineRule="exact"/>
        <w:jc w:val="center"/>
        <w:rPr>
          <w:rFonts w:hint="eastAsia" w:ascii="方正小标宋简体" w:hAnsi="方正小标宋简体" w:eastAsia="方正小标宋简体" w:cs="方正小标宋简体"/>
          <w:b w:val="0"/>
          <w:bCs w:val="0"/>
          <w:spacing w:val="1"/>
          <w:sz w:val="44"/>
          <w:szCs w:val="44"/>
        </w:rPr>
      </w:pPr>
      <w:r>
        <w:rPr>
          <w:rFonts w:hint="eastAsia" w:ascii="方正小标宋简体" w:hAnsi="方正小标宋简体" w:eastAsia="方正小标宋简体" w:cs="方正小标宋简体"/>
          <w:b w:val="0"/>
          <w:bCs w:val="0"/>
          <w:spacing w:val="1"/>
          <w:sz w:val="44"/>
          <w:szCs w:val="44"/>
        </w:rPr>
        <w:t>新民族高中周边路网工程项目建议书的批复</w:t>
      </w:r>
    </w:p>
    <w:p>
      <w:pPr>
        <w:spacing w:line="600" w:lineRule="exact"/>
        <w:jc w:val="center"/>
        <w:rPr>
          <w:rFonts w:hint="eastAsia" w:asciiTheme="majorEastAsia" w:hAnsiTheme="majorEastAsia" w:eastAsiaTheme="majorEastAsia" w:cstheme="majorEastAsia"/>
          <w:b/>
          <w:bCs/>
          <w:spacing w:val="1"/>
          <w:sz w:val="44"/>
          <w:szCs w:val="44"/>
        </w:rPr>
      </w:pPr>
    </w:p>
    <w:p>
      <w:pPr>
        <w:widowControl/>
        <w:kinsoku w:val="0"/>
        <w:autoSpaceDE w:val="0"/>
        <w:autoSpaceDN w:val="0"/>
        <w:adjustRightInd w:val="0"/>
        <w:snapToGrid w:val="0"/>
        <w:spacing w:before="125" w:line="317" w:lineRule="auto"/>
        <w:ind w:right="400"/>
        <w:jc w:val="left"/>
        <w:textAlignment w:val="baseline"/>
        <w:rPr>
          <w:rFonts w:hint="eastAsia" w:ascii="仿宋_GB2312" w:eastAsia="仿宋_GB2312"/>
          <w:sz w:val="32"/>
          <w:szCs w:val="32"/>
          <w:lang w:eastAsia="zh-CN"/>
        </w:rPr>
      </w:pPr>
      <w:r>
        <w:rPr>
          <w:rFonts w:hint="eastAsia" w:ascii="仿宋_GB2312" w:eastAsia="仿宋_GB2312"/>
          <w:sz w:val="32"/>
          <w:szCs w:val="32"/>
          <w:lang w:eastAsia="zh-CN"/>
        </w:rPr>
        <w:t>广西</w:t>
      </w:r>
      <w:r>
        <w:rPr>
          <w:rFonts w:hint="eastAsia" w:ascii="仿宋" w:hAnsi="仿宋" w:eastAsia="仿宋" w:cs="仿宋"/>
          <w:snapToGrid w:val="0"/>
          <w:color w:val="000000"/>
          <w:spacing w:val="14"/>
          <w:kern w:val="0"/>
          <w:sz w:val="32"/>
          <w:szCs w:val="32"/>
          <w:lang w:eastAsia="zh-CN"/>
        </w:rPr>
        <w:t>柳州市</w:t>
      </w:r>
      <w:r>
        <w:rPr>
          <w:rFonts w:hint="eastAsia" w:ascii="仿宋_GB2312" w:eastAsia="仿宋_GB2312"/>
          <w:sz w:val="32"/>
          <w:szCs w:val="32"/>
          <w:lang w:eastAsia="zh-CN"/>
        </w:rPr>
        <w:t>投资控股集团有限公司:</w:t>
      </w:r>
    </w:p>
    <w:p>
      <w:pPr>
        <w:keepNext w:val="0"/>
        <w:keepLines w:val="0"/>
        <w:pageBreakBefore w:val="0"/>
        <w:widowControl w:val="0"/>
        <w:kinsoku/>
        <w:wordWrap/>
        <w:overflowPunct/>
        <w:topLinePunct w:val="0"/>
        <w:autoSpaceDE/>
        <w:autoSpaceDN/>
        <w:bidi w:val="0"/>
        <w:adjustRightInd/>
        <w:snapToGrid/>
        <w:spacing w:line="600" w:lineRule="exact"/>
        <w:ind w:left="151" w:leftChars="72" w:right="147" w:rightChars="7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报来《关于申请调整柳州市新民族高中周边路网工程建议书批复的请示》(柳投控请〔2022〕4号)已收悉。我委以柳发改规划〔2021〕135号批复柳州市新民族高中周边路网工程建议书。由于规划方案调整，导致项目建设规模、投资规模发生变化，经柳州市政府投资基本建设项目投资决策部门会2021年第八次会议研究，同意调整项目建议书,现批复如下:</w:t>
      </w:r>
    </w:p>
    <w:p>
      <w:pPr>
        <w:keepNext w:val="0"/>
        <w:keepLines w:val="0"/>
        <w:pageBreakBefore w:val="0"/>
        <w:widowControl w:val="0"/>
        <w:kinsoku/>
        <w:wordWrap/>
        <w:overflowPunct/>
        <w:topLinePunct w:val="0"/>
        <w:autoSpaceDE/>
        <w:autoSpaceDN/>
        <w:bidi w:val="0"/>
        <w:adjustRightInd/>
        <w:snapToGrid/>
        <w:spacing w:line="600" w:lineRule="exact"/>
        <w:ind w:left="151" w:leftChars="72" w:right="147" w:rightChars="7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一、项目代码为2103-450200-0</w:t>
      </w:r>
      <w:r>
        <w:rPr>
          <w:rFonts w:hint="eastAsia" w:ascii="仿宋_GB2312" w:eastAsia="仿宋_GB2312"/>
          <w:sz w:val="32"/>
          <w:szCs w:val="32"/>
          <w:lang w:val="en-US" w:eastAsia="zh-CN"/>
        </w:rPr>
        <w:t>4</w:t>
      </w:r>
      <w:r>
        <w:rPr>
          <w:rFonts w:hint="eastAsia" w:ascii="仿宋_GB2312" w:eastAsia="仿宋_GB2312"/>
          <w:sz w:val="32"/>
          <w:szCs w:val="32"/>
          <w:lang w:eastAsia="zh-CN"/>
        </w:rPr>
        <w:t>-01-981649。</w:t>
      </w:r>
    </w:p>
    <w:p>
      <w:pPr>
        <w:keepNext w:val="0"/>
        <w:keepLines w:val="0"/>
        <w:pageBreakBefore w:val="0"/>
        <w:widowControl w:val="0"/>
        <w:kinsoku/>
        <w:wordWrap/>
        <w:overflowPunct/>
        <w:topLinePunct w:val="0"/>
        <w:autoSpaceDE/>
        <w:autoSpaceDN/>
        <w:bidi w:val="0"/>
        <w:adjustRightInd/>
        <w:snapToGrid/>
        <w:spacing w:line="600" w:lineRule="exact"/>
        <w:ind w:left="151" w:leftChars="72" w:right="147" w:rightChars="7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二、调整后的建设地点、建设规模和建设内容。项目位于鱼峰区柳石路和都乐路交叉口西北片区。共包含四条道路,道路全长由</w:t>
      </w:r>
      <w:r>
        <w:rPr>
          <w:rFonts w:hint="eastAsia" w:ascii="仿宋_GB2312" w:eastAsia="仿宋_GB2312"/>
          <w:sz w:val="32"/>
          <w:szCs w:val="32"/>
          <w:lang w:val="en-US" w:eastAsia="zh-CN"/>
        </w:rPr>
        <w:t>3249米调整为2425.5</w:t>
      </w:r>
      <w:r>
        <w:rPr>
          <w:rFonts w:hint="eastAsia" w:ascii="仿宋_GB2312" w:eastAsia="仿宋_GB2312"/>
          <w:sz w:val="32"/>
          <w:szCs w:val="32"/>
          <w:lang w:eastAsia="zh-CN"/>
        </w:rPr>
        <w:t>米,其中乐寿路由长度1208米、红线宽度</w:t>
      </w:r>
      <w:r>
        <w:rPr>
          <w:rFonts w:hint="eastAsia" w:ascii="仿宋_GB2312" w:eastAsia="仿宋_GB2312"/>
          <w:sz w:val="32"/>
          <w:szCs w:val="32"/>
          <w:lang w:val="en-US" w:eastAsia="zh-CN"/>
        </w:rPr>
        <w:t>15米</w:t>
      </w:r>
      <w:r>
        <w:rPr>
          <w:rFonts w:hint="eastAsia" w:ascii="仿宋_GB2312" w:eastAsia="仿宋_GB2312"/>
          <w:sz w:val="32"/>
          <w:szCs w:val="32"/>
          <w:lang w:eastAsia="zh-CN"/>
        </w:rPr>
        <w:t>调整为长度</w:t>
      </w:r>
      <w:r>
        <w:rPr>
          <w:rFonts w:hint="eastAsia" w:ascii="仿宋_GB2312" w:eastAsia="仿宋_GB2312"/>
          <w:sz w:val="32"/>
          <w:szCs w:val="32"/>
          <w:lang w:val="en-US" w:eastAsia="zh-CN"/>
        </w:rPr>
        <w:t>384.3米、</w:t>
      </w:r>
      <w:r>
        <w:rPr>
          <w:rFonts w:hint="eastAsia" w:ascii="仿宋_GB2312" w:eastAsia="仿宋_GB2312"/>
          <w:sz w:val="32"/>
          <w:szCs w:val="32"/>
          <w:lang w:eastAsia="zh-CN"/>
        </w:rPr>
        <w:t>红线宽度</w:t>
      </w:r>
      <w:r>
        <w:rPr>
          <w:rFonts w:hint="eastAsia" w:ascii="仿宋_GB2312" w:eastAsia="仿宋_GB2312"/>
          <w:sz w:val="32"/>
          <w:szCs w:val="32"/>
          <w:lang w:val="en-US" w:eastAsia="zh-CN"/>
        </w:rPr>
        <w:t>24</w:t>
      </w:r>
      <w:r>
        <w:rPr>
          <w:rFonts w:hint="eastAsia" w:ascii="仿宋_GB2312" w:eastAsia="仿宋_GB2312"/>
          <w:sz w:val="32"/>
          <w:szCs w:val="32"/>
          <w:lang w:eastAsia="zh-CN"/>
        </w:rPr>
        <w:t>米；其它三条道路建设模不调整，悦庆路长度</w:t>
      </w:r>
      <w:r>
        <w:rPr>
          <w:rFonts w:hint="eastAsia" w:ascii="仿宋_GB2312" w:eastAsia="仿宋_GB2312"/>
          <w:sz w:val="32"/>
          <w:szCs w:val="32"/>
          <w:lang w:val="en-US" w:eastAsia="zh-CN"/>
        </w:rPr>
        <w:t>799.3米、</w:t>
      </w:r>
      <w:r>
        <w:rPr>
          <w:rFonts w:hint="eastAsia" w:ascii="仿宋_GB2312" w:eastAsia="仿宋_GB2312"/>
          <w:sz w:val="32"/>
          <w:szCs w:val="32"/>
          <w:lang w:eastAsia="zh-CN"/>
        </w:rPr>
        <w:t>红线宽度28米，柳石路西二路长度68</w:t>
      </w:r>
      <w:r>
        <w:rPr>
          <w:rFonts w:hint="eastAsia" w:ascii="仿宋_GB2312" w:eastAsia="仿宋_GB2312"/>
          <w:sz w:val="32"/>
          <w:szCs w:val="32"/>
          <w:lang w:val="en-US" w:eastAsia="zh-CN"/>
        </w:rPr>
        <w:t>7.8</w:t>
      </w:r>
      <w:r>
        <w:rPr>
          <w:rFonts w:hint="eastAsia" w:ascii="仿宋_GB2312" w:eastAsia="仿宋_GB2312"/>
          <w:sz w:val="32"/>
          <w:szCs w:val="32"/>
          <w:lang w:eastAsia="zh-CN"/>
        </w:rPr>
        <w:t>米、红线宽度24米，柳石路西三路长度574</w:t>
      </w:r>
      <w:r>
        <w:rPr>
          <w:rFonts w:hint="eastAsia" w:ascii="仿宋_GB2312" w:eastAsia="仿宋_GB2312"/>
          <w:sz w:val="32"/>
          <w:szCs w:val="32"/>
          <w:lang w:val="en-US" w:eastAsia="zh-CN"/>
        </w:rPr>
        <w:t>.1</w:t>
      </w:r>
      <w:r>
        <w:rPr>
          <w:rFonts w:hint="eastAsia" w:ascii="仿宋_GB2312" w:eastAsia="仿宋_GB2312"/>
          <w:sz w:val="32"/>
          <w:szCs w:val="32"/>
          <w:lang w:eastAsia="zh-CN"/>
        </w:rPr>
        <w:t>米、红线宽度15米。主要建设内容包括道路工程、交通工程、绿化工程、排水工程、电力管沟工程、照明工程等，其他管线预留位置。</w:t>
      </w:r>
    </w:p>
    <w:p>
      <w:pPr>
        <w:keepNext w:val="0"/>
        <w:keepLines w:val="0"/>
        <w:pageBreakBefore w:val="0"/>
        <w:widowControl w:val="0"/>
        <w:kinsoku/>
        <w:wordWrap/>
        <w:overflowPunct/>
        <w:topLinePunct w:val="0"/>
        <w:autoSpaceDE/>
        <w:autoSpaceDN/>
        <w:bidi w:val="0"/>
        <w:adjustRightInd/>
        <w:snapToGrid/>
        <w:spacing w:line="600" w:lineRule="exact"/>
        <w:ind w:left="151" w:leftChars="72" w:right="147" w:rightChars="7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三、调整后的投资规模和资金来源。项目匡算总投资22</w:t>
      </w:r>
      <w:r>
        <w:rPr>
          <w:rFonts w:hint="eastAsia" w:ascii="仿宋_GB2312" w:eastAsia="仿宋_GB2312"/>
          <w:sz w:val="32"/>
          <w:szCs w:val="32"/>
          <w:lang w:val="en-US" w:eastAsia="zh-CN"/>
        </w:rPr>
        <w:t>800</w:t>
      </w:r>
      <w:r>
        <w:rPr>
          <w:rFonts w:hint="eastAsia" w:ascii="仿宋_GB2312" w:eastAsia="仿宋_GB2312"/>
          <w:sz w:val="32"/>
          <w:szCs w:val="32"/>
          <w:lang w:eastAsia="zh-CN"/>
        </w:rPr>
        <w:t>万元，资金来源为市财政投资。</w:t>
      </w:r>
    </w:p>
    <w:p>
      <w:pPr>
        <w:keepNext w:val="0"/>
        <w:keepLines w:val="0"/>
        <w:pageBreakBefore w:val="0"/>
        <w:widowControl w:val="0"/>
        <w:kinsoku/>
        <w:wordWrap/>
        <w:overflowPunct/>
        <w:topLinePunct w:val="0"/>
        <w:autoSpaceDE/>
        <w:autoSpaceDN/>
        <w:bidi w:val="0"/>
        <w:adjustRightInd/>
        <w:snapToGrid/>
        <w:spacing w:line="600" w:lineRule="exact"/>
        <w:ind w:left="151" w:leftChars="72" w:right="147" w:rightChars="7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四、请据此批复开展项目可行性研究工作，并按规定办理相关手续。工程可行性研究报告编制完成后，报我委审批。</w:t>
      </w:r>
    </w:p>
    <w:p>
      <w:pPr>
        <w:keepNext w:val="0"/>
        <w:keepLines w:val="0"/>
        <w:pageBreakBefore w:val="0"/>
        <w:widowControl w:val="0"/>
        <w:kinsoku/>
        <w:wordWrap/>
        <w:overflowPunct/>
        <w:topLinePunct w:val="0"/>
        <w:autoSpaceDE/>
        <w:autoSpaceDN/>
        <w:bidi w:val="0"/>
        <w:adjustRightInd/>
        <w:snapToGrid/>
        <w:spacing w:line="600" w:lineRule="exact"/>
        <w:ind w:left="151" w:leftChars="72" w:right="147" w:rightChars="7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其他事项仍按我委柳发改规划〔2021〕135号文中有关内容执行。</w:t>
      </w:r>
    </w:p>
    <w:p>
      <w:pPr>
        <w:keepNext w:val="0"/>
        <w:keepLines w:val="0"/>
        <w:pageBreakBefore w:val="0"/>
        <w:widowControl w:val="0"/>
        <w:kinsoku/>
        <w:wordWrap/>
        <w:overflowPunct/>
        <w:topLinePunct w:val="0"/>
        <w:autoSpaceDE/>
        <w:autoSpaceDN/>
        <w:bidi w:val="0"/>
        <w:adjustRightInd/>
        <w:snapToGrid/>
        <w:spacing w:line="600" w:lineRule="exact"/>
        <w:ind w:left="151" w:leftChars="72" w:right="147" w:rightChars="7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自治区发展改革委接收领导干部插手工程建设廉政监督信访举报电话：0771-2328688,自治区纪委监委驻自治区发展改革委纪检监察组接收领导干部插手工程建设廉政监督信访举报电话：0771-12388,收信地址：广西壮族自治区纪委监委驻自治区发展改革委纪检监察组，邮编：530028;柳州市发展改革委接收领导干部插手工程建设廉政监督信访举报电话：0772-2826710；</w:t>
      </w:r>
    </w:p>
    <w:p>
      <w:pPr>
        <w:keepNext w:val="0"/>
        <w:keepLines w:val="0"/>
        <w:pageBreakBefore w:val="0"/>
        <w:widowControl w:val="0"/>
        <w:kinsoku/>
        <w:wordWrap/>
        <w:overflowPunct/>
        <w:topLinePunct w:val="0"/>
        <w:autoSpaceDE/>
        <w:autoSpaceDN/>
        <w:bidi w:val="0"/>
        <w:adjustRightInd/>
        <w:snapToGrid/>
        <w:spacing w:line="600" w:lineRule="exact"/>
        <w:ind w:left="151" w:leftChars="72" w:right="147" w:rightChars="7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柳州市纪委监委驻市发展改革委纪检监察组接收领导干部插手工程建设廉政监督信访举报电话：0772-12388,收信地址：柳州市城中区文昌路66号文昌综合楼柳州市纪委监委驻市发展改革委纪检监察组，邮编：545006</w:t>
      </w:r>
      <w:r>
        <w:rPr>
          <w:rFonts w:hint="eastAsia" w:ascii="仿宋_GB2312" w:eastAsia="仿宋_GB2312"/>
          <w:sz w:val="32"/>
          <w:szCs w:val="32"/>
          <w:lang w:val="en-US" w:eastAsia="zh-CN"/>
        </w:rPr>
        <w:t>。</w:t>
      </w:r>
      <w:r>
        <w:rPr>
          <w:rFonts w:hint="eastAsia" w:ascii="仿宋_GB2312" w:eastAsia="仿宋_GB2312"/>
          <w:sz w:val="32"/>
          <w:szCs w:val="32"/>
          <w:lang w:eastAsia="zh-CN"/>
        </w:rPr>
        <w:t>)</w:t>
      </w:r>
    </w:p>
    <w:p>
      <w:pPr>
        <w:spacing w:line="600" w:lineRule="exact"/>
        <w:jc w:val="center"/>
        <w:rPr>
          <w:rFonts w:hint="eastAsia" w:ascii="仿宋_GB2312" w:eastAsia="仿宋_GB2312"/>
          <w:sz w:val="32"/>
          <w:szCs w:val="32"/>
          <w:lang w:val="en-US" w:eastAsia="zh-CN"/>
        </w:rPr>
      </w:pPr>
    </w:p>
    <w:p>
      <w:pPr>
        <w:spacing w:line="600" w:lineRule="exact"/>
        <w:jc w:val="center"/>
        <w:rPr>
          <w:rFonts w:hint="eastAsia" w:ascii="仿宋_GB2312" w:eastAsia="仿宋_GB2312"/>
          <w:sz w:val="32"/>
          <w:szCs w:val="32"/>
          <w:lang w:val="en-US" w:eastAsia="zh-CN"/>
        </w:rPr>
      </w:pPr>
    </w:p>
    <w:p>
      <w:pPr>
        <w:spacing w:line="600" w:lineRule="exact"/>
        <w:jc w:val="center"/>
        <w:rPr>
          <w:rFonts w:hint="eastAsia" w:ascii="仿宋_GB2312" w:eastAsia="仿宋_GB2312"/>
          <w:sz w:val="32"/>
          <w:szCs w:val="32"/>
          <w:lang w:val="en-US" w:eastAsia="zh-CN"/>
        </w:rPr>
      </w:pPr>
    </w:p>
    <w:p>
      <w:pPr>
        <w:spacing w:line="600" w:lineRule="exact"/>
        <w:jc w:val="center"/>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柳州市发展和改革委员会</w:t>
      </w:r>
    </w:p>
    <w:p>
      <w:pPr>
        <w:spacing w:line="600" w:lineRule="exact"/>
        <w:rPr>
          <w:rFonts w:hint="eastAsia" w:ascii="仿宋_GB2312" w:eastAsia="仿宋_GB2312"/>
          <w:sz w:val="32"/>
          <w:szCs w:val="32"/>
          <w:lang w:eastAsia="zh-CN"/>
        </w:rPr>
      </w:pPr>
      <w:r>
        <w:rPr>
          <w:rFonts w:hint="eastAsia" w:ascii="仿宋_GB2312" w:eastAsia="仿宋_GB2312"/>
          <w:sz w:val="32"/>
          <w:szCs w:val="32"/>
          <w:lang w:eastAsia="zh-CN"/>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20</w:t>
      </w:r>
      <w:r>
        <w:rPr>
          <w:rFonts w:hint="eastAsia" w:ascii="仿宋_GB2312" w:eastAsia="仿宋_GB2312"/>
          <w:sz w:val="32"/>
          <w:szCs w:val="32"/>
          <w:lang w:val="en-US" w:eastAsia="zh-CN"/>
        </w:rPr>
        <w:t>22</w:t>
      </w:r>
      <w:r>
        <w:rPr>
          <w:rFonts w:hint="eastAsia" w:ascii="仿宋_GB2312" w:eastAsia="仿宋_GB2312"/>
          <w:sz w:val="32"/>
          <w:szCs w:val="32"/>
          <w:lang w:eastAsia="zh-CN"/>
        </w:rPr>
        <w:t>年</w:t>
      </w:r>
      <w:r>
        <w:rPr>
          <w:rFonts w:hint="eastAsia" w:ascii="仿宋_GB2312" w:eastAsia="仿宋_GB2312"/>
          <w:sz w:val="32"/>
          <w:szCs w:val="32"/>
          <w:lang w:val="en-US" w:eastAsia="zh-CN"/>
        </w:rPr>
        <w:t>1</w:t>
      </w:r>
      <w:r>
        <w:rPr>
          <w:rFonts w:hint="eastAsia" w:ascii="仿宋_GB2312" w:eastAsia="仿宋_GB2312"/>
          <w:sz w:val="32"/>
          <w:szCs w:val="32"/>
          <w:lang w:eastAsia="zh-CN"/>
        </w:rPr>
        <w:t>月</w:t>
      </w:r>
      <w:r>
        <w:rPr>
          <w:rFonts w:hint="eastAsia" w:ascii="仿宋_GB2312" w:eastAsia="仿宋_GB2312"/>
          <w:sz w:val="32"/>
          <w:szCs w:val="32"/>
          <w:lang w:val="en-US" w:eastAsia="zh-CN"/>
        </w:rPr>
        <w:t>17</w:t>
      </w:r>
      <w:r>
        <w:rPr>
          <w:rFonts w:hint="eastAsia" w:ascii="仿宋_GB2312" w:eastAsia="仿宋_GB2312"/>
          <w:sz w:val="32"/>
          <w:szCs w:val="32"/>
          <w:lang w:eastAsia="zh-CN"/>
        </w:rPr>
        <w:t>日</w:t>
      </w: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bookmarkStart w:id="0" w:name="_GoBack"/>
      <w:bookmarkEnd w:id="0"/>
    </w:p>
    <w:p>
      <w:pPr>
        <w:pStyle w:val="2"/>
        <w:rPr>
          <w:rFonts w:hint="eastAsia" w:ascii="仿宋_GB2312" w:eastAsia="仿宋_GB2312"/>
          <w:sz w:val="32"/>
          <w:szCs w:val="32"/>
          <w:lang w:eastAsia="zh-CN"/>
        </w:rPr>
      </w:pPr>
    </w:p>
    <w:p>
      <w:pPr>
        <w:spacing w:line="360" w:lineRule="exact"/>
        <w:ind w:left="1281" w:hanging="1285" w:hangingChars="400"/>
        <w:rPr>
          <w:rFonts w:ascii="楷体_GB2312" w:hAnsi="宋体" w:eastAsia="楷体_GB2312"/>
          <w:b/>
          <w:sz w:val="32"/>
          <w:szCs w:val="32"/>
        </w:rPr>
      </w:pPr>
      <w:r>
        <w:rPr>
          <w:rFonts w:hint="eastAsia" w:ascii="仿宋_GB2312" w:hAnsi="仿宋_GB2312" w:eastAsia="仿宋_GB2312" w:cs="仿宋_GB2312"/>
          <w:b/>
          <w:sz w:val="32"/>
          <w:szCs w:val="32"/>
          <w:u w:val="single"/>
        </w:rPr>
        <w:t xml:space="preserve"> </w:t>
      </w:r>
      <w:r>
        <w:rPr>
          <w:rFonts w:hint="eastAsia" w:ascii="楷体_GB2312" w:eastAsia="楷体_GB2312"/>
          <w:b/>
          <w:sz w:val="32"/>
          <w:szCs w:val="32"/>
          <w:u w:val="single"/>
        </w:rPr>
        <w:t xml:space="preserve">政府信息公开选项：主动公开                               </w:t>
      </w:r>
    </w:p>
    <w:p>
      <w:pPr>
        <w:spacing w:line="360" w:lineRule="exact"/>
        <w:ind w:left="1138" w:leftChars="142" w:hanging="840" w:hangingChars="300"/>
        <w:rPr>
          <w:rFonts w:hint="eastAsia" w:ascii="仿宋_GB2312" w:eastAsia="仿宋_GB2312"/>
          <w:spacing w:val="-16"/>
          <w:sz w:val="28"/>
          <w:szCs w:val="28"/>
          <w:u w:val="none"/>
        </w:rPr>
      </w:pPr>
      <w:r>
        <w:rPr>
          <w:rFonts w:hint="eastAsia" w:ascii="仿宋_GB2312" w:hAnsi="宋体" w:eastAsia="仿宋_GB2312"/>
          <w:sz w:val="28"/>
          <w:szCs w:val="28"/>
          <w:u w:val="none"/>
        </w:rPr>
        <w:t>抄送：</w:t>
      </w:r>
      <w:r>
        <w:rPr>
          <w:rFonts w:hint="eastAsia" w:ascii="仿宋_GB2312" w:hAnsi="宋体" w:eastAsia="仿宋_GB2312"/>
          <w:spacing w:val="-10"/>
          <w:sz w:val="28"/>
          <w:szCs w:val="28"/>
          <w:u w:val="none"/>
        </w:rPr>
        <w:t>市</w:t>
      </w:r>
      <w:r>
        <w:rPr>
          <w:rFonts w:hint="eastAsia" w:ascii="仿宋_GB2312" w:hAnsi="宋体" w:eastAsia="仿宋_GB2312"/>
          <w:spacing w:val="-10"/>
          <w:sz w:val="28"/>
          <w:szCs w:val="28"/>
          <w:u w:val="none"/>
          <w:lang w:eastAsia="zh-CN"/>
        </w:rPr>
        <w:t>住房城乡建设局</w:t>
      </w:r>
      <w:r>
        <w:rPr>
          <w:rFonts w:hint="eastAsia" w:ascii="仿宋_GB2312" w:hAnsi="宋体" w:eastAsia="仿宋_GB2312"/>
          <w:spacing w:val="-10"/>
          <w:sz w:val="28"/>
          <w:szCs w:val="28"/>
          <w:u w:val="none"/>
        </w:rPr>
        <w:t>、</w:t>
      </w:r>
      <w:r>
        <w:rPr>
          <w:rFonts w:hint="eastAsia" w:ascii="仿宋_GB2312" w:hAnsi="宋体" w:eastAsia="仿宋_GB2312"/>
          <w:spacing w:val="-10"/>
          <w:sz w:val="28"/>
          <w:szCs w:val="28"/>
          <w:u w:val="none"/>
          <w:lang w:eastAsia="zh-CN"/>
        </w:rPr>
        <w:t>自然资源和规划</w:t>
      </w:r>
      <w:r>
        <w:rPr>
          <w:rFonts w:hint="eastAsia" w:ascii="仿宋_GB2312" w:hAnsi="宋体" w:eastAsia="仿宋_GB2312"/>
          <w:spacing w:val="-10"/>
          <w:sz w:val="28"/>
          <w:szCs w:val="28"/>
          <w:u w:val="none"/>
        </w:rPr>
        <w:t>局、财政局、林业</w:t>
      </w:r>
      <w:r>
        <w:rPr>
          <w:rFonts w:hint="eastAsia" w:ascii="仿宋_GB2312" w:hAnsi="宋体" w:eastAsia="仿宋_GB2312"/>
          <w:spacing w:val="-10"/>
          <w:sz w:val="28"/>
          <w:szCs w:val="28"/>
          <w:u w:val="none"/>
          <w:lang w:eastAsia="zh-CN"/>
        </w:rPr>
        <w:t>和园林</w:t>
      </w:r>
      <w:r>
        <w:rPr>
          <w:rFonts w:hint="eastAsia" w:ascii="仿宋_GB2312" w:hAnsi="宋体" w:eastAsia="仿宋_GB2312"/>
          <w:spacing w:val="-10"/>
          <w:sz w:val="28"/>
          <w:szCs w:val="28"/>
          <w:u w:val="none"/>
        </w:rPr>
        <w:t>局、</w:t>
      </w:r>
      <w:r>
        <w:rPr>
          <w:rFonts w:hint="eastAsia" w:ascii="仿宋_GB2312" w:eastAsia="仿宋_GB2312"/>
          <w:spacing w:val="-16"/>
          <w:sz w:val="28"/>
          <w:szCs w:val="28"/>
          <w:u w:val="none"/>
        </w:rPr>
        <w:t xml:space="preserve">      </w:t>
      </w:r>
    </w:p>
    <w:p>
      <w:pPr>
        <w:rPr>
          <w:rFonts w:hint="eastAsia" w:ascii="仿宋" w:hAnsi="仿宋" w:eastAsia="仿宋_GB2312" w:cs="仿宋"/>
          <w:sz w:val="28"/>
          <w:szCs w:val="28"/>
          <w:u w:val="single"/>
          <w:lang w:val="en-US" w:eastAsia="zh-CN"/>
        </w:rPr>
      </w:pP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hAnsi="宋体" w:eastAsia="仿宋_GB2312"/>
          <w:spacing w:val="-10"/>
          <w:sz w:val="28"/>
          <w:szCs w:val="28"/>
          <w:u w:val="single"/>
          <w:lang w:eastAsia="zh-CN"/>
        </w:rPr>
        <w:t>生态</w:t>
      </w:r>
      <w:r>
        <w:rPr>
          <w:rFonts w:hint="eastAsia" w:ascii="仿宋_GB2312" w:hAnsi="宋体" w:eastAsia="仿宋_GB2312"/>
          <w:spacing w:val="-10"/>
          <w:sz w:val="28"/>
          <w:szCs w:val="28"/>
          <w:u w:val="single"/>
          <w:lang w:eastAsia="zh-CN"/>
        </w:rPr>
        <w:t>环境</w:t>
      </w:r>
      <w:r>
        <w:rPr>
          <w:rFonts w:hint="eastAsia" w:ascii="仿宋_GB2312" w:hAnsi="宋体" w:eastAsia="仿宋_GB2312"/>
          <w:spacing w:val="-10"/>
          <w:sz w:val="28"/>
          <w:szCs w:val="28"/>
          <w:u w:val="single"/>
        </w:rPr>
        <w:t>局、</w:t>
      </w:r>
      <w:r>
        <w:rPr>
          <w:rFonts w:hint="eastAsia" w:ascii="仿宋_GB2312" w:eastAsia="仿宋_GB2312"/>
          <w:spacing w:val="-16"/>
          <w:sz w:val="28"/>
          <w:szCs w:val="28"/>
          <w:u w:val="single"/>
        </w:rPr>
        <w:t>统计局、</w:t>
      </w:r>
      <w:r>
        <w:rPr>
          <w:rFonts w:hint="eastAsia" w:ascii="仿宋_GB2312" w:eastAsia="仿宋_GB2312"/>
          <w:spacing w:val="-16"/>
          <w:sz w:val="28"/>
          <w:szCs w:val="28"/>
          <w:u w:val="single"/>
          <w:lang w:eastAsia="zh-CN"/>
        </w:rPr>
        <w:t>行政审批局</w:t>
      </w:r>
      <w:r>
        <w:rPr>
          <w:rFonts w:hint="eastAsia" w:ascii="仿宋_GB2312" w:eastAsia="仿宋_GB2312"/>
          <w:spacing w:val="-16"/>
          <w:sz w:val="28"/>
          <w:szCs w:val="28"/>
          <w:u w:val="single"/>
        </w:rPr>
        <w:t>、交警支队、本委存档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p>
    <w:p>
      <w:pPr>
        <w:rPr>
          <w:rFonts w:ascii="Times New Roman" w:hAnsi="黑体" w:eastAsia="黑体" w:cs="Times New Roman"/>
          <w:sz w:val="32"/>
          <w:szCs w:val="32"/>
        </w:rPr>
      </w:pPr>
      <w:r>
        <w:rPr>
          <w:rFonts w:hint="eastAsia" w:ascii="仿宋_GB2312" w:eastAsia="仿宋_GB2312"/>
          <w:sz w:val="28"/>
          <w:szCs w:val="28"/>
          <w:u w:val="single"/>
        </w:rPr>
        <w:t xml:space="preserve">  柳州市发展和改革委员会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20</w:t>
      </w:r>
      <w:r>
        <w:rPr>
          <w:rFonts w:hint="eastAsia" w:ascii="仿宋_GB2312" w:eastAsia="仿宋_GB2312"/>
          <w:sz w:val="28"/>
          <w:szCs w:val="28"/>
          <w:u w:val="single"/>
          <w:lang w:val="en-US" w:eastAsia="zh-CN"/>
        </w:rPr>
        <w:t>22</w:t>
      </w:r>
      <w:r>
        <w:rPr>
          <w:rFonts w:hint="eastAsia" w:ascii="仿宋_GB2312" w:eastAsia="仿宋_GB2312"/>
          <w:sz w:val="28"/>
          <w:szCs w:val="28"/>
          <w:u w:val="single"/>
        </w:rPr>
        <w:t>年</w:t>
      </w:r>
      <w:r>
        <w:rPr>
          <w:rFonts w:hint="eastAsia" w:ascii="仿宋_GB2312" w:eastAsia="仿宋_GB2312"/>
          <w:sz w:val="28"/>
          <w:szCs w:val="28"/>
          <w:u w:val="single"/>
          <w:lang w:val="en-US" w:eastAsia="zh-CN"/>
        </w:rPr>
        <w:t>1</w:t>
      </w:r>
      <w:r>
        <w:rPr>
          <w:rFonts w:hint="eastAsia" w:ascii="仿宋_GB2312" w:eastAsia="仿宋_GB2312"/>
          <w:sz w:val="28"/>
          <w:szCs w:val="28"/>
          <w:u w:val="single"/>
        </w:rPr>
        <w:t>月</w:t>
      </w:r>
      <w:r>
        <w:rPr>
          <w:rFonts w:hint="eastAsia" w:ascii="仿宋_GB2312" w:eastAsia="仿宋_GB2312"/>
          <w:sz w:val="28"/>
          <w:szCs w:val="28"/>
          <w:u w:val="single"/>
          <w:lang w:val="en-US" w:eastAsia="zh-CN"/>
        </w:rPr>
        <w:t>17</w:t>
      </w:r>
      <w:r>
        <w:rPr>
          <w:rFonts w:hint="eastAsia" w:ascii="仿宋_GB2312" w:eastAsia="仿宋_GB2312"/>
          <w:sz w:val="28"/>
          <w:szCs w:val="28"/>
          <w:u w:val="single"/>
        </w:rPr>
        <w:t xml:space="preserve">日印发  </w:t>
      </w:r>
      <w:r>
        <w:rPr>
          <w:rFonts w:hint="eastAsia" w:ascii="仿宋_GB2312" w:eastAsia="仿宋_GB2312"/>
          <w:sz w:val="28"/>
          <w:szCs w:val="28"/>
          <w:u w:val="single"/>
          <w:lang w:val="en-US" w:eastAsia="zh-CN"/>
        </w:rPr>
        <w:t xml:space="preserve">   </w:t>
      </w:r>
    </w:p>
    <w:sectPr>
      <w:footerReference r:id="rId3" w:type="default"/>
      <w:pgSz w:w="11906" w:h="16838"/>
      <w:pgMar w:top="2098" w:right="1587" w:bottom="209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214"/>
    <w:rsid w:val="000004A5"/>
    <w:rsid w:val="00001112"/>
    <w:rsid w:val="00001457"/>
    <w:rsid w:val="000019E7"/>
    <w:rsid w:val="00012B0A"/>
    <w:rsid w:val="00013AB0"/>
    <w:rsid w:val="00040AA7"/>
    <w:rsid w:val="00042132"/>
    <w:rsid w:val="00043A14"/>
    <w:rsid w:val="00043F2A"/>
    <w:rsid w:val="00050232"/>
    <w:rsid w:val="000611C3"/>
    <w:rsid w:val="00081001"/>
    <w:rsid w:val="00082EC4"/>
    <w:rsid w:val="00084DC7"/>
    <w:rsid w:val="00091965"/>
    <w:rsid w:val="000B427B"/>
    <w:rsid w:val="000C5CF3"/>
    <w:rsid w:val="000D1072"/>
    <w:rsid w:val="000E1239"/>
    <w:rsid w:val="000E6ACB"/>
    <w:rsid w:val="000F03BA"/>
    <w:rsid w:val="001005EA"/>
    <w:rsid w:val="00132E35"/>
    <w:rsid w:val="001500D6"/>
    <w:rsid w:val="001606D7"/>
    <w:rsid w:val="00161174"/>
    <w:rsid w:val="0016541B"/>
    <w:rsid w:val="00194F00"/>
    <w:rsid w:val="001A5214"/>
    <w:rsid w:val="001F05D9"/>
    <w:rsid w:val="001F27F3"/>
    <w:rsid w:val="001F5CB5"/>
    <w:rsid w:val="001F7CFC"/>
    <w:rsid w:val="0020526E"/>
    <w:rsid w:val="00220381"/>
    <w:rsid w:val="00220CDA"/>
    <w:rsid w:val="00220FA8"/>
    <w:rsid w:val="002528CC"/>
    <w:rsid w:val="00253B3E"/>
    <w:rsid w:val="002638D2"/>
    <w:rsid w:val="002711CA"/>
    <w:rsid w:val="00275A33"/>
    <w:rsid w:val="00276052"/>
    <w:rsid w:val="00276ECA"/>
    <w:rsid w:val="002858BF"/>
    <w:rsid w:val="00290F74"/>
    <w:rsid w:val="002B5080"/>
    <w:rsid w:val="002D06DF"/>
    <w:rsid w:val="002D3993"/>
    <w:rsid w:val="002F24FB"/>
    <w:rsid w:val="002F5F3B"/>
    <w:rsid w:val="00307510"/>
    <w:rsid w:val="00307A33"/>
    <w:rsid w:val="0034167F"/>
    <w:rsid w:val="00346F05"/>
    <w:rsid w:val="0039140E"/>
    <w:rsid w:val="003C1513"/>
    <w:rsid w:val="003E4F65"/>
    <w:rsid w:val="003E79F2"/>
    <w:rsid w:val="003F6832"/>
    <w:rsid w:val="00405A0D"/>
    <w:rsid w:val="0041651B"/>
    <w:rsid w:val="00422ED9"/>
    <w:rsid w:val="0042374B"/>
    <w:rsid w:val="0042567A"/>
    <w:rsid w:val="004360D4"/>
    <w:rsid w:val="00436971"/>
    <w:rsid w:val="00456D78"/>
    <w:rsid w:val="00457D1B"/>
    <w:rsid w:val="004713E0"/>
    <w:rsid w:val="0048471F"/>
    <w:rsid w:val="004A1802"/>
    <w:rsid w:val="004A23CE"/>
    <w:rsid w:val="004A5A89"/>
    <w:rsid w:val="004D0E91"/>
    <w:rsid w:val="004E0370"/>
    <w:rsid w:val="004E2FC3"/>
    <w:rsid w:val="004E3B45"/>
    <w:rsid w:val="00500896"/>
    <w:rsid w:val="0051043D"/>
    <w:rsid w:val="00523B4F"/>
    <w:rsid w:val="005271B9"/>
    <w:rsid w:val="00542BFC"/>
    <w:rsid w:val="005441EF"/>
    <w:rsid w:val="00561BBA"/>
    <w:rsid w:val="00594181"/>
    <w:rsid w:val="005A213D"/>
    <w:rsid w:val="005B324F"/>
    <w:rsid w:val="005C11B8"/>
    <w:rsid w:val="005E60FC"/>
    <w:rsid w:val="006031FB"/>
    <w:rsid w:val="00605A90"/>
    <w:rsid w:val="00610A03"/>
    <w:rsid w:val="00622653"/>
    <w:rsid w:val="00625940"/>
    <w:rsid w:val="0063167B"/>
    <w:rsid w:val="0063645F"/>
    <w:rsid w:val="00644B9A"/>
    <w:rsid w:val="00652B53"/>
    <w:rsid w:val="006877E6"/>
    <w:rsid w:val="00687EC3"/>
    <w:rsid w:val="006956ED"/>
    <w:rsid w:val="006A108B"/>
    <w:rsid w:val="006A235B"/>
    <w:rsid w:val="006C698E"/>
    <w:rsid w:val="006E6181"/>
    <w:rsid w:val="006F3B6D"/>
    <w:rsid w:val="00700EBB"/>
    <w:rsid w:val="00701208"/>
    <w:rsid w:val="00703A64"/>
    <w:rsid w:val="00725A08"/>
    <w:rsid w:val="0076646A"/>
    <w:rsid w:val="00771573"/>
    <w:rsid w:val="00776E18"/>
    <w:rsid w:val="00781E0A"/>
    <w:rsid w:val="007948E9"/>
    <w:rsid w:val="0079491F"/>
    <w:rsid w:val="007A4535"/>
    <w:rsid w:val="007A4758"/>
    <w:rsid w:val="007C0976"/>
    <w:rsid w:val="007D6B96"/>
    <w:rsid w:val="007F4F3E"/>
    <w:rsid w:val="00800619"/>
    <w:rsid w:val="00815D03"/>
    <w:rsid w:val="008362A8"/>
    <w:rsid w:val="0086325B"/>
    <w:rsid w:val="0086654F"/>
    <w:rsid w:val="00870F86"/>
    <w:rsid w:val="00877588"/>
    <w:rsid w:val="00885269"/>
    <w:rsid w:val="00894E2B"/>
    <w:rsid w:val="008A560B"/>
    <w:rsid w:val="008B6782"/>
    <w:rsid w:val="008C2B8B"/>
    <w:rsid w:val="008C51B3"/>
    <w:rsid w:val="008C5D75"/>
    <w:rsid w:val="008D4544"/>
    <w:rsid w:val="008F52BD"/>
    <w:rsid w:val="00917B3A"/>
    <w:rsid w:val="00921A8F"/>
    <w:rsid w:val="00931FAD"/>
    <w:rsid w:val="00937662"/>
    <w:rsid w:val="00944DB0"/>
    <w:rsid w:val="00954F02"/>
    <w:rsid w:val="00972C6B"/>
    <w:rsid w:val="009801B1"/>
    <w:rsid w:val="0098110D"/>
    <w:rsid w:val="009A0FDA"/>
    <w:rsid w:val="009A1849"/>
    <w:rsid w:val="009A352E"/>
    <w:rsid w:val="009B0AD9"/>
    <w:rsid w:val="009B15BD"/>
    <w:rsid w:val="009B52F2"/>
    <w:rsid w:val="009B6D36"/>
    <w:rsid w:val="009D4220"/>
    <w:rsid w:val="009D7549"/>
    <w:rsid w:val="009E40B9"/>
    <w:rsid w:val="009E64C1"/>
    <w:rsid w:val="009F38FB"/>
    <w:rsid w:val="009F5307"/>
    <w:rsid w:val="009F585F"/>
    <w:rsid w:val="00A03F0F"/>
    <w:rsid w:val="00A07D8E"/>
    <w:rsid w:val="00A142CE"/>
    <w:rsid w:val="00A21344"/>
    <w:rsid w:val="00A310B1"/>
    <w:rsid w:val="00A35AA2"/>
    <w:rsid w:val="00A36F19"/>
    <w:rsid w:val="00A57E92"/>
    <w:rsid w:val="00A702C4"/>
    <w:rsid w:val="00A7242D"/>
    <w:rsid w:val="00A80969"/>
    <w:rsid w:val="00A81298"/>
    <w:rsid w:val="00A872CA"/>
    <w:rsid w:val="00A91834"/>
    <w:rsid w:val="00A920CB"/>
    <w:rsid w:val="00A921D7"/>
    <w:rsid w:val="00A92C06"/>
    <w:rsid w:val="00AA1FD6"/>
    <w:rsid w:val="00AB20EA"/>
    <w:rsid w:val="00AC31A3"/>
    <w:rsid w:val="00AC486B"/>
    <w:rsid w:val="00AD45B7"/>
    <w:rsid w:val="00B031E8"/>
    <w:rsid w:val="00B179C6"/>
    <w:rsid w:val="00B20B1A"/>
    <w:rsid w:val="00B4441F"/>
    <w:rsid w:val="00B47A8F"/>
    <w:rsid w:val="00B55998"/>
    <w:rsid w:val="00B60B4E"/>
    <w:rsid w:val="00B83AFC"/>
    <w:rsid w:val="00B97620"/>
    <w:rsid w:val="00BB7B4C"/>
    <w:rsid w:val="00BC01FA"/>
    <w:rsid w:val="00BC69D0"/>
    <w:rsid w:val="00BD35F5"/>
    <w:rsid w:val="00BD4766"/>
    <w:rsid w:val="00BD6242"/>
    <w:rsid w:val="00C040C5"/>
    <w:rsid w:val="00C06C16"/>
    <w:rsid w:val="00C23C0D"/>
    <w:rsid w:val="00C60AAB"/>
    <w:rsid w:val="00C60BA7"/>
    <w:rsid w:val="00C64F76"/>
    <w:rsid w:val="00C96B93"/>
    <w:rsid w:val="00CA657F"/>
    <w:rsid w:val="00CC5DB9"/>
    <w:rsid w:val="00CD20A6"/>
    <w:rsid w:val="00CD2E40"/>
    <w:rsid w:val="00CD52AB"/>
    <w:rsid w:val="00CD5396"/>
    <w:rsid w:val="00CE0049"/>
    <w:rsid w:val="00CE53CA"/>
    <w:rsid w:val="00CE5E74"/>
    <w:rsid w:val="00D32424"/>
    <w:rsid w:val="00D35D0B"/>
    <w:rsid w:val="00D4114D"/>
    <w:rsid w:val="00D50961"/>
    <w:rsid w:val="00D60654"/>
    <w:rsid w:val="00D72E6A"/>
    <w:rsid w:val="00D83580"/>
    <w:rsid w:val="00DA18DE"/>
    <w:rsid w:val="00DA2402"/>
    <w:rsid w:val="00DB0FA8"/>
    <w:rsid w:val="00DB200B"/>
    <w:rsid w:val="00DB4E60"/>
    <w:rsid w:val="00DC4DAF"/>
    <w:rsid w:val="00DC609D"/>
    <w:rsid w:val="00DD2DDB"/>
    <w:rsid w:val="00DD3595"/>
    <w:rsid w:val="00E02DA3"/>
    <w:rsid w:val="00E217FE"/>
    <w:rsid w:val="00E718F7"/>
    <w:rsid w:val="00E75C87"/>
    <w:rsid w:val="00E845D8"/>
    <w:rsid w:val="00E858F9"/>
    <w:rsid w:val="00E8765F"/>
    <w:rsid w:val="00EA0FE8"/>
    <w:rsid w:val="00EA60AD"/>
    <w:rsid w:val="00ED7DBE"/>
    <w:rsid w:val="00EF2635"/>
    <w:rsid w:val="00EF4437"/>
    <w:rsid w:val="00F068CF"/>
    <w:rsid w:val="00F07CEC"/>
    <w:rsid w:val="00F13367"/>
    <w:rsid w:val="00F15B28"/>
    <w:rsid w:val="00F25113"/>
    <w:rsid w:val="00F548B9"/>
    <w:rsid w:val="00F66CF7"/>
    <w:rsid w:val="00F87A4A"/>
    <w:rsid w:val="00FA2186"/>
    <w:rsid w:val="00FA70B1"/>
    <w:rsid w:val="00FB0CDC"/>
    <w:rsid w:val="00FB4D1F"/>
    <w:rsid w:val="00FC795B"/>
    <w:rsid w:val="01FE64CE"/>
    <w:rsid w:val="03014220"/>
    <w:rsid w:val="054C3BAF"/>
    <w:rsid w:val="0CC95453"/>
    <w:rsid w:val="0DA651E0"/>
    <w:rsid w:val="0E8777F6"/>
    <w:rsid w:val="0EFB4D2B"/>
    <w:rsid w:val="10E35A7D"/>
    <w:rsid w:val="152B55D9"/>
    <w:rsid w:val="165579C7"/>
    <w:rsid w:val="17102ACE"/>
    <w:rsid w:val="174834E2"/>
    <w:rsid w:val="196F1AB5"/>
    <w:rsid w:val="1BAC41A6"/>
    <w:rsid w:val="1C622D51"/>
    <w:rsid w:val="1CE30585"/>
    <w:rsid w:val="1F995C4D"/>
    <w:rsid w:val="20387BAF"/>
    <w:rsid w:val="224B0835"/>
    <w:rsid w:val="23C23297"/>
    <w:rsid w:val="248874C1"/>
    <w:rsid w:val="251902B1"/>
    <w:rsid w:val="262C0042"/>
    <w:rsid w:val="28145964"/>
    <w:rsid w:val="28E36A84"/>
    <w:rsid w:val="29CB5D2C"/>
    <w:rsid w:val="2B95513E"/>
    <w:rsid w:val="2BF46C02"/>
    <w:rsid w:val="326D423C"/>
    <w:rsid w:val="32A51547"/>
    <w:rsid w:val="3463272D"/>
    <w:rsid w:val="3964316E"/>
    <w:rsid w:val="3C3A58F0"/>
    <w:rsid w:val="42123B70"/>
    <w:rsid w:val="426E07E1"/>
    <w:rsid w:val="42936432"/>
    <w:rsid w:val="440C588D"/>
    <w:rsid w:val="44A61A14"/>
    <w:rsid w:val="465B6D4B"/>
    <w:rsid w:val="480B13F2"/>
    <w:rsid w:val="4A112E66"/>
    <w:rsid w:val="4ACA103C"/>
    <w:rsid w:val="4E3C562B"/>
    <w:rsid w:val="4FC14271"/>
    <w:rsid w:val="54386BAA"/>
    <w:rsid w:val="59DB31B1"/>
    <w:rsid w:val="5A110331"/>
    <w:rsid w:val="5DC6254A"/>
    <w:rsid w:val="5DDC2A88"/>
    <w:rsid w:val="5F977948"/>
    <w:rsid w:val="60436839"/>
    <w:rsid w:val="63FC29B2"/>
    <w:rsid w:val="65A823C8"/>
    <w:rsid w:val="670E533F"/>
    <w:rsid w:val="6727095E"/>
    <w:rsid w:val="675B16D0"/>
    <w:rsid w:val="67640785"/>
    <w:rsid w:val="67DB7C54"/>
    <w:rsid w:val="68594F76"/>
    <w:rsid w:val="6A203C6B"/>
    <w:rsid w:val="6AC56526"/>
    <w:rsid w:val="6BFA3EDA"/>
    <w:rsid w:val="6CA22FB1"/>
    <w:rsid w:val="6DE72ACA"/>
    <w:rsid w:val="6EAF0C93"/>
    <w:rsid w:val="6F9954BD"/>
    <w:rsid w:val="7056781E"/>
    <w:rsid w:val="71AC46B0"/>
    <w:rsid w:val="72E402F3"/>
    <w:rsid w:val="7327796A"/>
    <w:rsid w:val="73475733"/>
    <w:rsid w:val="73661E4C"/>
    <w:rsid w:val="73A23A3F"/>
    <w:rsid w:val="762812B2"/>
    <w:rsid w:val="78967D33"/>
    <w:rsid w:val="7B520837"/>
    <w:rsid w:val="7B6425BE"/>
    <w:rsid w:val="7BD9245F"/>
    <w:rsid w:val="7D731D3C"/>
    <w:rsid w:val="7D9056FF"/>
    <w:rsid w:val="7D961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9"/>
    <w:pPr>
      <w:spacing w:before="100" w:beforeAutospacing="1" w:after="100" w:afterAutospacing="1"/>
      <w:jc w:val="left"/>
      <w:outlineLvl w:val="2"/>
    </w:pPr>
    <w:rPr>
      <w:rFonts w:hint="eastAsia" w:ascii="宋体" w:hAnsi="宋体"/>
      <w:b/>
      <w:kern w:val="0"/>
      <w:sz w:val="27"/>
      <w:szCs w:val="27"/>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Body Text First Indent"/>
    <w:basedOn w:val="2"/>
    <w:qFormat/>
    <w:uiPriority w:val="0"/>
    <w:pPr>
      <w:adjustRightInd w:val="0"/>
      <w:snapToGrid w:val="0"/>
      <w:spacing w:line="360" w:lineRule="auto"/>
      <w:ind w:firstLine="640" w:firstLineChars="200"/>
      <w:jc w:val="left"/>
    </w:pPr>
    <w:rPr>
      <w:rFonts w:eastAsia="宋体"/>
      <w:kern w:val="0"/>
      <w:sz w:val="24"/>
    </w:rPr>
  </w:style>
  <w:style w:type="paragraph" w:styleId="5">
    <w:name w:val="footer"/>
    <w:basedOn w:val="1"/>
    <w:link w:val="12"/>
    <w:unhideWhenUsed/>
    <w:qFormat/>
    <w:uiPriority w:val="0"/>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table" w:styleId="10">
    <w:name w:val="Table Grid"/>
    <w:basedOn w:val="9"/>
    <w:qFormat/>
    <w:uiPriority w:val="59"/>
    <w:pPr>
      <w:ind w:firstLine="400" w:firstLineChars="400"/>
      <w:jc w:val="both"/>
    </w:pPr>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11">
    <w:name w:val="页眉 Char"/>
    <w:basedOn w:val="7"/>
    <w:link w:val="6"/>
    <w:qFormat/>
    <w:uiPriority w:val="0"/>
    <w:rPr>
      <w:sz w:val="18"/>
      <w:szCs w:val="18"/>
    </w:rPr>
  </w:style>
  <w:style w:type="character" w:customStyle="1" w:styleId="12">
    <w:name w:val="页脚 Char"/>
    <w:basedOn w:val="7"/>
    <w:link w:val="5"/>
    <w:qFormat/>
    <w:uiPriority w:val="0"/>
    <w:rPr>
      <w:sz w:val="18"/>
      <w:szCs w:val="18"/>
    </w:rPr>
  </w:style>
  <w:style w:type="paragraph" w:customStyle="1" w:styleId="1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1127</Words>
  <Characters>1275</Characters>
  <Lines>1</Lines>
  <Paragraphs>1</Paragraphs>
  <TotalTime>0</TotalTime>
  <ScaleCrop>false</ScaleCrop>
  <LinksUpToDate>false</LinksUpToDate>
  <CharactersWithSpaces>1395</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2019-01-07T06:18:00Z</dcterms:created>
  <dc:creator>Think</dc:creator>
  <cp:lastModifiedBy>唐萍</cp:lastModifiedBy>
  <cp:lastPrinted>2022-01-20T08:32:30Z</cp:lastPrinted>
  <dcterms:modified xsi:type="dcterms:W3CDTF">2022-01-20T08:32:32Z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