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仿宋_GB2312" w:eastAsia="仿宋_GB2312"/>
          <w:sz w:val="32"/>
          <w:szCs w:val="32"/>
        </w:rPr>
      </w:pPr>
      <w:bookmarkStart w:id="0" w:name="_GoBack"/>
      <w:bookmarkEnd w:id="0"/>
    </w:p>
    <w:p>
      <w:pPr>
        <w:spacing w:line="660" w:lineRule="exact"/>
        <w:jc w:val="center"/>
        <w:rPr>
          <w:rFonts w:ascii="仿宋_GB2312" w:eastAsia="仿宋_GB2312"/>
          <w:sz w:val="32"/>
          <w:szCs w:val="32"/>
        </w:rPr>
      </w:pPr>
    </w:p>
    <w:p>
      <w:pPr>
        <w:spacing w:line="66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华文中宋" w:hAnsi="华文中宋" w:eastAsia="华文中宋"/>
          <w:b/>
          <w:color w:val="FF0000"/>
          <w:spacing w:val="-45"/>
          <w:w w:val="80"/>
          <w:sz w:val="72"/>
          <w:szCs w:val="72"/>
          <w:lang w:eastAsia="zh-CN"/>
        </w:rPr>
      </w:pPr>
      <w:r>
        <w:rPr>
          <w:rFonts w:hint="eastAsia" w:ascii="华文中宋" w:hAnsi="华文中宋" w:eastAsia="华文中宋"/>
          <w:b/>
          <w:bCs/>
          <w:color w:val="FF0000"/>
          <w:spacing w:val="-45"/>
          <w:sz w:val="72"/>
          <w:szCs w:val="72"/>
        </w:rPr>
        <w:t>柳州市发展和改革委员会</w:t>
      </w:r>
      <w:r>
        <w:rPr>
          <w:rFonts w:hint="eastAsia" w:ascii="华文中宋" w:hAnsi="华文中宋" w:eastAsia="华文中宋"/>
          <w:b/>
          <w:bCs/>
          <w:color w:val="FF0000"/>
          <w:spacing w:val="-45"/>
          <w:sz w:val="72"/>
          <w:szCs w:val="72"/>
          <w:lang w:eastAsia="zh-CN"/>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黑体" w:hAnsi="黑体" w:eastAsia="黑体" w:cs="黑体"/>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lang w:val="en-US" w:eastAsia="zh-CN"/>
        </w:rPr>
      </w:pPr>
    </w:p>
    <w:p>
      <w:pPr>
        <w:spacing w:line="660" w:lineRule="exact"/>
        <w:jc w:val="center"/>
        <w:rPr>
          <w:rFonts w:ascii="仿宋_GB2312" w:eastAsia="仿宋_GB2312"/>
          <w:sz w:val="32"/>
          <w:szCs w:val="32"/>
        </w:rPr>
      </w:pPr>
      <w:r>
        <w:rPr>
          <w:rFonts w:hint="eastAsia" w:ascii="仿宋_GB2312" w:eastAsia="仿宋_GB2312" w:cs="仿宋_GB2312"/>
          <w:sz w:val="32"/>
          <w:szCs w:val="32"/>
        </w:rPr>
        <w:t>柳发改规划〔2021〕</w:t>
      </w:r>
      <w:r>
        <w:rPr>
          <w:rFonts w:hint="eastAsia" w:ascii="仿宋_GB2312" w:eastAsia="仿宋_GB2312" w:cs="仿宋_GB2312"/>
          <w:sz w:val="32"/>
          <w:szCs w:val="32"/>
          <w:lang w:val="en-US" w:eastAsia="zh-CN"/>
        </w:rPr>
        <w:t>278</w:t>
      </w:r>
      <w:r>
        <w:rPr>
          <w:rFonts w:hint="eastAsia" w:ascii="仿宋_GB2312" w:eastAsia="仿宋_GB2312" w:cs="仿宋_GB2312"/>
          <w:sz w:val="32"/>
          <w:szCs w:val="32"/>
        </w:rPr>
        <w:t>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outlineLvl w:val="2"/>
        <w:rPr>
          <w:rFonts w:hint="eastAsia" w:ascii="黑体" w:hAnsi="黑体" w:eastAsia="黑体" w:cs="黑体"/>
          <w:sz w:val="44"/>
          <w:szCs w:val="44"/>
          <w:u w:val="single"/>
          <w:lang w:val="en-US" w:eastAsia="zh-CN"/>
        </w:rPr>
      </w:pPr>
      <w:r>
        <w:rPr>
          <w:sz w:val="44"/>
        </w:rPr>
        <w:pict>
          <v:line id="_x0000_s2050" o:spid="_x0000_s2050" o:spt="20" style="position:absolute;left:0pt;flip:y;margin-left:-3.2pt;margin-top:7.2pt;height:3.75pt;width:446.95pt;z-index:251669504;mso-width-relative:page;mso-height-relative:page;" filled="f" stroked="t" coordsize="21600,21600">
            <v:path arrowok="t"/>
            <v:fill on="f" focussize="0,0"/>
            <v:stroke weight="2pt" color="#FF0000"/>
            <v:imagedata o:title=""/>
            <o:lock v:ext="edit" aspectratio="f"/>
          </v:line>
        </w:pict>
      </w:r>
    </w:p>
    <w:p>
      <w:pPr>
        <w:pStyle w:val="7"/>
      </w:pPr>
    </w:p>
    <w:p>
      <w:pPr>
        <w:spacing w:line="640" w:lineRule="exact"/>
        <w:jc w:val="center"/>
        <w:rPr>
          <w:rFonts w:hint="eastAsia" w:ascii="方正小标宋简体" w:hAnsi="方正小标宋_GBK" w:eastAsia="方正小标宋简体" w:cs="方正小标宋简体"/>
          <w:spacing w:val="-17"/>
          <w:sz w:val="44"/>
          <w:szCs w:val="44"/>
        </w:rPr>
      </w:pPr>
      <w:r>
        <w:rPr>
          <w:rFonts w:hint="eastAsia" w:ascii="方正小标宋简体" w:hAnsi="方正小标宋_GBK" w:eastAsia="方正小标宋简体" w:cs="方正小标宋简体"/>
          <w:spacing w:val="-17"/>
          <w:sz w:val="44"/>
          <w:szCs w:val="44"/>
        </w:rPr>
        <w:t>柳州市发展和改革委员会关于调整柳州市交通</w:t>
      </w:r>
    </w:p>
    <w:p>
      <w:pPr>
        <w:spacing w:line="640" w:lineRule="exact"/>
        <w:jc w:val="center"/>
        <w:rPr>
          <w:rFonts w:hint="eastAsia" w:ascii="方正小标宋简体" w:hAnsi="方正小标宋_GBK" w:eastAsia="方正小标宋简体" w:cs="方正小标宋简体"/>
          <w:spacing w:val="-17"/>
          <w:sz w:val="44"/>
          <w:szCs w:val="44"/>
        </w:rPr>
      </w:pPr>
      <w:r>
        <w:rPr>
          <w:rFonts w:hint="eastAsia" w:ascii="方正小标宋简体" w:hAnsi="方正小标宋_GBK" w:eastAsia="方正小标宋简体" w:cs="方正小标宋简体"/>
          <w:spacing w:val="-17"/>
          <w:sz w:val="44"/>
          <w:szCs w:val="44"/>
        </w:rPr>
        <w:t>学校改扩建项目——学生食堂、2#实训</w:t>
      </w:r>
    </w:p>
    <w:p>
      <w:pPr>
        <w:spacing w:line="640" w:lineRule="exact"/>
        <w:jc w:val="center"/>
        <w:rPr>
          <w:rFonts w:ascii="方正小标宋简体" w:hAnsi="方正小标宋_GBK" w:eastAsia="方正小标宋简体" w:cs="方正小标宋简体"/>
          <w:spacing w:val="-11"/>
          <w:sz w:val="44"/>
          <w:szCs w:val="44"/>
        </w:rPr>
      </w:pPr>
      <w:r>
        <w:rPr>
          <w:rFonts w:hint="eastAsia" w:ascii="方正小标宋简体" w:hAnsi="方正小标宋_GBK" w:eastAsia="方正小标宋简体" w:cs="方正小标宋简体"/>
          <w:spacing w:val="-17"/>
          <w:sz w:val="44"/>
          <w:szCs w:val="44"/>
        </w:rPr>
        <w:t>综合楼可行性研究报告的批复</w:t>
      </w:r>
    </w:p>
    <w:p>
      <w:pPr>
        <w:spacing w:line="560" w:lineRule="exact"/>
        <w:rPr>
          <w:rFonts w:ascii="黑体" w:eastAsia="黑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仿宋_GB2312" w:eastAsia="仿宋_GB2312"/>
          <w:sz w:val="32"/>
          <w:szCs w:val="32"/>
        </w:rPr>
      </w:pPr>
      <w:r>
        <w:rPr>
          <w:rFonts w:hint="eastAsia" w:ascii="仿宋_GB2312" w:hAnsi="仿宋_GB2312" w:eastAsia="仿宋_GB2312" w:cs="仿宋_GB2312"/>
          <w:color w:val="000000" w:themeColor="text1"/>
          <w:sz w:val="32"/>
          <w:szCs w:val="32"/>
        </w:rPr>
        <w:t>柳州市交通学校</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8"/>
        <w:textAlignment w:val="auto"/>
        <w:outlineLvl w:val="9"/>
        <w:rPr>
          <w:rFonts w:hint="eastAsia" w:ascii="仿宋_GB2312" w:hAnsi="仿宋_GB2312" w:eastAsia="仿宋_GB2312" w:cs="仿宋_GB2312"/>
          <w:sz w:val="32"/>
          <w:szCs w:val="32"/>
        </w:rPr>
      </w:pPr>
      <w:r>
        <w:rPr>
          <w:rFonts w:hint="eastAsia" w:ascii="仿宋_GB2312" w:eastAsia="仿宋_GB2312" w:cs="仿宋_GB2312"/>
          <w:sz w:val="32"/>
          <w:szCs w:val="32"/>
          <w:lang w:eastAsia="zh-CN"/>
        </w:rPr>
        <w:t>我委以柳发改规划〔2021〕</w:t>
      </w:r>
      <w:r>
        <w:rPr>
          <w:rFonts w:hint="eastAsia" w:ascii="仿宋_GB2312" w:eastAsia="仿宋_GB2312" w:cs="仿宋_GB2312"/>
          <w:sz w:val="32"/>
          <w:szCs w:val="32"/>
          <w:lang w:val="en-US" w:eastAsia="zh-CN"/>
        </w:rPr>
        <w:t>255</w:t>
      </w:r>
      <w:r>
        <w:rPr>
          <w:rFonts w:hint="eastAsia" w:ascii="仿宋_GB2312" w:eastAsia="仿宋_GB2312" w:cs="仿宋_GB2312"/>
          <w:sz w:val="32"/>
          <w:szCs w:val="32"/>
          <w:lang w:eastAsia="zh-CN"/>
        </w:rPr>
        <w:t>号文批复了柳州市交通学校改扩建项目——学生食堂、2#实训综合楼可行性研究报告，投资项目审批监管平台项目代码为2111-450200-04-01-555787，关联主代码2018-450200-82-01-036464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因招标方式变更、投资规模变更，现调整柳州市交通学校改扩建项目——学生食堂、2#实训综合楼可行性研究报告批复</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8"/>
        <w:textAlignment w:val="auto"/>
        <w:outlineLvl w:val="9"/>
        <w:rPr>
          <w:rFonts w:ascii="仿宋_GB2312" w:eastAsia="仿宋_GB2312"/>
          <w:sz w:val="32"/>
          <w:szCs w:val="32"/>
          <w:highlight w:val="none"/>
        </w:rPr>
      </w:pPr>
      <w:r>
        <w:rPr>
          <w:rFonts w:hint="eastAsia" w:ascii="仿宋_GB2312" w:eastAsia="仿宋_GB2312" w:cs="仿宋_GB2312"/>
          <w:color w:val="000000" w:themeColor="text1"/>
          <w:sz w:val="32"/>
          <w:szCs w:val="32"/>
        </w:rPr>
        <w:t>一、</w:t>
      </w:r>
      <w:r>
        <w:rPr>
          <w:rFonts w:hint="eastAsia" w:ascii="仿宋_GB2312" w:eastAsia="仿宋_GB2312" w:cs="仿宋_GB2312"/>
          <w:color w:val="000000" w:themeColor="text1"/>
          <w:sz w:val="32"/>
          <w:szCs w:val="32"/>
          <w:lang w:eastAsia="zh-CN"/>
        </w:rPr>
        <w:t>因</w:t>
      </w:r>
      <w:r>
        <w:rPr>
          <w:rFonts w:hint="eastAsia" w:ascii="仿宋_GB2312" w:eastAsia="仿宋_GB2312" w:cs="仿宋_GB2312"/>
          <w:color w:val="000000" w:themeColor="text1"/>
          <w:sz w:val="32"/>
          <w:szCs w:val="32"/>
        </w:rPr>
        <w:t>本项目为改扩建项目，场地原有</w:t>
      </w:r>
      <w:r>
        <w:rPr>
          <w:rFonts w:hint="eastAsia" w:ascii="仿宋_GB2312" w:eastAsia="仿宋_GB2312" w:cs="仿宋_GB2312"/>
          <w:color w:val="000000" w:themeColor="text1"/>
          <w:sz w:val="32"/>
          <w:szCs w:val="32"/>
          <w:lang w:eastAsia="zh-CN"/>
        </w:rPr>
        <w:t>地质</w:t>
      </w:r>
      <w:r>
        <w:rPr>
          <w:rFonts w:hint="eastAsia" w:ascii="仿宋_GB2312" w:eastAsia="仿宋_GB2312" w:cs="仿宋_GB2312"/>
          <w:color w:val="000000" w:themeColor="text1"/>
          <w:sz w:val="32"/>
          <w:szCs w:val="32"/>
        </w:rPr>
        <w:t>条件良好，原则上无需进行施工勘察，</w:t>
      </w:r>
      <w:r>
        <w:rPr>
          <w:rFonts w:hint="eastAsia" w:ascii="仿宋_GB2312" w:eastAsia="仿宋_GB2312" w:cs="仿宋_GB2312"/>
          <w:color w:val="000000" w:themeColor="text1"/>
          <w:sz w:val="32"/>
          <w:szCs w:val="32"/>
          <w:lang w:eastAsia="zh-CN"/>
        </w:rPr>
        <w:t>勘察费用</w:t>
      </w:r>
      <w:r>
        <w:rPr>
          <w:rFonts w:hint="eastAsia" w:ascii="仿宋_GB2312" w:eastAsia="仿宋_GB2312" w:cs="仿宋_GB2312"/>
          <w:color w:val="000000" w:themeColor="text1"/>
          <w:sz w:val="32"/>
          <w:szCs w:val="32"/>
        </w:rPr>
        <w:t>金额由原101.15万元调整为40</w:t>
      </w:r>
      <w:r>
        <w:rPr>
          <w:rFonts w:hint="eastAsia" w:ascii="仿宋_GB2312" w:eastAsia="仿宋_GB2312" w:cs="仿宋_GB2312"/>
          <w:color w:val="000000" w:themeColor="text1"/>
          <w:sz w:val="32"/>
          <w:szCs w:val="32"/>
          <w:lang w:val="en-US" w:eastAsia="zh-CN"/>
        </w:rPr>
        <w:t>.00</w:t>
      </w:r>
      <w:r>
        <w:rPr>
          <w:rFonts w:hint="eastAsia" w:ascii="仿宋_GB2312" w:eastAsia="仿宋_GB2312" w:cs="仿宋_GB2312"/>
          <w:color w:val="000000" w:themeColor="text1"/>
          <w:sz w:val="32"/>
          <w:szCs w:val="32"/>
        </w:rPr>
        <w:t>万元</w:t>
      </w:r>
      <w:r>
        <w:rPr>
          <w:rFonts w:hint="eastAsia" w:ascii="仿宋_GB2312" w:eastAsia="仿宋_GB2312" w:cs="仿宋_GB2312"/>
          <w:color w:val="000000" w:themeColor="text1"/>
          <w:sz w:val="32"/>
          <w:szCs w:val="32"/>
          <w:lang w:eastAsia="zh-CN"/>
        </w:rPr>
        <w:t>，</w:t>
      </w:r>
      <w:r>
        <w:rPr>
          <w:rFonts w:hint="eastAsia" w:ascii="仿宋_GB2312" w:eastAsia="仿宋_GB2312" w:cs="仿宋_GB2312"/>
          <w:color w:val="000000" w:themeColor="text1"/>
          <w:sz w:val="32"/>
          <w:szCs w:val="32"/>
        </w:rPr>
        <w:t>调整勘察招标方式为不采用招标方式。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s="仿宋_GB2312"/>
          <w:sz w:val="32"/>
          <w:szCs w:val="32"/>
          <w:lang w:eastAsia="zh-CN"/>
        </w:rPr>
        <w:t>二</w:t>
      </w:r>
      <w:r>
        <w:rPr>
          <w:rFonts w:hint="eastAsia" w:ascii="仿宋_GB2312" w:eastAsia="仿宋_GB2312" w:cs="仿宋_GB2312"/>
          <w:sz w:val="32"/>
          <w:szCs w:val="32"/>
        </w:rPr>
        <w:t>、</w:t>
      </w:r>
      <w:r>
        <w:rPr>
          <w:rFonts w:hint="eastAsia" w:ascii="仿宋_GB2312" w:eastAsia="仿宋_GB2312" w:cs="仿宋_GB2312"/>
          <w:sz w:val="32"/>
          <w:szCs w:val="32"/>
          <w:lang w:eastAsia="zh-CN"/>
        </w:rPr>
        <w:t>因勘察费用调整，</w:t>
      </w:r>
      <w:r>
        <w:rPr>
          <w:rFonts w:hint="eastAsia" w:ascii="仿宋_GB2312" w:eastAsia="仿宋_GB2312" w:cs="仿宋_GB2312"/>
          <w:sz w:val="32"/>
          <w:szCs w:val="32"/>
        </w:rPr>
        <w:t>投资规模</w:t>
      </w:r>
      <w:r>
        <w:rPr>
          <w:rFonts w:hint="eastAsia" w:ascii="仿宋_GB2312" w:eastAsia="仿宋_GB2312" w:cs="仿宋_GB2312"/>
          <w:sz w:val="32"/>
          <w:szCs w:val="32"/>
          <w:lang w:eastAsia="zh-CN"/>
        </w:rPr>
        <w:t>调整为</w:t>
      </w:r>
      <w:r>
        <w:rPr>
          <w:rFonts w:hint="eastAsia" w:ascii="仿宋_GB2312" w:eastAsia="仿宋_GB2312" w:cs="仿宋_GB2312"/>
          <w:sz w:val="32"/>
          <w:szCs w:val="32"/>
        </w:rPr>
        <w:t>：项目总投资估算</w:t>
      </w:r>
      <w:r>
        <w:rPr>
          <w:rFonts w:hint="eastAsia" w:ascii="仿宋_GB2312" w:eastAsia="仿宋_GB2312"/>
          <w:color w:val="000000"/>
          <w:sz w:val="32"/>
          <w:szCs w:val="32"/>
          <w:lang w:val="en-US" w:eastAsia="zh-CN"/>
        </w:rPr>
        <w:t>7275.82</w:t>
      </w:r>
      <w:r>
        <w:rPr>
          <w:rFonts w:hint="eastAsia" w:ascii="仿宋_GB2312" w:eastAsia="仿宋_GB2312" w:cs="仿宋_GB2312"/>
          <w:sz w:val="32"/>
          <w:szCs w:val="32"/>
        </w:rPr>
        <w:t>万元，其中工程费用</w:t>
      </w:r>
      <w:r>
        <w:rPr>
          <w:rFonts w:hint="eastAsia" w:ascii="仿宋_GB2312" w:eastAsia="仿宋_GB2312"/>
          <w:color w:val="000000"/>
          <w:sz w:val="32"/>
          <w:szCs w:val="32"/>
        </w:rPr>
        <w:t>5949.80</w:t>
      </w:r>
      <w:r>
        <w:rPr>
          <w:rFonts w:hint="eastAsia" w:ascii="仿宋_GB2312" w:eastAsia="仿宋_GB2312" w:cs="仿宋_GB2312"/>
          <w:sz w:val="32"/>
          <w:szCs w:val="32"/>
        </w:rPr>
        <w:t>万元、工程建设其他费用</w:t>
      </w:r>
      <w:r>
        <w:rPr>
          <w:rFonts w:hint="eastAsia" w:ascii="仿宋_GB2312" w:eastAsia="仿宋_GB2312"/>
          <w:color w:val="000000"/>
          <w:sz w:val="32"/>
          <w:szCs w:val="32"/>
          <w:lang w:val="en-US" w:eastAsia="zh-CN"/>
        </w:rPr>
        <w:t>979.55</w:t>
      </w:r>
      <w:r>
        <w:rPr>
          <w:rFonts w:hint="eastAsia" w:ascii="仿宋_GB2312" w:eastAsia="仿宋_GB2312" w:cs="仿宋_GB2312"/>
          <w:sz w:val="32"/>
          <w:szCs w:val="32"/>
        </w:rPr>
        <w:t>万元（不含土地费）、基本预备费</w:t>
      </w:r>
      <w:r>
        <w:rPr>
          <w:rFonts w:hint="eastAsia" w:ascii="仿宋_GB2312" w:eastAsia="仿宋_GB2312"/>
          <w:color w:val="000000"/>
          <w:sz w:val="32"/>
          <w:szCs w:val="32"/>
          <w:lang w:val="en-US" w:eastAsia="zh-CN"/>
        </w:rPr>
        <w:t>346.47</w:t>
      </w:r>
      <w:r>
        <w:rPr>
          <w:rFonts w:hint="eastAsia" w:asci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其余事项仍按柳发改规划〔2021〕255号文执行</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8"/>
        <w:textAlignment w:val="auto"/>
        <w:outlineLvl w:val="9"/>
        <w:rPr>
          <w:rFonts w:ascii="仿宋_GB2312" w:eastAsia="仿宋_GB2312"/>
          <w:sz w:val="32"/>
          <w:szCs w:val="32"/>
        </w:rPr>
      </w:pPr>
      <w:r>
        <w:rPr>
          <w:rFonts w:hint="eastAsia" w:ascii="仿宋_GB2312" w:eastAsia="仿宋_GB2312"/>
          <w:sz w:val="32"/>
          <w:szCs w:val="32"/>
        </w:rPr>
        <w:t>（自治区发展改革委接收领导干部插手工程建设廉政监督信访举报电话：0771-2328688,自治区纪委监委驻自治区发展改革委纪检监察组接收领导干部插手工程建设廉政监督信访举报电话：0771-12388，收信地址：广西壮族自治区纪委监委驻自治区发展改革委纪检监察组，邮编：530028；</w:t>
      </w:r>
    </w:p>
    <w:p>
      <w:pPr>
        <w:keepNext w:val="0"/>
        <w:keepLines w:val="0"/>
        <w:pageBreakBefore w:val="0"/>
        <w:widowControl w:val="0"/>
        <w:kinsoku/>
        <w:wordWrap/>
        <w:overflowPunct/>
        <w:topLinePunct w:val="0"/>
        <w:autoSpaceDE/>
        <w:autoSpaceDN/>
        <w:bidi w:val="0"/>
        <w:adjustRightInd/>
        <w:snapToGrid/>
        <w:spacing w:line="600" w:lineRule="exact"/>
        <w:ind w:firstLine="648"/>
        <w:textAlignment w:val="auto"/>
        <w:outlineLvl w:val="9"/>
        <w:rPr>
          <w:rFonts w:ascii="仿宋_GB2312" w:eastAsia="仿宋_GB2312"/>
          <w:sz w:val="32"/>
          <w:szCs w:val="32"/>
        </w:rPr>
      </w:pPr>
      <w:r>
        <w:rPr>
          <w:rFonts w:hint="eastAsia" w:ascii="仿宋_GB2312" w:eastAsia="仿宋_GB2312"/>
          <w:sz w:val="32"/>
          <w:szCs w:val="32"/>
        </w:rPr>
        <w:t>柳州市发展改革委接收领导干部插手工程建设廉政监督信访举报电话：0772-2826710，柳州市纪委监委驻市发展改革委纪检监察组接收领导干部插手工程建设廉政监督信访举报电话：0772-12388，收信地址：柳州市城中区文昌路66号文昌综合楼柳州市纪委监委驻市发展改革委纪检监察组，邮编：545006。）</w:t>
      </w:r>
    </w:p>
    <w:p>
      <w:pPr>
        <w:pStyle w:val="7"/>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pPr>
    </w:p>
    <w:p>
      <w:pPr>
        <w:pStyle w:val="7"/>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pPr>
    </w:p>
    <w:p>
      <w:pPr>
        <w:pStyle w:val="7"/>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left"/>
        <w:textAlignment w:val="auto"/>
        <w:outlineLvl w:val="9"/>
        <w:rPr>
          <w:rFonts w:ascii="仿宋_GB2312" w:eastAsia="仿宋_GB2312"/>
          <w:color w:val="000000"/>
          <w:sz w:val="32"/>
          <w:szCs w:val="32"/>
        </w:rPr>
      </w:pPr>
      <w:r>
        <w:rPr>
          <w:sz w:val="32"/>
        </w:rPr>
        <w:pict>
          <v:rect id="KGD_61A48599$01$05$00011" o:spid="_x0000_s2062" o:spt="1" alt="nwkOiId/bBbOAe61rgYT4vXM3UaFFF0tl2W9B2ekj1Z7kYnHXrUHbs1gN35c90qvbm37E6WODGPaRgsUpIhd+rvBqpjxKNpgY2T83vkcIelEY7eb39AonfG1I8FpTtULxqM6tABmaD+UHLOHSV9f/Jhq1dDxJDwOpXs1HNKKc5DLUWkgBOKn0dXoF5vE21/I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Cf3gKzd5gGb4JNH1+beSsArAGgglrBx/o/RcpBywgF/JHPpBTlDtous0K0IXIMgRBn0xwwGsIvmtKtDOPGf4e8/qSWZpEtGD8WLYs7aRMhAYkrt8iDDOBgiXNTn7F7vbxyFQYnQRCrWQ3Av69tA4X+glCqRIMFXWC6s97VV+G6I4KFVotA80FJG9NeKDmZwBghKY8oTG9z0Vkm3s+X4Jq7ZpNbxJ3AV1KiZdZyUbBJXn7LHQVjEppunCaJn/8Njggj/HT72Mh05oMJnJ2sVBPNbR8NDOsqc7moTPrCFoh1+rLSKpURpxy6lJCQ85xoI0g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MunqV8CwKzK3d1nKomKcjnMGfi9jm/aJJsvwqVMj3Rfvi+mVPfb2pMVkOrUTINIc1ZlEcaILff5Sr64JIS4QLV+B/RH8aWN5UipArh19L4/yA3FpkJIGJhvPIAZfgc/VKeTSr60746FHN+Hnb4ITr+7QruTF1vAV094MTIVBl77AdMDZdLdRDUt/yqAMdFhmUETf3oFo3MKtxxZTjqzBXJhmj78vd03Li3IOm/wmaPX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style="position:absolute;left:0pt;margin-left:-89.3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style="position:absolute;left:0pt;margin-left:-89.3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style="position:absolute;left:0pt;margin-left:-89.3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style="position:absolute;left:0pt;margin-left:-89.3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style="position:absolute;left:0pt;margin-left:-89.3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style="position:absolute;left:0pt;margin-left:-89.3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style="position:absolute;left:0pt;margin-left:-89.3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style="position:absolute;left:0pt;margin-left:-89.3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C2DXgeUY2IV3JE3eetYDOqdqrGnq39IW4xiQOM8WWHBlvLxjVcd9tOEaqkuIZoZAX8FkSnjLqTIRHRGFJ8jG41j3xqp2SZHcVHcCt7rE68UMygSP5hhwjrik9za3WtJHsqo6M2GvwbETK/WHSKVDcIFG8//w0ibCDD39F56I1NFW2FUHlIWoLQFs5r/sXRibTmtIqS75v63eVRGskXBNENSVh/wyjQg1olUmO/IuaO4rTvy0+OOS6AJmS3ttkt/a7R3Zi60zsT1nxdllyg5WxLJbT+4o9IlyK4ax35MgUXQx+2fmh7p1aMCUmGRRfeZj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vFg12FXJgibre2igh604d78RdtP5UnHY1C1syxgBODspxfwd/Vh7hkfdfmpcdzCokWfy0wK1lF0pZCBbgFmb/fHCnoGOscv1Uo9T29ErS9sYllxp9WkwmzMbTsS3o7pGNNvzw0NJt+Ve4iwbcaJT1bXadiItBaRt8GKf7DS3ReHL4LuXsdTUubHmpzcfH/uDzP8zGdUgoOCcB0tGxSDRFM=" style="position:absolute;left:0pt;margin-left:-89.35pt;margin-top:-94.9pt;height:5pt;width:5pt;visibility:hidden;z-index:251671552;mso-width-relative:page;mso-height-relative:page;" fillcolor="#FFFFFF" filled="t" stroked="t" coordsize="21600,21600">
            <v:path/>
            <v:fill on="t" focussize="0,0"/>
            <v:stroke color="#000000"/>
            <v:imagedata o:title=""/>
            <o:lock v:ext="edit" aspectratio="f"/>
          </v:rect>
        </w:pict>
      </w:r>
      <w:r>
        <w:rPr>
          <w:rFonts w:hint="eastAsia" w:ascii="仿宋_GB2312" w:eastAsia="仿宋_GB2312"/>
          <w:color w:val="000000"/>
          <w:sz w:val="32"/>
          <w:szCs w:val="32"/>
        </w:rPr>
        <w:t>附件:招标事项核准意见表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仿宋_GB2312" w:eastAsia="仿宋_GB2312"/>
          <w:color w:val="000000"/>
          <w:sz w:val="32"/>
          <w:szCs w:val="32"/>
        </w:rPr>
      </w:pPr>
    </w:p>
    <w:p>
      <w:pPr>
        <w:pStyle w:val="2"/>
        <w:rPr>
          <w:rFonts w:ascii="仿宋_GB2312" w:eastAsia="仿宋_GB2312"/>
          <w:color w:val="000000"/>
          <w:sz w:val="32"/>
          <w:szCs w:val="32"/>
        </w:rPr>
      </w:pPr>
    </w:p>
    <w:p>
      <w:r>
        <w:rPr>
          <w:sz w:val="21"/>
        </w:rPr>
        <w:pict>
          <v:rect id="KG_Shd_3" o:spid="_x0000_s2052" o:spt="1" style="position:absolute;left:0pt;margin-left:-297.65pt;margin-top:-420.95pt;height:1683.8pt;width:1190.6pt;z-index:251681792;mso-width-relative:page;mso-height-relative:page;" fillcolor="#FFFFFF" filled="t" stroked="t" coordsize="21600,21600">
            <v:path/>
            <v:fill on="t" opacity="0f" focussize="0,0"/>
            <v:stroke color="#FFFFFF" opacity="0f"/>
            <v:imagedata o:title=""/>
            <o:lock v:ext="edit" aspectratio="f"/>
          </v:rect>
        </w:pict>
      </w:r>
      <w:r>
        <w:rPr>
          <w:sz w:val="21"/>
        </w:rPr>
        <w:drawing>
          <wp:anchor distT="0" distB="0" distL="114300" distR="114300" simplePos="0" relativeHeight="251670528" behindDoc="0" locked="1" layoutInCell="1" allowOverlap="1">
            <wp:simplePos x="0" y="0"/>
            <wp:positionH relativeFrom="page">
              <wp:posOffset>4133850</wp:posOffset>
            </wp:positionH>
            <wp:positionV relativeFrom="page">
              <wp:posOffset>2603500</wp:posOffset>
            </wp:positionV>
            <wp:extent cx="1447165" cy="1464945"/>
            <wp:effectExtent l="0" t="0" r="635" b="1905"/>
            <wp:wrapNone/>
            <wp:docPr id="1" name="KG_61A48599$01$05$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1A48599$01$05$0001$N$000300" descr="Seal"/>
                    <pic:cNvPicPr>
                      <a:picLocks noChangeAspect="1"/>
                    </pic:cNvPicPr>
                  </pic:nvPicPr>
                  <pic:blipFill>
                    <a:blip r:embed="rId6"/>
                    <a:stretch>
                      <a:fillRect/>
                    </a:stretch>
                  </pic:blipFill>
                  <pic:spPr>
                    <a:xfrm>
                      <a:off x="0" y="0"/>
                      <a:ext cx="1447165" cy="14649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仿宋_GB2312" w:eastAsia="仿宋_GB2312"/>
          <w:sz w:val="32"/>
          <w:szCs w:val="32"/>
        </w:rPr>
      </w:pPr>
      <w:r>
        <w:rPr>
          <w:rFonts w:hint="eastAsia" w:ascii="仿宋_GB2312" w:eastAsia="仿宋_GB2312"/>
          <w:sz w:val="32"/>
          <w:szCs w:val="32"/>
        </w:rPr>
        <w:t xml:space="preserve">                           柳州市发展和改革委员会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4736" w:firstLineChars="1480"/>
        <w:jc w:val="left"/>
        <w:textAlignment w:val="auto"/>
        <w:outlineLvl w:val="9"/>
        <w:rPr>
          <w:rFonts w:ascii="仿宋_GB2312" w:eastAsia="仿宋_GB2312"/>
          <w:sz w:val="32"/>
          <w:szCs w:val="32"/>
        </w:rPr>
      </w:pPr>
      <w:r>
        <w:rPr>
          <w:rFonts w:hint="eastAsia" w:ascii="仿宋_GB2312" w:eastAsia="仿宋_GB2312"/>
          <w:sz w:val="32"/>
          <w:szCs w:val="32"/>
        </w:rPr>
        <w:t>2021年11月</w:t>
      </w:r>
      <w:r>
        <w:rPr>
          <w:rFonts w:hint="eastAsia" w:ascii="仿宋_GB2312" w:eastAsia="仿宋_GB2312"/>
          <w:sz w:val="32"/>
          <w:szCs w:val="32"/>
          <w:lang w:val="en-US" w:eastAsia="zh-CN"/>
        </w:rPr>
        <w:t>23</w:t>
      </w:r>
      <w:r>
        <w:rPr>
          <w:rFonts w:hint="eastAsia" w:ascii="仿宋_GB2312" w:eastAsia="仿宋_GB2312"/>
          <w:sz w:val="32"/>
          <w:szCs w:val="32"/>
        </w:rPr>
        <w:t>日</w:t>
      </w: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r>
        <w:rPr>
          <w:rFonts w:hint="eastAsia" w:eastAsia="仿宋_GB2312"/>
          <w:sz w:val="32"/>
          <w:szCs w:val="32"/>
        </w:rPr>
        <w:t xml:space="preserve"> </w:t>
      </w:r>
    </w:p>
    <w:p>
      <w:pPr>
        <w:spacing w:line="360" w:lineRule="exact"/>
        <w:rPr>
          <w:rFonts w:eastAsia="仿宋_GB2312"/>
          <w:sz w:val="30"/>
          <w:szCs w:val="30"/>
          <w:u w:val="single"/>
        </w:rPr>
      </w:pPr>
    </w:p>
    <w:p>
      <w:pPr>
        <w:pStyle w:val="7"/>
        <w:ind w:firstLine="560"/>
      </w:pPr>
    </w:p>
    <w:p>
      <w:pPr>
        <w:pStyle w:val="7"/>
        <w:ind w:left="0" w:leftChars="0" w:firstLine="0" w:firstLineChars="0"/>
      </w:pPr>
    </w:p>
    <w:p>
      <w:pPr>
        <w:pStyle w:val="7"/>
        <w:ind w:firstLine="560"/>
      </w:pPr>
    </w:p>
    <w:p>
      <w:pPr>
        <w:spacing w:line="400" w:lineRule="exact"/>
        <w:rPr>
          <w:rFonts w:ascii="楷体_GB2312" w:hAnsi="宋体" w:eastAsia="楷体_GB2312" w:cs="宋体"/>
          <w:b/>
          <w:sz w:val="32"/>
          <w:szCs w:val="32"/>
          <w:u w:val="single"/>
        </w:rPr>
      </w:pPr>
      <w:r>
        <w:rPr>
          <w:rFonts w:hint="eastAsia" w:ascii="楷体_GB2312" w:hAnsi="宋体" w:eastAsia="楷体_GB2312" w:cs="宋体"/>
          <w:b/>
          <w:sz w:val="32"/>
          <w:szCs w:val="32"/>
          <w:u w:val="single"/>
        </w:rPr>
        <w:t xml:space="preserve">政府信息公开选项：主动公开                            </w:t>
      </w:r>
    </w:p>
    <w:p>
      <w:pPr>
        <w:spacing w:line="420" w:lineRule="exact"/>
        <w:rPr>
          <w:rFonts w:eastAsia="仿宋_GB2312"/>
          <w:sz w:val="30"/>
          <w:szCs w:val="30"/>
          <w:u w:val="single"/>
        </w:rPr>
      </w:pPr>
      <w:r>
        <w:rPr>
          <w:rFonts w:eastAsia="仿宋_GB2312"/>
          <w:sz w:val="30"/>
          <w:szCs w:val="30"/>
          <w:u w:val="single"/>
        </w:rPr>
        <w:t xml:space="preserve"> </w:t>
      </w:r>
      <w:r>
        <w:rPr>
          <w:rFonts w:hint="eastAsia" w:eastAsia="仿宋_GB2312"/>
          <w:sz w:val="30"/>
          <w:szCs w:val="30"/>
          <w:u w:val="single"/>
        </w:rPr>
        <w:t xml:space="preserve">抄送：市教育局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sz w:val="28"/>
          <w:szCs w:val="28"/>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pPr>
        <w:spacing w:line="56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柳州市发展和改革委员会             2021年11月</w:t>
      </w:r>
      <w:r>
        <w:rPr>
          <w:rFonts w:hint="eastAsia" w:ascii="仿宋_GB2312" w:hAnsi="仿宋_GB2312" w:eastAsia="仿宋_GB2312" w:cs="仿宋_GB2312"/>
          <w:sz w:val="30"/>
          <w:szCs w:val="30"/>
          <w:u w:val="single"/>
          <w:lang w:val="en-US" w:eastAsia="zh-CN"/>
        </w:rPr>
        <w:t>23</w:t>
      </w:r>
      <w:r>
        <w:rPr>
          <w:rFonts w:hint="eastAsia" w:ascii="仿宋_GB2312" w:hAnsi="仿宋_GB2312" w:eastAsia="仿宋_GB2312" w:cs="仿宋_GB2312"/>
          <w:sz w:val="30"/>
          <w:szCs w:val="30"/>
          <w:u w:val="single"/>
        </w:rPr>
        <w:t xml:space="preserve">日印发    </w:t>
      </w:r>
    </w:p>
    <w:p>
      <w:r>
        <w:br w:type="page"/>
      </w:r>
    </w:p>
    <w:p>
      <w:pPr>
        <w:pStyle w:val="7"/>
        <w:ind w:firstLine="560"/>
      </w:pPr>
    </w:p>
    <w:tbl>
      <w:tblPr>
        <w:tblStyle w:val="10"/>
        <w:tblW w:w="10842" w:type="dxa"/>
        <w:tblInd w:w="0" w:type="dxa"/>
        <w:tblLayout w:type="fixed"/>
        <w:tblCellMar>
          <w:top w:w="15" w:type="dxa"/>
          <w:left w:w="15" w:type="dxa"/>
          <w:bottom w:w="15" w:type="dxa"/>
          <w:right w:w="15" w:type="dxa"/>
        </w:tblCellMar>
      </w:tblPr>
      <w:tblGrid>
        <w:gridCol w:w="1383"/>
        <w:gridCol w:w="681"/>
        <w:gridCol w:w="396"/>
        <w:gridCol w:w="247"/>
        <w:gridCol w:w="707"/>
        <w:gridCol w:w="396"/>
        <w:gridCol w:w="309"/>
        <w:gridCol w:w="722"/>
        <w:gridCol w:w="268"/>
        <w:gridCol w:w="465"/>
        <w:gridCol w:w="833"/>
        <w:gridCol w:w="127"/>
        <w:gridCol w:w="846"/>
        <w:gridCol w:w="774"/>
        <w:gridCol w:w="199"/>
        <w:gridCol w:w="1077"/>
        <w:gridCol w:w="90"/>
        <w:gridCol w:w="1322"/>
      </w:tblGrid>
      <w:tr>
        <w:tblPrEx>
          <w:tblLayout w:type="fixed"/>
          <w:tblCellMar>
            <w:top w:w="15" w:type="dxa"/>
            <w:left w:w="15" w:type="dxa"/>
            <w:bottom w:w="15" w:type="dxa"/>
            <w:right w:w="15" w:type="dxa"/>
          </w:tblCellMar>
        </w:tblPrEx>
        <w:trPr>
          <w:trHeight w:val="705" w:hRule="atLeast"/>
        </w:trPr>
        <w:tc>
          <w:tcPr>
            <w:tcW w:w="10842" w:type="dxa"/>
            <w:gridSpan w:val="18"/>
            <w:vAlign w:val="center"/>
          </w:tcPr>
          <w:p>
            <w:pPr>
              <w:widowControl/>
              <w:textAlignment w:val="center"/>
              <w:rPr>
                <w:rFonts w:eastAsia="黑体"/>
                <w:b/>
                <w:color w:val="000000"/>
                <w:sz w:val="28"/>
                <w:szCs w:val="28"/>
              </w:rPr>
            </w:pPr>
            <w:r>
              <w:rPr>
                <w:rFonts w:eastAsia="黑体"/>
                <w:bCs/>
                <w:color w:val="000000"/>
                <w:kern w:val="0"/>
                <w:sz w:val="28"/>
                <w:szCs w:val="28"/>
              </w:rPr>
              <w:t>附件：</w:t>
            </w:r>
            <w:r>
              <w:rPr>
                <w:rFonts w:eastAsia="黑体"/>
                <w:b/>
                <w:color w:val="000000"/>
                <w:kern w:val="0"/>
                <w:sz w:val="28"/>
                <w:szCs w:val="28"/>
              </w:rPr>
              <w:t xml:space="preserve">                招标事项核准意见表</w:t>
            </w:r>
          </w:p>
        </w:tc>
      </w:tr>
      <w:tr>
        <w:tblPrEx>
          <w:tblLayout w:type="fixed"/>
          <w:tblCellMar>
            <w:top w:w="15" w:type="dxa"/>
            <w:left w:w="15" w:type="dxa"/>
            <w:bottom w:w="15" w:type="dxa"/>
            <w:right w:w="15" w:type="dxa"/>
          </w:tblCellMar>
        </w:tblPrEx>
        <w:trPr>
          <w:trHeight w:val="570" w:hRule="atLeast"/>
        </w:trPr>
        <w:tc>
          <w:tcPr>
            <w:tcW w:w="1383" w:type="dxa"/>
            <w:vAlign w:val="center"/>
          </w:tcPr>
          <w:p>
            <w:pPr>
              <w:widowControl/>
              <w:jc w:val="center"/>
              <w:textAlignment w:val="center"/>
              <w:rPr>
                <w:color w:val="000000"/>
                <w:sz w:val="24"/>
                <w:szCs w:val="24"/>
              </w:rPr>
            </w:pPr>
            <w:r>
              <w:rPr>
                <w:rFonts w:hAnsi="宋体"/>
                <w:color w:val="000000"/>
                <w:kern w:val="0"/>
                <w:sz w:val="24"/>
                <w:szCs w:val="24"/>
              </w:rPr>
              <w:t>项目单位：</w:t>
            </w:r>
          </w:p>
        </w:tc>
        <w:tc>
          <w:tcPr>
            <w:tcW w:w="3726" w:type="dxa"/>
            <w:gridSpan w:val="8"/>
            <w:vAlign w:val="center"/>
          </w:tcPr>
          <w:p>
            <w:pPr>
              <w:widowControl/>
              <w:jc w:val="left"/>
              <w:textAlignment w:val="center"/>
              <w:rPr>
                <w:rFonts w:hAnsi="宋体"/>
                <w:color w:val="000000"/>
                <w:kern w:val="0"/>
                <w:sz w:val="24"/>
                <w:szCs w:val="24"/>
              </w:rPr>
            </w:pPr>
            <w:r>
              <w:rPr>
                <w:rFonts w:hint="eastAsia" w:hAnsi="宋体"/>
                <w:color w:val="000000"/>
                <w:kern w:val="0"/>
                <w:sz w:val="24"/>
                <w:szCs w:val="24"/>
              </w:rPr>
              <w:t>柳州市交通学校</w:t>
            </w:r>
          </w:p>
        </w:tc>
        <w:tc>
          <w:tcPr>
            <w:tcW w:w="1298" w:type="dxa"/>
            <w:gridSpan w:val="2"/>
            <w:vAlign w:val="center"/>
          </w:tcPr>
          <w:p>
            <w:pPr>
              <w:widowControl/>
              <w:jc w:val="left"/>
              <w:textAlignment w:val="center"/>
              <w:rPr>
                <w:rFonts w:hAnsi="宋体"/>
                <w:color w:val="000000"/>
                <w:kern w:val="0"/>
                <w:sz w:val="24"/>
                <w:szCs w:val="24"/>
              </w:rPr>
            </w:pPr>
          </w:p>
        </w:tc>
        <w:tc>
          <w:tcPr>
            <w:tcW w:w="973" w:type="dxa"/>
            <w:gridSpan w:val="2"/>
            <w:vAlign w:val="center"/>
          </w:tcPr>
          <w:p>
            <w:pPr>
              <w:widowControl/>
              <w:jc w:val="left"/>
              <w:textAlignment w:val="center"/>
              <w:rPr>
                <w:rFonts w:hAnsi="宋体"/>
                <w:color w:val="000000"/>
                <w:kern w:val="0"/>
                <w:sz w:val="24"/>
                <w:szCs w:val="24"/>
              </w:rPr>
            </w:pPr>
          </w:p>
        </w:tc>
        <w:tc>
          <w:tcPr>
            <w:tcW w:w="973" w:type="dxa"/>
            <w:gridSpan w:val="2"/>
            <w:vAlign w:val="center"/>
          </w:tcPr>
          <w:p>
            <w:pPr>
              <w:widowControl/>
              <w:jc w:val="left"/>
              <w:textAlignment w:val="center"/>
              <w:rPr>
                <w:rFonts w:hAnsi="宋体"/>
                <w:color w:val="000000"/>
                <w:kern w:val="0"/>
                <w:sz w:val="24"/>
                <w:szCs w:val="24"/>
              </w:rPr>
            </w:pPr>
          </w:p>
        </w:tc>
        <w:tc>
          <w:tcPr>
            <w:tcW w:w="1077" w:type="dxa"/>
            <w:vAlign w:val="center"/>
          </w:tcPr>
          <w:p>
            <w:pPr>
              <w:widowControl/>
              <w:jc w:val="left"/>
              <w:textAlignment w:val="center"/>
              <w:rPr>
                <w:rFonts w:hAnsi="宋体"/>
                <w:color w:val="000000"/>
                <w:kern w:val="0"/>
                <w:sz w:val="24"/>
                <w:szCs w:val="24"/>
              </w:rPr>
            </w:pPr>
          </w:p>
        </w:tc>
        <w:tc>
          <w:tcPr>
            <w:tcW w:w="1412" w:type="dxa"/>
            <w:gridSpan w:val="2"/>
            <w:vAlign w:val="center"/>
          </w:tcPr>
          <w:p>
            <w:pPr>
              <w:widowControl/>
              <w:jc w:val="left"/>
              <w:textAlignment w:val="center"/>
              <w:rPr>
                <w:rFonts w:hAnsi="宋体"/>
                <w:color w:val="000000"/>
                <w:kern w:val="0"/>
                <w:sz w:val="24"/>
                <w:szCs w:val="24"/>
              </w:rPr>
            </w:pPr>
          </w:p>
        </w:tc>
      </w:tr>
      <w:tr>
        <w:tblPrEx>
          <w:tblLayout w:type="fixed"/>
          <w:tblCellMar>
            <w:top w:w="15" w:type="dxa"/>
            <w:left w:w="15" w:type="dxa"/>
            <w:bottom w:w="15" w:type="dxa"/>
            <w:right w:w="15" w:type="dxa"/>
          </w:tblCellMar>
        </w:tblPrEx>
        <w:trPr>
          <w:trHeight w:val="570" w:hRule="atLeast"/>
        </w:trPr>
        <w:tc>
          <w:tcPr>
            <w:tcW w:w="1383" w:type="dxa"/>
            <w:tcBorders>
              <w:bottom w:val="nil"/>
            </w:tcBorders>
            <w:vAlign w:val="center"/>
          </w:tcPr>
          <w:p>
            <w:pPr>
              <w:widowControl/>
              <w:jc w:val="center"/>
              <w:textAlignment w:val="center"/>
              <w:rPr>
                <w:color w:val="000000"/>
                <w:sz w:val="24"/>
                <w:szCs w:val="24"/>
              </w:rPr>
            </w:pPr>
            <w:r>
              <w:rPr>
                <w:rFonts w:hAnsi="宋体"/>
                <w:color w:val="000000"/>
                <w:kern w:val="0"/>
                <w:sz w:val="24"/>
                <w:szCs w:val="24"/>
              </w:rPr>
              <w:t>项目名称：</w:t>
            </w:r>
          </w:p>
        </w:tc>
        <w:tc>
          <w:tcPr>
            <w:tcW w:w="9459" w:type="dxa"/>
            <w:gridSpan w:val="17"/>
            <w:tcBorders>
              <w:bottom w:val="nil"/>
            </w:tcBorders>
            <w:vAlign w:val="center"/>
          </w:tcPr>
          <w:p>
            <w:pPr>
              <w:widowControl/>
              <w:jc w:val="left"/>
              <w:textAlignment w:val="center"/>
              <w:rPr>
                <w:rFonts w:hAnsi="宋体"/>
                <w:color w:val="000000"/>
                <w:kern w:val="0"/>
                <w:sz w:val="24"/>
                <w:szCs w:val="24"/>
              </w:rPr>
            </w:pPr>
            <w:r>
              <w:rPr>
                <w:rFonts w:hint="eastAsia" w:hAnsi="宋体"/>
                <w:color w:val="000000"/>
                <w:kern w:val="0"/>
                <w:sz w:val="24"/>
                <w:szCs w:val="24"/>
              </w:rPr>
              <w:t>柳州市交通学校改扩建项目——学生食堂、2#实训综合楼</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132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招标范围</w:t>
            </w:r>
          </w:p>
        </w:tc>
        <w:tc>
          <w:tcPr>
            <w:tcW w:w="141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招标组织</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形式</w:t>
            </w: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招标方式</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不采用招标方式</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估算金额</w:t>
            </w:r>
          </w:p>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（万元）</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全部招标</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部分招标</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自行招标</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委托招标</w:t>
            </w:r>
          </w:p>
        </w:tc>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公开招标</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邀请招标</w:t>
            </w: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设计</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236.17</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勘察</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4"/>
                <w:szCs w:val="24"/>
                <w:lang w:val="en-US"/>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4"/>
                <w:szCs w:val="24"/>
                <w:lang w:val="en-US"/>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4"/>
                <w:szCs w:val="24"/>
                <w:lang w:val="en-US"/>
              </w:rPr>
            </w:pP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4"/>
                <w:szCs w:val="24"/>
                <w:lang w:val="en-US"/>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40.00</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监理</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111.89</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建安工程及设备购置</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5949.80</w:t>
            </w:r>
          </w:p>
        </w:tc>
      </w:tr>
      <w:tr>
        <w:tblPrEx>
          <w:tblLayout w:type="fixed"/>
          <w:tblCellMar>
            <w:top w:w="15" w:type="dxa"/>
            <w:left w:w="15" w:type="dxa"/>
            <w:bottom w:w="15" w:type="dxa"/>
            <w:right w:w="15" w:type="dxa"/>
          </w:tblCellMar>
        </w:tblPrEx>
        <w:trPr>
          <w:gridAfter w:val="4"/>
          <w:wAfter w:w="2688" w:type="dxa"/>
          <w:trHeight w:val="525" w:hRule="atLeast"/>
        </w:trPr>
        <w:tc>
          <w:tcPr>
            <w:tcW w:w="2707" w:type="dxa"/>
            <w:gridSpan w:val="4"/>
            <w:tcBorders>
              <w:top w:val="single" w:color="auto" w:sz="4" w:space="0"/>
              <w:left w:val="single" w:color="000000" w:sz="4" w:space="0"/>
            </w:tcBorders>
            <w:vAlign w:val="center"/>
          </w:tcPr>
          <w:p>
            <w:pPr>
              <w:widowControl/>
              <w:jc w:val="left"/>
              <w:textAlignment w:val="center"/>
              <w:rPr>
                <w:color w:val="000000"/>
                <w:sz w:val="24"/>
                <w:szCs w:val="24"/>
              </w:rPr>
            </w:pPr>
            <w:r>
              <w:rPr>
                <w:rFonts w:hAnsi="宋体"/>
                <w:color w:val="000000"/>
                <w:kern w:val="0"/>
                <w:sz w:val="24"/>
                <w:szCs w:val="24"/>
              </w:rPr>
              <w:t>审批部门核准意见说明：</w:t>
            </w:r>
          </w:p>
        </w:tc>
        <w:tc>
          <w:tcPr>
            <w:tcW w:w="707" w:type="dxa"/>
            <w:tcBorders>
              <w:top w:val="single" w:color="auto" w:sz="4" w:space="0"/>
            </w:tcBorders>
            <w:vAlign w:val="center"/>
          </w:tcPr>
          <w:p>
            <w:pPr>
              <w:jc w:val="left"/>
              <w:rPr>
                <w:color w:val="000000"/>
                <w:sz w:val="24"/>
                <w:szCs w:val="24"/>
              </w:rPr>
            </w:pPr>
          </w:p>
        </w:tc>
        <w:tc>
          <w:tcPr>
            <w:tcW w:w="705" w:type="dxa"/>
            <w:gridSpan w:val="2"/>
            <w:tcBorders>
              <w:top w:val="single" w:color="auto" w:sz="4" w:space="0"/>
            </w:tcBorders>
            <w:vAlign w:val="center"/>
          </w:tcPr>
          <w:p>
            <w:pPr>
              <w:jc w:val="left"/>
              <w:rPr>
                <w:color w:val="000000"/>
                <w:sz w:val="24"/>
                <w:szCs w:val="24"/>
              </w:rPr>
            </w:pPr>
          </w:p>
        </w:tc>
        <w:tc>
          <w:tcPr>
            <w:tcW w:w="722" w:type="dxa"/>
            <w:tcBorders>
              <w:top w:val="single" w:color="auto" w:sz="4" w:space="0"/>
            </w:tcBorders>
            <w:vAlign w:val="center"/>
          </w:tcPr>
          <w:p>
            <w:pPr>
              <w:jc w:val="left"/>
              <w:rPr>
                <w:color w:val="000000"/>
                <w:sz w:val="24"/>
                <w:szCs w:val="24"/>
              </w:rPr>
            </w:pPr>
          </w:p>
        </w:tc>
        <w:tc>
          <w:tcPr>
            <w:tcW w:w="733" w:type="dxa"/>
            <w:gridSpan w:val="2"/>
            <w:tcBorders>
              <w:top w:val="single" w:color="auto" w:sz="4" w:space="0"/>
            </w:tcBorders>
            <w:vAlign w:val="center"/>
          </w:tcPr>
          <w:p>
            <w:pPr>
              <w:jc w:val="left"/>
              <w:rPr>
                <w:color w:val="000000"/>
                <w:sz w:val="24"/>
                <w:szCs w:val="24"/>
              </w:rPr>
            </w:pPr>
          </w:p>
        </w:tc>
        <w:tc>
          <w:tcPr>
            <w:tcW w:w="960" w:type="dxa"/>
            <w:gridSpan w:val="2"/>
            <w:tcBorders>
              <w:top w:val="single" w:color="auto" w:sz="4" w:space="0"/>
            </w:tcBorders>
            <w:vAlign w:val="center"/>
          </w:tcPr>
          <w:p>
            <w:pPr>
              <w:jc w:val="left"/>
              <w:rPr>
                <w:color w:val="000000"/>
                <w:sz w:val="24"/>
                <w:szCs w:val="24"/>
              </w:rPr>
            </w:pPr>
          </w:p>
        </w:tc>
        <w:tc>
          <w:tcPr>
            <w:tcW w:w="1620" w:type="dxa"/>
            <w:gridSpan w:val="2"/>
            <w:tcBorders>
              <w:top w:val="single" w:color="auto"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510" w:hRule="atLeast"/>
        </w:trPr>
        <w:tc>
          <w:tcPr>
            <w:tcW w:w="8154" w:type="dxa"/>
            <w:gridSpan w:val="14"/>
            <w:vMerge w:val="restart"/>
            <w:tcBorders>
              <w:left w:val="single" w:color="000000" w:sz="4" w:space="0"/>
              <w:right w:val="single" w:color="auto" w:sz="4" w:space="0"/>
            </w:tcBorders>
            <w:vAlign w:val="center"/>
          </w:tcPr>
          <w:p>
            <w:pPr>
              <w:widowControl/>
              <w:ind w:firstLine="480" w:firstLineChars="200"/>
              <w:jc w:val="left"/>
              <w:textAlignment w:val="center"/>
              <w:rPr>
                <w:color w:val="000000"/>
                <w:sz w:val="24"/>
                <w:szCs w:val="24"/>
              </w:rPr>
            </w:pPr>
            <w:r>
              <w:rPr>
                <w:rFonts w:hAnsi="宋体"/>
                <w:color w:val="000000"/>
                <w:kern w:val="0"/>
                <w:sz w:val="24"/>
                <w:szCs w:val="24"/>
              </w:rPr>
              <w:t>根据《中华人民共和国招标投标法》、《中华人民共和国招标投标法实施条例》和《广西壮族自治区实施</w:t>
            </w:r>
            <w:r>
              <w:rPr>
                <w:color w:val="000000"/>
                <w:kern w:val="0"/>
                <w:sz w:val="24"/>
                <w:szCs w:val="24"/>
              </w:rPr>
              <w:t>&lt;</w:t>
            </w:r>
            <w:r>
              <w:rPr>
                <w:rFonts w:hAnsi="宋体"/>
                <w:color w:val="000000"/>
                <w:kern w:val="0"/>
                <w:sz w:val="24"/>
                <w:szCs w:val="24"/>
              </w:rPr>
              <w:t>中华人民共和国招标投标法</w:t>
            </w:r>
            <w:r>
              <w:rPr>
                <w:color w:val="000000"/>
                <w:kern w:val="0"/>
                <w:sz w:val="24"/>
                <w:szCs w:val="24"/>
              </w:rPr>
              <w:t>&gt;</w:t>
            </w:r>
            <w:r>
              <w:rPr>
                <w:rFonts w:hAnsi="宋体"/>
                <w:color w:val="000000"/>
                <w:kern w:val="0"/>
                <w:sz w:val="24"/>
                <w:szCs w:val="24"/>
              </w:rPr>
              <w:t>办法》，核准该项工程建设的招标方案。</w:t>
            </w:r>
          </w:p>
        </w:tc>
      </w:tr>
      <w:tr>
        <w:tblPrEx>
          <w:tblLayout w:type="fixed"/>
          <w:tblCellMar>
            <w:top w:w="15" w:type="dxa"/>
            <w:left w:w="15" w:type="dxa"/>
            <w:bottom w:w="15" w:type="dxa"/>
            <w:right w:w="15" w:type="dxa"/>
          </w:tblCellMar>
        </w:tblPrEx>
        <w:trPr>
          <w:gridAfter w:val="4"/>
          <w:wAfter w:w="2688" w:type="dxa"/>
          <w:trHeight w:val="510" w:hRule="atLeast"/>
        </w:trPr>
        <w:tc>
          <w:tcPr>
            <w:tcW w:w="8154" w:type="dxa"/>
            <w:gridSpan w:val="14"/>
            <w:vMerge w:val="continue"/>
            <w:tcBorders>
              <w:left w:val="single" w:color="000000"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840" w:hRule="atLeast"/>
        </w:trPr>
        <w:tc>
          <w:tcPr>
            <w:tcW w:w="8154" w:type="dxa"/>
            <w:gridSpan w:val="14"/>
            <w:vMerge w:val="continue"/>
            <w:tcBorders>
              <w:left w:val="single" w:color="000000"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420" w:hRule="atLeast"/>
        </w:trPr>
        <w:tc>
          <w:tcPr>
            <w:tcW w:w="1383" w:type="dxa"/>
            <w:tcBorders>
              <w:left w:val="single" w:color="000000" w:sz="4" w:space="0"/>
            </w:tcBorders>
            <w:vAlign w:val="center"/>
          </w:tcPr>
          <w:p>
            <w:pPr>
              <w:rPr>
                <w:color w:val="000000"/>
                <w:sz w:val="24"/>
                <w:szCs w:val="24"/>
              </w:rPr>
            </w:pPr>
          </w:p>
        </w:tc>
        <w:tc>
          <w:tcPr>
            <w:tcW w:w="1077" w:type="dxa"/>
            <w:gridSpan w:val="2"/>
            <w:vAlign w:val="center"/>
          </w:tcPr>
          <w:p>
            <w:pPr>
              <w:rPr>
                <w:color w:val="000000"/>
                <w:sz w:val="24"/>
                <w:szCs w:val="24"/>
              </w:rPr>
            </w:pPr>
          </w:p>
        </w:tc>
        <w:tc>
          <w:tcPr>
            <w:tcW w:w="1350" w:type="dxa"/>
            <w:gridSpan w:val="3"/>
            <w:vAlign w:val="center"/>
          </w:tcPr>
          <w:p>
            <w:pPr>
              <w:rPr>
                <w:color w:val="000000"/>
                <w:sz w:val="24"/>
                <w:szCs w:val="24"/>
              </w:rPr>
            </w:pPr>
          </w:p>
        </w:tc>
        <w:tc>
          <w:tcPr>
            <w:tcW w:w="1299" w:type="dxa"/>
            <w:gridSpan w:val="3"/>
            <w:vAlign w:val="center"/>
          </w:tcPr>
          <w:p>
            <w:pPr>
              <w:rPr>
                <w:color w:val="000000"/>
                <w:sz w:val="24"/>
                <w:szCs w:val="24"/>
              </w:rPr>
            </w:pPr>
          </w:p>
        </w:tc>
        <w:tc>
          <w:tcPr>
            <w:tcW w:w="3045" w:type="dxa"/>
            <w:gridSpan w:val="5"/>
            <w:tcBorders>
              <w:right w:val="single" w:color="auto" w:sz="4" w:space="0"/>
            </w:tcBorders>
            <w:vAlign w:val="bottom"/>
          </w:tcPr>
          <w:p>
            <w:pPr>
              <w:widowControl/>
              <w:jc w:val="center"/>
              <w:textAlignment w:val="bottom"/>
              <w:rPr>
                <w:color w:val="000000"/>
                <w:sz w:val="24"/>
                <w:szCs w:val="24"/>
              </w:rPr>
            </w:pPr>
            <w:r>
              <w:rPr>
                <w:rFonts w:hAnsi="宋体"/>
                <w:color w:val="000000"/>
                <w:kern w:val="0"/>
                <w:sz w:val="24"/>
                <w:szCs w:val="24"/>
              </w:rPr>
              <w:t>审批部门盖章</w:t>
            </w:r>
          </w:p>
        </w:tc>
      </w:tr>
      <w:tr>
        <w:tblPrEx>
          <w:tblLayout w:type="fixed"/>
          <w:tblCellMar>
            <w:top w:w="15" w:type="dxa"/>
            <w:left w:w="15" w:type="dxa"/>
            <w:bottom w:w="15" w:type="dxa"/>
            <w:right w:w="15" w:type="dxa"/>
          </w:tblCellMar>
        </w:tblPrEx>
        <w:trPr>
          <w:gridAfter w:val="1"/>
          <w:wAfter w:w="1322" w:type="dxa"/>
          <w:trHeight w:val="181" w:hRule="atLeast"/>
        </w:trPr>
        <w:tc>
          <w:tcPr>
            <w:tcW w:w="1383" w:type="dxa"/>
            <w:tcBorders>
              <w:left w:val="single" w:color="000000" w:sz="4" w:space="0"/>
            </w:tcBorders>
            <w:vAlign w:val="center"/>
          </w:tcPr>
          <w:p>
            <w:pPr>
              <w:rPr>
                <w:color w:val="000000"/>
                <w:sz w:val="24"/>
                <w:szCs w:val="24"/>
              </w:rPr>
            </w:pPr>
          </w:p>
        </w:tc>
        <w:tc>
          <w:tcPr>
            <w:tcW w:w="1077" w:type="dxa"/>
            <w:gridSpan w:val="2"/>
            <w:vAlign w:val="center"/>
          </w:tcPr>
          <w:p>
            <w:pPr>
              <w:rPr>
                <w:color w:val="000000"/>
                <w:sz w:val="24"/>
                <w:szCs w:val="24"/>
              </w:rPr>
            </w:pPr>
          </w:p>
        </w:tc>
        <w:tc>
          <w:tcPr>
            <w:tcW w:w="1350" w:type="dxa"/>
            <w:gridSpan w:val="3"/>
            <w:vAlign w:val="center"/>
          </w:tcPr>
          <w:p>
            <w:pPr>
              <w:rPr>
                <w:color w:val="000000"/>
                <w:sz w:val="24"/>
                <w:szCs w:val="24"/>
              </w:rPr>
            </w:pPr>
          </w:p>
        </w:tc>
        <w:tc>
          <w:tcPr>
            <w:tcW w:w="1299" w:type="dxa"/>
            <w:gridSpan w:val="3"/>
            <w:vAlign w:val="center"/>
          </w:tcPr>
          <w:p>
            <w:pPr>
              <w:rPr>
                <w:color w:val="000000"/>
                <w:sz w:val="24"/>
                <w:szCs w:val="24"/>
              </w:rPr>
            </w:pPr>
          </w:p>
        </w:tc>
        <w:tc>
          <w:tcPr>
            <w:tcW w:w="1298" w:type="dxa"/>
            <w:gridSpan w:val="2"/>
            <w:vAlign w:val="center"/>
          </w:tcPr>
          <w:p>
            <w:pPr>
              <w:rPr>
                <w:color w:val="000000"/>
                <w:sz w:val="24"/>
                <w:szCs w:val="24"/>
              </w:rPr>
            </w:pPr>
          </w:p>
        </w:tc>
        <w:tc>
          <w:tcPr>
            <w:tcW w:w="973" w:type="dxa"/>
            <w:gridSpan w:val="2"/>
            <w:vAlign w:val="center"/>
          </w:tcPr>
          <w:p>
            <w:pPr>
              <w:rPr>
                <w:color w:val="000000"/>
                <w:sz w:val="24"/>
                <w:szCs w:val="24"/>
              </w:rPr>
            </w:pPr>
          </w:p>
        </w:tc>
        <w:tc>
          <w:tcPr>
            <w:tcW w:w="774" w:type="dxa"/>
            <w:tcBorders>
              <w:right w:val="single" w:color="auto" w:sz="4" w:space="0"/>
            </w:tcBorders>
            <w:vAlign w:val="center"/>
          </w:tcPr>
          <w:p>
            <w:pPr>
              <w:rPr>
                <w:color w:val="000000"/>
                <w:sz w:val="24"/>
                <w:szCs w:val="24"/>
              </w:rPr>
            </w:pPr>
          </w:p>
        </w:tc>
        <w:tc>
          <w:tcPr>
            <w:tcW w:w="1276" w:type="dxa"/>
            <w:gridSpan w:val="2"/>
            <w:tcBorders>
              <w:left w:val="single" w:color="auto" w:sz="4" w:space="0"/>
            </w:tcBorders>
            <w:vAlign w:val="center"/>
          </w:tcPr>
          <w:p>
            <w:pPr>
              <w:rPr>
                <w:color w:val="000000"/>
                <w:sz w:val="24"/>
                <w:szCs w:val="24"/>
              </w:rPr>
            </w:pPr>
          </w:p>
        </w:tc>
        <w:tc>
          <w:tcPr>
            <w:tcW w:w="90" w:type="dxa"/>
            <w:vAlign w:val="center"/>
          </w:tcPr>
          <w:p>
            <w:pPr>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260" w:hRule="atLeast"/>
        </w:trPr>
        <w:tc>
          <w:tcPr>
            <w:tcW w:w="1383" w:type="dxa"/>
            <w:tcBorders>
              <w:left w:val="single" w:color="000000" w:sz="4" w:space="0"/>
              <w:bottom w:val="single" w:color="auto" w:sz="4" w:space="0"/>
            </w:tcBorders>
            <w:vAlign w:val="center"/>
          </w:tcPr>
          <w:p>
            <w:pPr>
              <w:rPr>
                <w:color w:val="000000"/>
                <w:sz w:val="24"/>
                <w:szCs w:val="24"/>
              </w:rPr>
            </w:pPr>
          </w:p>
        </w:tc>
        <w:tc>
          <w:tcPr>
            <w:tcW w:w="1077" w:type="dxa"/>
            <w:gridSpan w:val="2"/>
            <w:tcBorders>
              <w:bottom w:val="single" w:color="auto" w:sz="4" w:space="0"/>
            </w:tcBorders>
            <w:vAlign w:val="center"/>
          </w:tcPr>
          <w:p>
            <w:pPr>
              <w:rPr>
                <w:color w:val="000000"/>
                <w:sz w:val="24"/>
                <w:szCs w:val="24"/>
              </w:rPr>
            </w:pPr>
          </w:p>
        </w:tc>
        <w:tc>
          <w:tcPr>
            <w:tcW w:w="1350" w:type="dxa"/>
            <w:gridSpan w:val="3"/>
            <w:tcBorders>
              <w:bottom w:val="single" w:color="auto" w:sz="4" w:space="0"/>
            </w:tcBorders>
            <w:vAlign w:val="center"/>
          </w:tcPr>
          <w:p>
            <w:pPr>
              <w:rPr>
                <w:color w:val="000000"/>
                <w:sz w:val="24"/>
                <w:szCs w:val="24"/>
              </w:rPr>
            </w:pPr>
          </w:p>
        </w:tc>
        <w:tc>
          <w:tcPr>
            <w:tcW w:w="1299" w:type="dxa"/>
            <w:gridSpan w:val="3"/>
            <w:tcBorders>
              <w:bottom w:val="single" w:color="auto" w:sz="4" w:space="0"/>
            </w:tcBorders>
            <w:vAlign w:val="center"/>
          </w:tcPr>
          <w:p>
            <w:pPr>
              <w:rPr>
                <w:color w:val="000000"/>
                <w:sz w:val="24"/>
                <w:szCs w:val="24"/>
              </w:rPr>
            </w:pPr>
          </w:p>
        </w:tc>
        <w:tc>
          <w:tcPr>
            <w:tcW w:w="3045" w:type="dxa"/>
            <w:gridSpan w:val="5"/>
            <w:tcBorders>
              <w:bottom w:val="single" w:color="auto" w:sz="4" w:space="0"/>
              <w:right w:val="single" w:color="auto" w:sz="4" w:space="0"/>
            </w:tcBorders>
            <w:vAlign w:val="center"/>
          </w:tcPr>
          <w:p>
            <w:pPr>
              <w:widowControl/>
              <w:jc w:val="center"/>
              <w:textAlignment w:val="center"/>
              <w:rPr>
                <w:color w:val="000000"/>
                <w:sz w:val="24"/>
                <w:szCs w:val="24"/>
              </w:rPr>
            </w:pPr>
            <w:r>
              <w:rPr>
                <w:rFonts w:hint="eastAsia"/>
                <w:color w:val="000000"/>
                <w:kern w:val="0"/>
                <w:sz w:val="24"/>
                <w:szCs w:val="24"/>
              </w:rPr>
              <w:t>2021</w:t>
            </w:r>
            <w:r>
              <w:rPr>
                <w:rFonts w:hAnsi="宋体"/>
                <w:color w:val="000000"/>
                <w:kern w:val="0"/>
                <w:sz w:val="24"/>
                <w:szCs w:val="24"/>
              </w:rPr>
              <w:t>年</w:t>
            </w:r>
            <w:r>
              <w:rPr>
                <w:rFonts w:hint="eastAsia"/>
                <w:color w:val="000000"/>
                <w:kern w:val="0"/>
                <w:sz w:val="24"/>
                <w:szCs w:val="24"/>
              </w:rPr>
              <w:t>11</w:t>
            </w:r>
            <w:r>
              <w:rPr>
                <w:rFonts w:hAnsi="宋体"/>
                <w:color w:val="000000"/>
                <w:kern w:val="0"/>
                <w:sz w:val="24"/>
                <w:szCs w:val="24"/>
              </w:rPr>
              <w:t>月</w:t>
            </w:r>
            <w:r>
              <w:rPr>
                <w:rFonts w:hint="eastAsia" w:hAnsi="宋体"/>
                <w:color w:val="000000"/>
                <w:kern w:val="0"/>
                <w:sz w:val="24"/>
                <w:szCs w:val="24"/>
                <w:lang w:val="en-US" w:eastAsia="zh-CN"/>
              </w:rPr>
              <w:t>23</w:t>
            </w:r>
            <w:r>
              <w:rPr>
                <w:rFonts w:hAnsi="宋体"/>
                <w:color w:val="000000"/>
                <w:kern w:val="0"/>
                <w:sz w:val="24"/>
                <w:szCs w:val="24"/>
              </w:rPr>
              <w:t>日</w:t>
            </w:r>
          </w:p>
        </w:tc>
      </w:tr>
    </w:tbl>
    <w:p>
      <w:pPr>
        <w:spacing w:line="400" w:lineRule="exact"/>
        <w:rPr>
          <w:rFonts w:eastAsia="仿宋_GB2312"/>
          <w:sz w:val="30"/>
          <w:szCs w:val="30"/>
          <w:u w:val="single"/>
        </w:rPr>
      </w:pPr>
    </w:p>
    <w:sectPr>
      <w:headerReference r:id="rId3" w:type="default"/>
      <w:footerReference r:id="rId4" w:type="default"/>
      <w:pgSz w:w="11906" w:h="16838"/>
      <w:pgMar w:top="2098" w:right="1587" w:bottom="2098"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wZxSLvouGuFCqN7LXRCKQlhAmXc=" w:salt="1QGXcJt5Lw8AYD3w5LEHcg=="/>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DocumentID" w:val="{5ADDEA00-2522-488A-B0C5-609B8ACF223F}"/>
    <w:docVar w:name="DocumentName" w:val="柳发改规划〔2021〕278号柳州市发展和改革委员会关于调整柳州市交通学校改扩建项目——学生食堂、2#实训综合楼可行性研究报告的批复"/>
  </w:docVars>
  <w:rsids>
    <w:rsidRoot w:val="00A03638"/>
    <w:rsid w:val="00000E75"/>
    <w:rsid w:val="00002B4C"/>
    <w:rsid w:val="000157D7"/>
    <w:rsid w:val="00022094"/>
    <w:rsid w:val="00032541"/>
    <w:rsid w:val="00034908"/>
    <w:rsid w:val="00047B41"/>
    <w:rsid w:val="000630CB"/>
    <w:rsid w:val="0007274E"/>
    <w:rsid w:val="000C7B32"/>
    <w:rsid w:val="000D5F30"/>
    <w:rsid w:val="000E7231"/>
    <w:rsid w:val="00142830"/>
    <w:rsid w:val="00142FD2"/>
    <w:rsid w:val="00161F7B"/>
    <w:rsid w:val="001766CA"/>
    <w:rsid w:val="00183875"/>
    <w:rsid w:val="00194B80"/>
    <w:rsid w:val="001A5BB9"/>
    <w:rsid w:val="001B1F0E"/>
    <w:rsid w:val="001C2AE0"/>
    <w:rsid w:val="001D18C4"/>
    <w:rsid w:val="001E3220"/>
    <w:rsid w:val="001F6C21"/>
    <w:rsid w:val="002126E0"/>
    <w:rsid w:val="002356B0"/>
    <w:rsid w:val="00254B78"/>
    <w:rsid w:val="00261CAA"/>
    <w:rsid w:val="00267787"/>
    <w:rsid w:val="0027176F"/>
    <w:rsid w:val="0027219B"/>
    <w:rsid w:val="0028532A"/>
    <w:rsid w:val="0028710C"/>
    <w:rsid w:val="00294051"/>
    <w:rsid w:val="002A0CD4"/>
    <w:rsid w:val="002A4534"/>
    <w:rsid w:val="002F7A0F"/>
    <w:rsid w:val="00304C95"/>
    <w:rsid w:val="003053AB"/>
    <w:rsid w:val="00315872"/>
    <w:rsid w:val="0033322A"/>
    <w:rsid w:val="0033561F"/>
    <w:rsid w:val="0037569D"/>
    <w:rsid w:val="00386A0F"/>
    <w:rsid w:val="00391F6D"/>
    <w:rsid w:val="00397F79"/>
    <w:rsid w:val="003A1347"/>
    <w:rsid w:val="003A76BD"/>
    <w:rsid w:val="003B2FC5"/>
    <w:rsid w:val="003C1871"/>
    <w:rsid w:val="003D5085"/>
    <w:rsid w:val="003E5776"/>
    <w:rsid w:val="003F2CB1"/>
    <w:rsid w:val="00416F88"/>
    <w:rsid w:val="00417B22"/>
    <w:rsid w:val="0042319B"/>
    <w:rsid w:val="004339EF"/>
    <w:rsid w:val="00434C80"/>
    <w:rsid w:val="00450E60"/>
    <w:rsid w:val="00452330"/>
    <w:rsid w:val="00461F5E"/>
    <w:rsid w:val="004721BB"/>
    <w:rsid w:val="00472EC7"/>
    <w:rsid w:val="004810DB"/>
    <w:rsid w:val="00481A83"/>
    <w:rsid w:val="00483F3F"/>
    <w:rsid w:val="004C26D8"/>
    <w:rsid w:val="0050519A"/>
    <w:rsid w:val="0051047F"/>
    <w:rsid w:val="005239AF"/>
    <w:rsid w:val="0053348A"/>
    <w:rsid w:val="005455F6"/>
    <w:rsid w:val="00550E46"/>
    <w:rsid w:val="005556B6"/>
    <w:rsid w:val="00562A72"/>
    <w:rsid w:val="00570F59"/>
    <w:rsid w:val="0059729C"/>
    <w:rsid w:val="00597A57"/>
    <w:rsid w:val="005D5FBB"/>
    <w:rsid w:val="005E7F02"/>
    <w:rsid w:val="005F394E"/>
    <w:rsid w:val="005F698A"/>
    <w:rsid w:val="00652A9A"/>
    <w:rsid w:val="00664FE5"/>
    <w:rsid w:val="00683E40"/>
    <w:rsid w:val="006865F6"/>
    <w:rsid w:val="006B3183"/>
    <w:rsid w:val="006E482A"/>
    <w:rsid w:val="006E7DE1"/>
    <w:rsid w:val="006F3736"/>
    <w:rsid w:val="006F5C19"/>
    <w:rsid w:val="00716C2C"/>
    <w:rsid w:val="00722B65"/>
    <w:rsid w:val="00736E6C"/>
    <w:rsid w:val="0074585C"/>
    <w:rsid w:val="00746089"/>
    <w:rsid w:val="00750198"/>
    <w:rsid w:val="00751EBA"/>
    <w:rsid w:val="00753637"/>
    <w:rsid w:val="00755053"/>
    <w:rsid w:val="00777B96"/>
    <w:rsid w:val="00777B9A"/>
    <w:rsid w:val="00786473"/>
    <w:rsid w:val="00797F1B"/>
    <w:rsid w:val="007A1791"/>
    <w:rsid w:val="007C75B2"/>
    <w:rsid w:val="007D073B"/>
    <w:rsid w:val="007D251E"/>
    <w:rsid w:val="008071F5"/>
    <w:rsid w:val="00811624"/>
    <w:rsid w:val="00814596"/>
    <w:rsid w:val="00820FEB"/>
    <w:rsid w:val="00826481"/>
    <w:rsid w:val="0083075B"/>
    <w:rsid w:val="008337DC"/>
    <w:rsid w:val="00837E17"/>
    <w:rsid w:val="00844E5C"/>
    <w:rsid w:val="008601A7"/>
    <w:rsid w:val="0086298B"/>
    <w:rsid w:val="00885665"/>
    <w:rsid w:val="00896A5B"/>
    <w:rsid w:val="008B5476"/>
    <w:rsid w:val="008C1FF2"/>
    <w:rsid w:val="008C2728"/>
    <w:rsid w:val="008D6B7E"/>
    <w:rsid w:val="008E60A8"/>
    <w:rsid w:val="0090062A"/>
    <w:rsid w:val="00925887"/>
    <w:rsid w:val="00931FF0"/>
    <w:rsid w:val="0093254D"/>
    <w:rsid w:val="0093592D"/>
    <w:rsid w:val="009477C4"/>
    <w:rsid w:val="00947929"/>
    <w:rsid w:val="0095461A"/>
    <w:rsid w:val="00967E36"/>
    <w:rsid w:val="009815FF"/>
    <w:rsid w:val="00997F60"/>
    <w:rsid w:val="009A5D7F"/>
    <w:rsid w:val="009C4FF5"/>
    <w:rsid w:val="009D6ACE"/>
    <w:rsid w:val="009F0714"/>
    <w:rsid w:val="00A03630"/>
    <w:rsid w:val="00A03638"/>
    <w:rsid w:val="00A15ABC"/>
    <w:rsid w:val="00A22D0D"/>
    <w:rsid w:val="00A23B39"/>
    <w:rsid w:val="00A33A7B"/>
    <w:rsid w:val="00A34C0F"/>
    <w:rsid w:val="00A37B19"/>
    <w:rsid w:val="00A50E5A"/>
    <w:rsid w:val="00A520AB"/>
    <w:rsid w:val="00A61D49"/>
    <w:rsid w:val="00A8107B"/>
    <w:rsid w:val="00A848B1"/>
    <w:rsid w:val="00AA0259"/>
    <w:rsid w:val="00AA79C0"/>
    <w:rsid w:val="00AB2F42"/>
    <w:rsid w:val="00AF385C"/>
    <w:rsid w:val="00B31741"/>
    <w:rsid w:val="00B560AD"/>
    <w:rsid w:val="00B6319B"/>
    <w:rsid w:val="00B63DCC"/>
    <w:rsid w:val="00B70763"/>
    <w:rsid w:val="00B72F6D"/>
    <w:rsid w:val="00B75076"/>
    <w:rsid w:val="00B77202"/>
    <w:rsid w:val="00BA40B0"/>
    <w:rsid w:val="00BC790B"/>
    <w:rsid w:val="00BE140D"/>
    <w:rsid w:val="00BE5B8B"/>
    <w:rsid w:val="00BF1F23"/>
    <w:rsid w:val="00BF217A"/>
    <w:rsid w:val="00C1218C"/>
    <w:rsid w:val="00C24CAA"/>
    <w:rsid w:val="00C54150"/>
    <w:rsid w:val="00C650DA"/>
    <w:rsid w:val="00C65F0F"/>
    <w:rsid w:val="00C72EDD"/>
    <w:rsid w:val="00C801F7"/>
    <w:rsid w:val="00C90EAE"/>
    <w:rsid w:val="00C9504A"/>
    <w:rsid w:val="00CA6588"/>
    <w:rsid w:val="00CC3769"/>
    <w:rsid w:val="00CD6A39"/>
    <w:rsid w:val="00CF31A9"/>
    <w:rsid w:val="00D15493"/>
    <w:rsid w:val="00D33189"/>
    <w:rsid w:val="00D35304"/>
    <w:rsid w:val="00D3614F"/>
    <w:rsid w:val="00D424CA"/>
    <w:rsid w:val="00D53DBA"/>
    <w:rsid w:val="00D8379E"/>
    <w:rsid w:val="00D83988"/>
    <w:rsid w:val="00D87A94"/>
    <w:rsid w:val="00DB6849"/>
    <w:rsid w:val="00DE2909"/>
    <w:rsid w:val="00E12959"/>
    <w:rsid w:val="00E14D88"/>
    <w:rsid w:val="00E43B5E"/>
    <w:rsid w:val="00E60ACB"/>
    <w:rsid w:val="00E76305"/>
    <w:rsid w:val="00E97CD3"/>
    <w:rsid w:val="00EA2C75"/>
    <w:rsid w:val="00EA5EF5"/>
    <w:rsid w:val="00EB75C8"/>
    <w:rsid w:val="00ED2136"/>
    <w:rsid w:val="00ED4754"/>
    <w:rsid w:val="00EE6E10"/>
    <w:rsid w:val="00F00B43"/>
    <w:rsid w:val="00F30A33"/>
    <w:rsid w:val="00F35C77"/>
    <w:rsid w:val="00F41D17"/>
    <w:rsid w:val="00F47D1C"/>
    <w:rsid w:val="00F74EBF"/>
    <w:rsid w:val="00F75152"/>
    <w:rsid w:val="00F81863"/>
    <w:rsid w:val="00FB26B0"/>
    <w:rsid w:val="00FD74E8"/>
    <w:rsid w:val="00FE354A"/>
    <w:rsid w:val="00FE62AA"/>
    <w:rsid w:val="01916BEE"/>
    <w:rsid w:val="02424AF7"/>
    <w:rsid w:val="04743A5D"/>
    <w:rsid w:val="054B674B"/>
    <w:rsid w:val="0569079C"/>
    <w:rsid w:val="058B6C05"/>
    <w:rsid w:val="06F31A6C"/>
    <w:rsid w:val="074467A5"/>
    <w:rsid w:val="079724B8"/>
    <w:rsid w:val="087151EF"/>
    <w:rsid w:val="0911521D"/>
    <w:rsid w:val="0A6912A7"/>
    <w:rsid w:val="0F0E5011"/>
    <w:rsid w:val="12E77F89"/>
    <w:rsid w:val="137941A4"/>
    <w:rsid w:val="16260C79"/>
    <w:rsid w:val="179842E2"/>
    <w:rsid w:val="17D76227"/>
    <w:rsid w:val="18C7699D"/>
    <w:rsid w:val="19F0439C"/>
    <w:rsid w:val="1BEC6235"/>
    <w:rsid w:val="1D4F2403"/>
    <w:rsid w:val="1E8F3ED8"/>
    <w:rsid w:val="217B64C7"/>
    <w:rsid w:val="23105AB0"/>
    <w:rsid w:val="23925D4B"/>
    <w:rsid w:val="24C33502"/>
    <w:rsid w:val="251E0A4C"/>
    <w:rsid w:val="2533590C"/>
    <w:rsid w:val="258E4B9A"/>
    <w:rsid w:val="2690749A"/>
    <w:rsid w:val="2836135B"/>
    <w:rsid w:val="299D467C"/>
    <w:rsid w:val="2B4A3A48"/>
    <w:rsid w:val="2D25531E"/>
    <w:rsid w:val="37CF3815"/>
    <w:rsid w:val="38D11E91"/>
    <w:rsid w:val="3DBD42B4"/>
    <w:rsid w:val="3DDF4749"/>
    <w:rsid w:val="3F0D7CD7"/>
    <w:rsid w:val="42336403"/>
    <w:rsid w:val="42497C71"/>
    <w:rsid w:val="43155DCC"/>
    <w:rsid w:val="436B75AE"/>
    <w:rsid w:val="45A46BDE"/>
    <w:rsid w:val="45A650AE"/>
    <w:rsid w:val="4A6C52C1"/>
    <w:rsid w:val="4B91277B"/>
    <w:rsid w:val="4C5A20D2"/>
    <w:rsid w:val="4D8055AE"/>
    <w:rsid w:val="4DEA0F38"/>
    <w:rsid w:val="4EC1670B"/>
    <w:rsid w:val="4F3847D2"/>
    <w:rsid w:val="4FCE5A75"/>
    <w:rsid w:val="52680595"/>
    <w:rsid w:val="527D071F"/>
    <w:rsid w:val="53022D48"/>
    <w:rsid w:val="53911B14"/>
    <w:rsid w:val="54810078"/>
    <w:rsid w:val="55661D28"/>
    <w:rsid w:val="563F14AA"/>
    <w:rsid w:val="594A260F"/>
    <w:rsid w:val="5A446E5F"/>
    <w:rsid w:val="5B0525DF"/>
    <w:rsid w:val="5D6802A7"/>
    <w:rsid w:val="5E526C17"/>
    <w:rsid w:val="5F2E6C88"/>
    <w:rsid w:val="60446D86"/>
    <w:rsid w:val="63971414"/>
    <w:rsid w:val="63995F96"/>
    <w:rsid w:val="66C87137"/>
    <w:rsid w:val="66CD2DDB"/>
    <w:rsid w:val="687D56E9"/>
    <w:rsid w:val="6A1C7F59"/>
    <w:rsid w:val="6A3D4396"/>
    <w:rsid w:val="6B567A18"/>
    <w:rsid w:val="6EB36B8B"/>
    <w:rsid w:val="6FE263F4"/>
    <w:rsid w:val="71BD08F7"/>
    <w:rsid w:val="71C82101"/>
    <w:rsid w:val="73425D37"/>
    <w:rsid w:val="73FC22F6"/>
    <w:rsid w:val="75024C80"/>
    <w:rsid w:val="75A67F11"/>
    <w:rsid w:val="75E4779F"/>
    <w:rsid w:val="77FE3FBE"/>
    <w:rsid w:val="7A402245"/>
    <w:rsid w:val="7AA81438"/>
    <w:rsid w:val="7CFE7070"/>
    <w:rsid w:val="7E792837"/>
    <w:rsid w:val="7E8F3FDE"/>
    <w:rsid w:val="7FE500F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locked/>
    <w:uiPriority w:val="9"/>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rPr>
      <w:szCs w:val="24"/>
    </w:rPr>
  </w:style>
  <w:style w:type="paragraph" w:styleId="4">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5">
    <w:name w:val="Body Text Indent"/>
    <w:basedOn w:val="1"/>
    <w:unhideWhenUsed/>
    <w:qFormat/>
    <w:uiPriority w:val="99"/>
    <w:pPr>
      <w:spacing w:line="480" w:lineRule="exact"/>
      <w:ind w:firstLine="560" w:firstLineChars="200"/>
    </w:pPr>
    <w:rPr>
      <w:rFonts w:ascii="仿宋_GB2312"/>
      <w:sz w:val="2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left="420" w:leftChars="200" w:firstLine="420"/>
    </w:pPr>
    <w:rPr>
      <w:rFonts w:eastAsia="楷体_GB2312"/>
    </w:rPr>
  </w:style>
  <w:style w:type="paragraph" w:styleId="8">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11111"/>
    <w:basedOn w:val="1"/>
    <w:next w:val="1"/>
    <w:qFormat/>
    <w:uiPriority w:val="0"/>
    <w:pPr>
      <w:spacing w:line="360" w:lineRule="auto"/>
      <w:ind w:firstLine="200" w:firstLineChars="200"/>
    </w:pPr>
    <w:rPr>
      <w:rFonts w:ascii="宋体" w:hAnsi="宋体" w:cs="宋体"/>
      <w:sz w:val="24"/>
    </w:rPr>
  </w:style>
  <w:style w:type="character" w:customStyle="1" w:styleId="12">
    <w:name w:val="页眉 Char"/>
    <w:link w:val="8"/>
    <w:qFormat/>
    <w:locked/>
    <w:uiPriority w:val="99"/>
    <w:rPr>
      <w:rFonts w:ascii="Times New Roman" w:hAnsi="Times New Roman" w:eastAsia="宋体" w:cs="Times New Roman"/>
      <w:sz w:val="18"/>
      <w:szCs w:val="18"/>
    </w:rPr>
  </w:style>
  <w:style w:type="paragraph" w:customStyle="1" w:styleId="13">
    <w:name w:val="_Style 1"/>
    <w:qFormat/>
    <w:uiPriority w:val="99"/>
    <w:pPr>
      <w:widowControl w:val="0"/>
      <w:jc w:val="both"/>
    </w:pPr>
    <w:rPr>
      <w:rFonts w:ascii="等线" w:hAnsi="等线" w:eastAsia="等线" w:cs="等线"/>
      <w:kern w:val="2"/>
      <w:sz w:val="21"/>
      <w:szCs w:val="21"/>
      <w:lang w:val="en-US" w:eastAsia="zh-CN" w:bidi="ar-SA"/>
    </w:rPr>
  </w:style>
  <w:style w:type="character" w:customStyle="1" w:styleId="14">
    <w:name w:val="页脚 Char"/>
    <w:link w:val="6"/>
    <w:qFormat/>
    <w:locked/>
    <w:uiPriority w:val="99"/>
    <w:rPr>
      <w:rFonts w:ascii="Times New Roman" w:hAnsi="Times New Roman" w:eastAsia="宋体" w:cs="Times New Roman"/>
      <w:kern w:val="2"/>
      <w:sz w:val="18"/>
      <w:szCs w:val="18"/>
    </w:rPr>
  </w:style>
  <w:style w:type="paragraph" w:customStyle="1" w:styleId="15">
    <w:name w:val="_Style 22"/>
    <w:basedOn w:val="1"/>
    <w:semiHidden/>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97F49-3E11-42E4-A5FE-59A6BDCFA86B}">
  <ds:schemaRefs/>
</ds:datastoreItem>
</file>

<file path=docProps/app.xml><?xml version="1.0" encoding="utf-8"?>
<Properties xmlns="http://schemas.openxmlformats.org/officeDocument/2006/extended-properties" xmlns:vt="http://schemas.openxmlformats.org/officeDocument/2006/docPropsVTypes">
  <Template>Normal.dotm</Template>
  <Company>柳州市发改委</Company>
  <Pages>4</Pages>
  <Words>228</Words>
  <Characters>1303</Characters>
  <Lines>10</Lines>
  <Paragraphs>3</Paragraphs>
  <TotalTime>0</TotalTime>
  <ScaleCrop>false</ScaleCrop>
  <LinksUpToDate>false</LinksUpToDate>
  <CharactersWithSpaces>1528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2021-10-22T07:37:00Z</dcterms:created>
  <dc:creator>何意</dc:creator>
  <cp:lastModifiedBy>唐萍</cp:lastModifiedBy>
  <cp:lastPrinted>2020-10-30T02:37:00Z</cp:lastPrinted>
  <dcterms:modified xsi:type="dcterms:W3CDTF">2021-11-29T07:47:39Z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