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柳江区疫苗安全事件应急指挥部组织结构图</w:t>
      </w:r>
    </w:p>
    <w:bookmarkEnd w:id="0"/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2405" cy="6663690"/>
            <wp:effectExtent l="0" t="0" r="4445" b="3810"/>
            <wp:docPr id="3" name="图片 3" descr="9120c80a5f0b99e8719c574b9593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20c80a5f0b99e8719c574b9593f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7A"/>
    <w:family w:val="script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523B0"/>
    <w:rsid w:val="259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qFormat/>
    <w:uiPriority w:val="0"/>
    <w:rPr>
      <w:rFonts w:ascii="仿宋_GB2312" w:hAnsi="仿宋_GB2312" w:eastAsia="仿宋_GB2312" w:cs="仿宋_GB2312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2021-08-19T07:31:00Z</dcterms:created>
  <dc:creator>Edison、葉回憶</dc:creator>
  <cp:lastModifiedBy>Edison、葉回憶</cp:lastModifiedBy>
  <dcterms:modified xsi:type="dcterms:W3CDTF">2021-08-19T07:34:51Z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14434B8E78D84A589B25938E72B7BA25</vt:lpwstr>
  </property>
</Properties>
</file>