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0"/>
        <w:rPr>
          <w:rFonts w:hint="eastAsia" w:ascii="方正小标宋简体" w:hAnsi="方正小标宋简体" w:eastAsia="方正小标宋简体" w:cs="方正小标宋简体"/>
          <w:b w:val="0"/>
          <w:spacing w:val="-6"/>
          <w:kern w:val="2"/>
          <w:sz w:val="44"/>
          <w:szCs w:val="44"/>
          <w:lang w:val="en-US" w:eastAsia="zh-CN" w:bidi="ar-SA"/>
        </w:rPr>
      </w:pPr>
      <w:r>
        <w:rPr>
          <w:rFonts w:hint="eastAsia" w:ascii="方正小标宋简体" w:hAnsi="方正小标宋简体" w:eastAsia="方正小标宋简体" w:cs="方正小标宋简体"/>
          <w:b w:val="0"/>
          <w:spacing w:val="-6"/>
          <w:kern w:val="2"/>
          <w:sz w:val="44"/>
          <w:szCs w:val="44"/>
          <w:lang w:val="en-US" w:eastAsia="zh-CN" w:bidi="ar-SA"/>
        </w:rPr>
        <w:t>广西壮族自治区发展和改革委员会关于取消我区工商业目录销售电价有关事项的通知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9"/>
        <w:rPr>
          <w:rFonts w:hint="eastAsia" w:ascii="仿宋_GB2312"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桂发改价格〔2021〕954号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outlineLvl w:val="9"/>
        <w:rPr>
          <w:rFonts w:hint="eastAsia" w:ascii="仿宋_GB2312"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各市、县发展改革委（局），广西电网有限责任公司、广西新电力投资集团有限责任公司、广西桂东电力股份有限公司、广西百色电力有限责任公司、广西电力交易中心有限责任公司，各有关增量配电网企业、用电户和发电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根据国家发展改革委《关于进一步深化燃煤发电上网电价市场化改革的通知》（发改价格〔2021〕1439号）和《关于做好目录销售电价调整落实工作的通知》要求，现就取消工商业目录销售电价有关事项通知如下：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一、取消广西目录销售电价表中工商业及其他用电目录销售电价，居民用电（含执行居民电价的用电）、农业用电继续按现行目录销售电价政策执行。执行两部制电价的工商业用户，容（需）量电价仍按国家现行有关规定执行。调整后的2021～2022年广西电网目录销售电价表见附件1，我区各电网企业（含地方电网、增量配电网）遵照执行。</w:t>
      </w:r>
    </w:p>
    <w:p>
      <w:pPr>
        <w:pStyle w:val="5"/>
        <w:keepNext w:val="0"/>
        <w:keepLines w:val="0"/>
        <w:pageBreakBefore w:val="0"/>
        <w:kinsoku/>
        <w:wordWrap/>
        <w:overflowPunct/>
        <w:topLinePunct w:val="0"/>
        <w:autoSpaceDE/>
        <w:autoSpaceDN/>
        <w:bidi w:val="0"/>
        <w:adjustRightInd/>
        <w:spacing w:line="520" w:lineRule="exact"/>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xml:space="preserve">    二、本通知印发后，电网企业应及时发布首次向代理购电工商业用户售电的公告。代理购电价格主要通过场内集中竞价等方式形成，我委将根据国家相关规定另行制定代理购电实施方案。在电网企业按代理购电价格向代理用户售电前的过渡期内，对暂未参与市场交易直接从电力市场购电的工商业用户，继续按原工商业目录销售电价水平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三、已参与市场交易的工商业用户，高耗能用户按规定不得退出市场交易；其他无正当理由退出电力市场的用户，过渡期内保底供电电度电价按原工商业目录销售电价水平（不含政府性基金及附加）的1.5倍执行，容（需）量电价、力调电费、政府性基金及附加按现行有关规定执行，在电网企业按代理购电价格向代理用户售电后，其用电价格按国家有关电网企业代理购电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四、工商业用电峰谷分时电价政策继续按我区实施范围、时段划分、峰谷比价及要求执行。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五、各地发展改革部门要会同电网企业精心做好组织实施工作，加强政策宣传解读，回应社会关切，增进各方理解和支持。各电网企业要通过多种渠道、多种方式向用户做好宣传告知，确保政策平稳有序落地。执行中发现问题，及时报告我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本通知自发文之日起执行。国家政策有调整的，按国家政策规定执行。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附件：1.2021～2022年广西电网目录销售电价表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      2.2021～2022年广西电网输配电价表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  广西壮族自治区发展和改革委员会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                                 2021年10月24日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outlineLvl w:val="9"/>
        <w:rPr>
          <w:rFonts w:hint="eastAsia" w:ascii="仿宋_GB2312" w:hAnsi="Times New Roman" w:eastAsia="仿宋_GB2312" w:cs="Times New Roman"/>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附件1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6" w:afterAutospacing="0" w:line="600" w:lineRule="atLeast"/>
        <w:ind w:left="0" w:right="0"/>
      </w:pPr>
      <w:r>
        <w:rPr>
          <w:rFonts w:hint="eastAsia" w:ascii="黑体" w:hAnsi="宋体" w:eastAsia="黑体" w:cs="黑体"/>
          <w:i w:val="0"/>
          <w:caps w:val="0"/>
          <w:color w:val="525353"/>
          <w:spacing w:val="0"/>
          <w:sz w:val="31"/>
          <w:szCs w:val="3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方正小标宋简体" w:hAnsi="方正小标宋简体" w:eastAsia="方正小标宋简体" w:cs="方正小标宋简体"/>
          <w:b w:val="0"/>
          <w:spacing w:val="-6"/>
          <w:kern w:val="2"/>
          <w:sz w:val="44"/>
          <w:szCs w:val="44"/>
          <w:lang w:val="en-US" w:eastAsia="zh-CN" w:bidi="ar-SA"/>
        </w:rPr>
      </w:pPr>
      <w:r>
        <w:rPr>
          <w:rFonts w:hint="eastAsia" w:ascii="方正小标宋简体" w:hAnsi="方正小标宋简体" w:eastAsia="方正小标宋简体" w:cs="方正小标宋简体"/>
          <w:b w:val="0"/>
          <w:spacing w:val="-6"/>
          <w:kern w:val="2"/>
          <w:sz w:val="44"/>
          <w:szCs w:val="44"/>
          <w:lang w:val="en-US" w:eastAsia="zh-CN" w:bidi="ar-SA"/>
        </w:rPr>
        <w:t>2021～2022年</w:t>
      </w:r>
      <w:r>
        <w:rPr>
          <w:rFonts w:hint="default" w:ascii="方正小标宋简体" w:hAnsi="方正小标宋简体" w:eastAsia="方正小标宋简体" w:cs="方正小标宋简体"/>
          <w:b w:val="0"/>
          <w:spacing w:val="-6"/>
          <w:kern w:val="2"/>
          <w:sz w:val="44"/>
          <w:szCs w:val="44"/>
          <w:lang w:val="en-US" w:eastAsia="zh-CN" w:bidi="ar-SA"/>
        </w:rPr>
        <w:t>广西电网目录销售电价表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pPr>
      <w:r>
        <w:rPr>
          <w:rFonts w:ascii="仿宋_GB2312" w:hAnsi="微软雅黑" w:eastAsia="仿宋_GB2312" w:cs="仿宋_GB2312"/>
          <w:i w:val="0"/>
          <w:caps w:val="0"/>
          <w:color w:val="525353"/>
          <w:spacing w:val="0"/>
          <w:sz w:val="31"/>
          <w:szCs w:val="31"/>
          <w:bdr w:val="none" w:color="auto" w:sz="0" w:space="0"/>
          <w:shd w:val="clear" w:fill="FFFFFF"/>
        </w:rPr>
        <w:t> </w:t>
      </w:r>
    </w:p>
    <w:tbl>
      <w:tblPr>
        <w:tblW w:w="9257" w:type="dxa"/>
        <w:jc w:val="center"/>
        <w:tblInd w:w="-3197"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179"/>
        <w:gridCol w:w="1245"/>
        <w:gridCol w:w="1609"/>
        <w:gridCol w:w="1606"/>
        <w:gridCol w:w="2618"/>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0" w:hRule="atLeast"/>
          <w:jc w:val="center"/>
        </w:trPr>
        <w:tc>
          <w:tcPr>
            <w:tcW w:w="3424" w:type="dxa"/>
            <w:gridSpan w:val="2"/>
            <w:vMerge w:val="restart"/>
            <w:tcBorders>
              <w:top w:val="single" w:color="000000" w:sz="6" w:space="0"/>
              <w:left w:val="single" w:color="000000" w:sz="6" w:space="0"/>
              <w:bottom w:val="single" w:color="auto"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Style w:val="9"/>
                <w:rFonts w:hint="default" w:ascii="仿宋_GB2312" w:eastAsia="仿宋_GB2312" w:cs="仿宋_GB2312"/>
                <w:sz w:val="24"/>
                <w:szCs w:val="24"/>
                <w:bdr w:val="none" w:color="auto" w:sz="0" w:space="0"/>
              </w:rPr>
              <w:t>用电分类</w:t>
            </w:r>
          </w:p>
        </w:tc>
        <w:tc>
          <w:tcPr>
            <w:tcW w:w="3215" w:type="dxa"/>
            <w:gridSpan w:val="2"/>
            <w:vMerge w:val="restart"/>
            <w:tcBorders>
              <w:top w:val="single" w:color="000000" w:sz="6" w:space="0"/>
              <w:left w:val="nil"/>
              <w:bottom w:val="single" w:color="auto"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Style w:val="9"/>
                <w:rFonts w:hint="default" w:ascii="仿宋_GB2312" w:eastAsia="仿宋_GB2312" w:cs="仿宋_GB2312"/>
                <w:sz w:val="24"/>
                <w:szCs w:val="24"/>
                <w:bdr w:val="none" w:color="auto" w:sz="0" w:space="0"/>
              </w:rPr>
              <w:t>电压等级</w:t>
            </w:r>
          </w:p>
        </w:tc>
        <w:tc>
          <w:tcPr>
            <w:tcW w:w="2618" w:type="dxa"/>
            <w:vMerge w:val="restart"/>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Style w:val="9"/>
                <w:rFonts w:hint="default" w:ascii="仿宋_GB2312" w:eastAsia="仿宋_GB2312" w:cs="仿宋_GB2312"/>
                <w:sz w:val="24"/>
                <w:szCs w:val="24"/>
                <w:bdr w:val="none" w:color="auto" w:sz="0" w:space="0"/>
              </w:rPr>
              <w:t>电度电价</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5" w:hRule="atLeast"/>
          <w:jc w:val="center"/>
        </w:trPr>
        <w:tc>
          <w:tcPr>
            <w:tcW w:w="3424" w:type="dxa"/>
            <w:gridSpan w:val="2"/>
            <w:vMerge w:val="continue"/>
            <w:tcBorders>
              <w:top w:val="single" w:color="000000" w:sz="6" w:space="0"/>
              <w:left w:val="single" w:color="000000" w:sz="6" w:space="0"/>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c>
          <w:tcPr>
            <w:tcW w:w="3215" w:type="dxa"/>
            <w:gridSpan w:val="2"/>
            <w:vMerge w:val="continue"/>
            <w:tcBorders>
              <w:top w:val="single" w:color="000000"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c>
          <w:tcPr>
            <w:tcW w:w="2618" w:type="dxa"/>
            <w:vMerge w:val="continue"/>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585" w:hRule="atLeast"/>
          <w:jc w:val="center"/>
        </w:trPr>
        <w:tc>
          <w:tcPr>
            <w:tcW w:w="3424" w:type="dxa"/>
            <w:gridSpan w:val="2"/>
            <w:vMerge w:val="continue"/>
            <w:tcBorders>
              <w:top w:val="single" w:color="000000" w:sz="6" w:space="0"/>
              <w:left w:val="single" w:color="000000" w:sz="6" w:space="0"/>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c>
          <w:tcPr>
            <w:tcW w:w="3215" w:type="dxa"/>
            <w:gridSpan w:val="2"/>
            <w:vMerge w:val="continue"/>
            <w:tcBorders>
              <w:top w:val="single" w:color="000000" w:sz="6" w:space="0"/>
              <w:left w:val="nil"/>
              <w:bottom w:val="single" w:color="auto" w:sz="6" w:space="0"/>
              <w:right w:val="single" w:color="000000" w:sz="6" w:space="0"/>
            </w:tcBorders>
            <w:shd w:val="clear"/>
            <w:tcMar>
              <w:left w:w="105" w:type="dxa"/>
              <w:right w:w="105" w:type="dxa"/>
            </w:tcMar>
            <w:vAlign w:val="center"/>
          </w:tcPr>
          <w:p>
            <w:pPr>
              <w:rPr>
                <w:rFonts w:hint="eastAsia" w:ascii="宋体"/>
                <w:sz w:val="24"/>
                <w:szCs w:val="24"/>
              </w:rPr>
            </w:pPr>
          </w:p>
        </w:tc>
        <w:tc>
          <w:tcPr>
            <w:tcW w:w="2618"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Style w:val="9"/>
                <w:rFonts w:hint="default" w:ascii="仿宋_GB2312" w:eastAsia="仿宋_GB2312" w:cs="仿宋_GB2312"/>
                <w:sz w:val="24"/>
                <w:szCs w:val="24"/>
                <w:bdr w:val="none" w:color="auto" w:sz="0" w:space="0"/>
              </w:rPr>
              <w:t>元/千瓦时</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restart"/>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textAlignment w:val="center"/>
            </w:pPr>
            <w:r>
              <w:rPr>
                <w:rFonts w:hint="default" w:ascii="仿宋_GB2312" w:eastAsia="仿宋_GB2312" w:cs="仿宋_GB2312"/>
                <w:sz w:val="24"/>
                <w:szCs w:val="24"/>
                <w:bdr w:val="none" w:color="auto" w:sz="0" w:space="0"/>
              </w:rPr>
              <w:t>一、居民生活用电</w:t>
            </w:r>
          </w:p>
        </w:tc>
        <w:tc>
          <w:tcPr>
            <w:tcW w:w="1245"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一户一表</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阶梯电价</w:t>
            </w:r>
          </w:p>
        </w:tc>
        <w:tc>
          <w:tcPr>
            <w:tcW w:w="160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不满1千伏</w:t>
            </w:r>
          </w:p>
        </w:tc>
        <w:tc>
          <w:tcPr>
            <w:tcW w:w="1606"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第一档</w:t>
            </w:r>
          </w:p>
        </w:tc>
        <w:tc>
          <w:tcPr>
            <w:tcW w:w="2618" w:type="dxa"/>
            <w:tcBorders>
              <w:top w:val="single" w:color="auto" w:sz="6" w:space="0"/>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0.5283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第二档</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0.5783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第三档</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0.8283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9"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1-10千伏及以上</w:t>
            </w:r>
          </w:p>
        </w:tc>
        <w:tc>
          <w:tcPr>
            <w:tcW w:w="160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第一档</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0.5233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第二档</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0.5733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9"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1606"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第三档</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0.8233</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restart"/>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rPr>
                <w:rFonts w:hint="default" w:ascii="仿宋_GB2312" w:eastAsia="仿宋_GB2312" w:cs="仿宋_GB2312"/>
                <w:sz w:val="24"/>
                <w:szCs w:val="24"/>
                <w:bdr w:val="none" w:color="auto" w:sz="0" w:space="0"/>
              </w:rPr>
              <w:t>合表户</w:t>
            </w:r>
          </w:p>
        </w:tc>
        <w:tc>
          <w:tcPr>
            <w:tcW w:w="3215" w:type="dxa"/>
            <w:gridSpan w:val="2"/>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不满1千伏</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0.5491</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3215" w:type="dxa"/>
            <w:gridSpan w:val="2"/>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1-10千伏</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0.5441</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2179" w:type="dxa"/>
            <w:vMerge w:val="continue"/>
            <w:tcBorders>
              <w:top w:val="nil"/>
              <w:left w:val="single" w:color="auto" w:sz="6" w:space="0"/>
              <w:bottom w:val="single" w:color="auto" w:sz="6" w:space="0"/>
              <w:right w:val="single" w:color="auto" w:sz="6" w:space="0"/>
            </w:tcBorders>
            <w:shd w:val="clear"/>
            <w:tcMar>
              <w:top w:w="15" w:type="dxa"/>
              <w:left w:w="15" w:type="dxa"/>
              <w:bottom w:w="15" w:type="dxa"/>
              <w:right w:w="15" w:type="dxa"/>
            </w:tcMar>
            <w:vAlign w:val="center"/>
          </w:tcPr>
          <w:p>
            <w:pPr>
              <w:rPr>
                <w:rFonts w:hint="eastAsia" w:ascii="宋体"/>
                <w:sz w:val="24"/>
                <w:szCs w:val="24"/>
              </w:rPr>
            </w:pPr>
          </w:p>
        </w:tc>
        <w:tc>
          <w:tcPr>
            <w:tcW w:w="1245" w:type="dxa"/>
            <w:vMerge w:val="continue"/>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rPr>
                <w:rFonts w:hint="eastAsia" w:ascii="宋体"/>
                <w:sz w:val="24"/>
                <w:szCs w:val="24"/>
              </w:rPr>
            </w:pPr>
          </w:p>
        </w:tc>
        <w:tc>
          <w:tcPr>
            <w:tcW w:w="3215" w:type="dxa"/>
            <w:gridSpan w:val="2"/>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35千伏及以上</w:t>
            </w:r>
          </w:p>
        </w:tc>
        <w:tc>
          <w:tcPr>
            <w:tcW w:w="2618" w:type="dxa"/>
            <w:tcBorders>
              <w:top w:val="nil"/>
              <w:left w:val="nil"/>
              <w:bottom w:val="single" w:color="auto" w:sz="6" w:space="0"/>
              <w:right w:val="single" w:color="auto" w:sz="6" w:space="0"/>
            </w:tcBorders>
            <w:shd w:val="clear" w:color="auto" w:fill="FFFFFF"/>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0.5441</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3424" w:type="dxa"/>
            <w:gridSpan w:val="2"/>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textAlignment w:val="center"/>
            </w:pPr>
            <w:r>
              <w:rPr>
                <w:rFonts w:hint="default" w:ascii="仿宋_GB2312" w:eastAsia="仿宋_GB2312" w:cs="仿宋_GB2312"/>
                <w:sz w:val="24"/>
                <w:szCs w:val="24"/>
                <w:bdr w:val="none" w:color="auto" w:sz="0" w:space="0"/>
              </w:rPr>
              <w:t>二、农业生产用电</w:t>
            </w:r>
          </w:p>
        </w:tc>
        <w:tc>
          <w:tcPr>
            <w:tcW w:w="3215" w:type="dxa"/>
            <w:gridSpan w:val="2"/>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不满1千伏</w:t>
            </w:r>
          </w:p>
        </w:tc>
        <w:tc>
          <w:tcPr>
            <w:tcW w:w="261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0.4925</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3424" w:type="dxa"/>
            <w:gridSpan w:val="2"/>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21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1-10千伏</w:t>
            </w:r>
          </w:p>
        </w:tc>
        <w:tc>
          <w:tcPr>
            <w:tcW w:w="261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0.3875</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 w:hRule="atLeast"/>
          <w:jc w:val="center"/>
        </w:trPr>
        <w:tc>
          <w:tcPr>
            <w:tcW w:w="3424" w:type="dxa"/>
            <w:gridSpan w:val="2"/>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宋体"/>
                <w:sz w:val="24"/>
                <w:szCs w:val="24"/>
              </w:rPr>
            </w:pPr>
          </w:p>
        </w:tc>
        <w:tc>
          <w:tcPr>
            <w:tcW w:w="3215" w:type="dxa"/>
            <w:gridSpan w:val="2"/>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35千伏及以上</w:t>
            </w:r>
          </w:p>
        </w:tc>
        <w:tc>
          <w:tcPr>
            <w:tcW w:w="2618"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textAlignment w:val="center"/>
            </w:pPr>
            <w:r>
              <w:rPr>
                <w:rFonts w:hint="default" w:ascii="仿宋_GB2312" w:eastAsia="仿宋_GB2312" w:cs="仿宋_GB2312"/>
                <w:sz w:val="24"/>
                <w:szCs w:val="24"/>
                <w:bdr w:val="none" w:color="auto" w:sz="0" w:space="0"/>
              </w:rPr>
              <w:t>0.3795</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450" w:right="0" w:hanging="540"/>
        <w:textAlignment w:val="center"/>
        <w:outlineLvl w:val="9"/>
      </w:pPr>
      <w:r>
        <w:rPr>
          <w:rFonts w:hint="default" w:ascii="仿宋_GB2312" w:hAnsi="微软雅黑" w:eastAsia="仿宋_GB2312" w:cs="仿宋_GB2312"/>
          <w:i w:val="0"/>
          <w:caps w:val="0"/>
          <w:color w:val="525353"/>
          <w:spacing w:val="0"/>
          <w:sz w:val="28"/>
          <w:szCs w:val="28"/>
          <w:bdr w:val="none" w:color="auto" w:sz="0" w:space="0"/>
          <w:shd w:val="clear" w:fill="FFFFFF"/>
        </w:rPr>
        <w:t> 注：上表所列价格，居民生活用电价格含农网还贷资金2.5分钱、国家重大水利工程建设基金0.1125分钱、大中型水库移民后期扶持资金0.62分钱；农业生产用电价格含农网还贷资金2.5分钱、国家重大水利工程建设基金0.1125分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left="690" w:right="0" w:hanging="645"/>
        <w:textAlignment w:val="center"/>
        <w:outlineLvl w:val="9"/>
      </w:pPr>
      <w:r>
        <w:rPr>
          <w:rFonts w:hint="default" w:ascii="仿宋_GB2312" w:hAnsi="微软雅黑" w:eastAsia="仿宋_GB2312" w:cs="仿宋_GB2312"/>
          <w:i w:val="0"/>
          <w:caps w:val="0"/>
          <w:color w:val="525353"/>
          <w:spacing w:val="0"/>
          <w:sz w:val="24"/>
          <w:szCs w:val="24"/>
          <w:bdr w:val="none" w:color="auto" w:sz="0" w:space="0"/>
          <w:shd w:val="clear" w:fill="FFFFFF"/>
        </w:rPr>
        <w:t> </w:t>
      </w:r>
    </w:p>
    <w:p>
      <w:pPr>
        <w:pStyle w:val="5"/>
        <w:jc w:val="right"/>
      </w:pPr>
      <w:r>
        <w:rPr>
          <w:rFonts w:hint="default" w:ascii="仿宋_GB2312" w:hAnsi="微软雅黑" w:eastAsia="仿宋_GB2312" w:cs="仿宋_GB2312"/>
          <w:i w:val="0"/>
          <w:caps w:val="0"/>
          <w:color w:val="525353"/>
          <w:spacing w:val="0"/>
          <w:sz w:val="24"/>
          <w:szCs w:val="24"/>
          <w:bdr w:val="none" w:color="auto" w:sz="0" w:space="0"/>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30"/>
        <w:jc w:val="both"/>
        <w:textAlignment w:val="auto"/>
        <w:outlineLvl w:val="9"/>
        <w:rPr>
          <w:rFonts w:hint="eastAsia" w:ascii="仿宋_GB2312" w:hAnsi="Times New Roman" w:eastAsia="仿宋_GB2312" w:cs="Times New Roman"/>
          <w:color w:val="auto"/>
          <w:kern w:val="2"/>
          <w:sz w:val="32"/>
          <w:szCs w:val="32"/>
          <w:lang w:val="en-US" w:eastAsia="zh-CN" w:bidi="ar-SA"/>
        </w:rPr>
      </w:pP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outlineLvl w:val="9"/>
        <w:rPr>
          <w:rFonts w:hint="eastAsia" w:ascii="仿宋_GB2312" w:hAnsi="Times New Roman" w:eastAsia="仿宋_GB2312" w:cs="Times New Roman"/>
          <w:color w:val="auto"/>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附件2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6" w:afterAutospacing="0" w:line="600" w:lineRule="atLeast"/>
        <w:ind w:left="0" w:right="0"/>
      </w:pPr>
      <w:r>
        <w:rPr>
          <w:rFonts w:hint="default" w:ascii="仿宋_GB2312" w:hAnsi="微软雅黑" w:eastAsia="仿宋_GB2312" w:cs="仿宋_GB2312"/>
          <w:i w:val="0"/>
          <w:caps w:val="0"/>
          <w:color w:val="525353"/>
          <w:spacing w:val="0"/>
          <w:sz w:val="24"/>
          <w:szCs w:val="24"/>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方正小标宋简体" w:hAnsi="方正小标宋简体" w:eastAsia="方正小标宋简体" w:cs="方正小标宋简体"/>
          <w:b w:val="0"/>
          <w:spacing w:val="-6"/>
          <w:kern w:val="2"/>
          <w:sz w:val="44"/>
          <w:szCs w:val="44"/>
          <w:lang w:val="en-US" w:eastAsia="zh-CN" w:bidi="ar-SA"/>
        </w:rPr>
      </w:pPr>
      <w:r>
        <w:rPr>
          <w:rFonts w:hint="default" w:ascii="方正小标宋简体" w:hAnsi="方正小标宋简体" w:eastAsia="方正小标宋简体" w:cs="方正小标宋简体"/>
          <w:b w:val="0"/>
          <w:spacing w:val="-6"/>
          <w:kern w:val="2"/>
          <w:sz w:val="44"/>
          <w:szCs w:val="44"/>
          <w:lang w:val="en-US" w:eastAsia="zh-CN" w:bidi="ar-SA"/>
        </w:rPr>
        <w:t>2021～2022年广西电网输配电价表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default" w:ascii="方正小标宋简体" w:hAnsi="方正小标宋简体" w:eastAsia="方正小标宋简体" w:cs="方正小标宋简体"/>
          <w:i w:val="0"/>
          <w:caps w:val="0"/>
          <w:color w:val="525353"/>
          <w:spacing w:val="0"/>
          <w:sz w:val="43"/>
          <w:szCs w:val="43"/>
          <w:bdr w:val="none" w:color="auto" w:sz="0" w:space="0"/>
          <w:shd w:val="clear" w:fill="FFFFFF"/>
        </w:rPr>
        <w:t> </w:t>
      </w:r>
    </w:p>
    <w:tbl>
      <w:tblPr>
        <w:tblW w:w="9938" w:type="dxa"/>
        <w:jc w:val="center"/>
        <w:tblInd w:w="-3195"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251"/>
        <w:gridCol w:w="956"/>
        <w:gridCol w:w="1075"/>
        <w:gridCol w:w="1187"/>
        <w:gridCol w:w="963"/>
        <w:gridCol w:w="1150"/>
        <w:gridCol w:w="1075"/>
        <w:gridCol w:w="1061"/>
        <w:gridCol w:w="1220"/>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50" w:hRule="atLeast"/>
          <w:jc w:val="center"/>
        </w:trPr>
        <w:tc>
          <w:tcPr>
            <w:tcW w:w="2207" w:type="dxa"/>
            <w:gridSpan w:val="2"/>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用电分类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 </w:t>
            </w:r>
          </w:p>
        </w:tc>
        <w:tc>
          <w:tcPr>
            <w:tcW w:w="5450" w:type="dxa"/>
            <w:gridSpan w:val="5"/>
            <w:tcBorders>
              <w:top w:val="single" w:color="auto" w:sz="6" w:space="0"/>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电度电价</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w:t>
            </w:r>
            <w:r>
              <w:rPr>
                <w:rStyle w:val="9"/>
                <w:rFonts w:hint="default" w:ascii="仿宋_GB2312" w:eastAsia="仿宋_GB2312" w:cs="仿宋_GB2312"/>
                <w:sz w:val="21"/>
                <w:szCs w:val="21"/>
                <w:bdr w:val="none" w:color="auto" w:sz="0" w:space="0"/>
              </w:rPr>
              <w:t>单位：元/千瓦时</w:t>
            </w:r>
            <w:r>
              <w:rPr>
                <w:rStyle w:val="9"/>
                <w:rFonts w:hint="default" w:ascii="仿宋_GB2312" w:eastAsia="仿宋_GB2312" w:cs="仿宋_GB2312"/>
                <w:sz w:val="24"/>
                <w:szCs w:val="24"/>
                <w:bdr w:val="none" w:color="auto" w:sz="0" w:space="0"/>
              </w:rPr>
              <w:t>）</w:t>
            </w:r>
          </w:p>
        </w:tc>
        <w:tc>
          <w:tcPr>
            <w:tcW w:w="2281" w:type="dxa"/>
            <w:gridSpan w:val="2"/>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容（需）量电价</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15" w:hRule="atLeast"/>
          <w:jc w:val="center"/>
        </w:trPr>
        <w:tc>
          <w:tcPr>
            <w:tcW w:w="2207" w:type="dxa"/>
            <w:gridSpan w:val="2"/>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不满1千伏</w:t>
            </w:r>
          </w:p>
        </w:tc>
        <w:tc>
          <w:tcPr>
            <w:tcW w:w="1187"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1-10（20）千伏</w:t>
            </w:r>
          </w:p>
        </w:tc>
        <w:tc>
          <w:tcPr>
            <w:tcW w:w="963"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35</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千伏</w:t>
            </w:r>
          </w:p>
        </w:tc>
        <w:tc>
          <w:tcPr>
            <w:tcW w:w="115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110</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千伏</w:t>
            </w:r>
          </w:p>
        </w:tc>
        <w:tc>
          <w:tcPr>
            <w:tcW w:w="10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220（330）千伏</w:t>
            </w:r>
          </w:p>
        </w:tc>
        <w:tc>
          <w:tcPr>
            <w:tcW w:w="1061"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最大需量</w:t>
            </w:r>
            <w:r>
              <w:rPr>
                <w:rStyle w:val="9"/>
                <w:rFonts w:hint="default" w:ascii="仿宋_GB2312" w:eastAsia="仿宋_GB2312" w:cs="仿宋_GB2312"/>
                <w:sz w:val="24"/>
                <w:szCs w:val="24"/>
                <w:bdr w:val="none" w:color="auto" w:sz="0" w:space="0"/>
              </w:rPr>
              <w:br w:type="textWrapping"/>
            </w:r>
            <w:r>
              <w:rPr>
                <w:rStyle w:val="9"/>
                <w:rFonts w:hint="default" w:ascii="仿宋_GB2312" w:eastAsia="仿宋_GB2312" w:cs="仿宋_GB2312"/>
                <w:sz w:val="24"/>
                <w:szCs w:val="24"/>
                <w:bdr w:val="none" w:color="auto" w:sz="0" w:space="0"/>
              </w:rPr>
              <w:t>（元/千瓦·月）</w:t>
            </w: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Style w:val="9"/>
                <w:rFonts w:hint="default" w:ascii="仿宋_GB2312" w:eastAsia="仿宋_GB2312" w:cs="仿宋_GB2312"/>
                <w:sz w:val="24"/>
                <w:szCs w:val="24"/>
                <w:bdr w:val="none" w:color="auto" w:sz="0" w:space="0"/>
              </w:rPr>
              <w:t>变压器容量（元/千伏安·月）</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30" w:hRule="atLeast"/>
          <w:jc w:val="center"/>
        </w:trPr>
        <w:tc>
          <w:tcPr>
            <w:tcW w:w="1251"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工商业及其他用电</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  </w:t>
            </w:r>
          </w:p>
        </w:tc>
        <w:tc>
          <w:tcPr>
            <w:tcW w:w="956"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单一制</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0.3184</w:t>
            </w:r>
          </w:p>
        </w:tc>
        <w:tc>
          <w:tcPr>
            <w:tcW w:w="1187"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0.3034</w:t>
            </w:r>
          </w:p>
        </w:tc>
        <w:tc>
          <w:tcPr>
            <w:tcW w:w="963"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0.2884</w:t>
            </w:r>
          </w:p>
        </w:tc>
        <w:tc>
          <w:tcPr>
            <w:tcW w:w="115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61"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w:t>
            </w: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00" w:hRule="atLeast"/>
          <w:jc w:val="center"/>
        </w:trPr>
        <w:tc>
          <w:tcPr>
            <w:tcW w:w="1251"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956"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两部制</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87"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0.2700</w:t>
            </w:r>
          </w:p>
        </w:tc>
        <w:tc>
          <w:tcPr>
            <w:tcW w:w="963"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0.1243</w:t>
            </w:r>
          </w:p>
        </w:tc>
        <w:tc>
          <w:tcPr>
            <w:tcW w:w="115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0.0993</w:t>
            </w:r>
          </w:p>
        </w:tc>
        <w:tc>
          <w:tcPr>
            <w:tcW w:w="1075"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0.0471</w:t>
            </w:r>
          </w:p>
        </w:tc>
        <w:tc>
          <w:tcPr>
            <w:tcW w:w="1061"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34</w:t>
            </w:r>
          </w:p>
        </w:tc>
        <w:tc>
          <w:tcPr>
            <w:tcW w:w="1220" w:type="dxa"/>
            <w:tcBorders>
              <w:top w:val="nil"/>
              <w:left w:val="nil"/>
              <w:bottom w:val="single" w:color="auto" w:sz="6" w:space="0"/>
              <w:right w:val="single" w:color="auto"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5" w:lineRule="atLeast"/>
              <w:ind w:left="0" w:right="0"/>
              <w:jc w:val="center"/>
              <w:textAlignment w:val="center"/>
            </w:pPr>
            <w:r>
              <w:rPr>
                <w:rFonts w:hint="default" w:ascii="仿宋_GB2312" w:eastAsia="仿宋_GB2312" w:cs="仿宋_GB2312"/>
                <w:sz w:val="24"/>
                <w:szCs w:val="24"/>
                <w:bdr w:val="none" w:color="auto" w:sz="0" w:space="0"/>
              </w:rPr>
              <w:t>27.5</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both"/>
      </w:pPr>
      <w:r>
        <w:rPr>
          <w:rFonts w:hint="default" w:ascii="仿宋_GB2312" w:hAnsi="微软雅黑" w:eastAsia="仿宋_GB2312" w:cs="仿宋_GB2312"/>
          <w:i w:val="0"/>
          <w:caps w:val="0"/>
          <w:color w:val="525353"/>
          <w:spacing w:val="0"/>
          <w:sz w:val="28"/>
          <w:szCs w:val="28"/>
          <w:bdr w:val="none" w:color="auto" w:sz="0" w:space="0"/>
          <w:shd w:val="clear" w:fill="FFFFFF"/>
        </w:rPr>
        <w:t>注：1.表中各电价含增值税、线损及交叉补贴，不含政府性基金及附加。</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690" w:right="0" w:hanging="810"/>
        <w:jc w:val="both"/>
        <w:textAlignment w:val="center"/>
      </w:pPr>
      <w:r>
        <w:rPr>
          <w:rFonts w:hint="default" w:ascii="仿宋_GB2312" w:hAnsi="微软雅黑" w:eastAsia="仿宋_GB2312" w:cs="仿宋_GB2312"/>
          <w:i w:val="0"/>
          <w:caps w:val="0"/>
          <w:color w:val="525353"/>
          <w:spacing w:val="0"/>
          <w:sz w:val="28"/>
          <w:szCs w:val="28"/>
          <w:bdr w:val="none" w:color="auto" w:sz="0" w:space="0"/>
          <w:shd w:val="clear" w:fill="FFFFFF"/>
        </w:rPr>
        <w:t>    2.参与电力市场化交易用户的输配电价水平执行上表价格，并按规定标准另行征收政府性基金及附加。具体标准为：农网还贷资金，两部制用电1.5分钱，单一制用电2.5分钱，核工业铀扩散厂和堆化工厂生产用电降低0.7分钱，抗灾救灾用电降低1分钱；国家重大水利工程建设基金0.1125分钱；大中型水库移民后期扶持资金0.62分钱；可再生能源电价附加1.9分钱；地方水库移民后期扶持资金0.05分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736" w:right="0" w:hanging="270"/>
        <w:jc w:val="both"/>
        <w:textAlignment w:val="center"/>
      </w:pPr>
      <w:r>
        <w:rPr>
          <w:rFonts w:hint="default" w:ascii="仿宋_GB2312" w:hAnsi="微软雅黑" w:eastAsia="仿宋_GB2312" w:cs="仿宋_GB2312"/>
          <w:i w:val="0"/>
          <w:caps w:val="0"/>
          <w:color w:val="525353"/>
          <w:spacing w:val="0"/>
          <w:sz w:val="28"/>
          <w:szCs w:val="28"/>
          <w:bdr w:val="none" w:color="auto" w:sz="0" w:space="0"/>
          <w:shd w:val="clear" w:fill="FFFFFF"/>
        </w:rPr>
        <w:t>3.500千伏“网对网”外送电省外购电用户承担的送出省输电价格为每千瓦时不超过0.0165元（含税、含线损）。</w:t>
      </w:r>
    </w:p>
    <w:sectPr>
      <w:footerReference r:id="rId3" w:type="default"/>
      <w:pgSz w:w="11906" w:h="16838"/>
      <w:pgMar w:top="2098" w:right="1587" w:bottom="209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jc w:val="right"/>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fldChar w:fldCharType="begin"/>
                          </w:r>
                          <w:r>
                            <w:rPr>
                              <w:rFonts w:hint="eastAsia" w:ascii="仿宋_GB2312" w:hAnsi="Calibri" w:eastAsia="仿宋_GB2312" w:cs="Times New Roman"/>
                              <w:sz w:val="28"/>
                              <w:szCs w:val="28"/>
                              <w:lang w:eastAsia="zh-CN"/>
                            </w:rPr>
                            <w:instrText xml:space="preserve"> PAGE  \* MERGEFORMAT </w:instrText>
                          </w:r>
                          <w:r>
                            <w:rPr>
                              <w:rFonts w:hint="eastAsia" w:ascii="仿宋_GB2312" w:hAnsi="Calibri" w:eastAsia="仿宋_GB2312" w:cs="Times New Roman"/>
                              <w:sz w:val="28"/>
                              <w:szCs w:val="28"/>
                              <w:lang w:eastAsia="zh-CN"/>
                            </w:rPr>
                            <w:fldChar w:fldCharType="separate"/>
                          </w:r>
                          <w:r>
                            <w:rPr>
                              <w:rFonts w:hint="eastAsia" w:ascii="仿宋_GB2312" w:hAnsi="Calibri" w:eastAsia="仿宋_GB2312" w:cs="Times New Roman"/>
                              <w:sz w:val="28"/>
                              <w:szCs w:val="28"/>
                              <w:lang w:eastAsia="zh-CN"/>
                            </w:rPr>
                            <w:t>1</w:t>
                          </w:r>
                          <w:r>
                            <w:rPr>
                              <w:rFonts w:hint="eastAsia" w:ascii="仿宋_GB2312" w:hAnsi="Calibri" w:eastAsia="仿宋_GB2312"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jc w:val="right"/>
                      <w:rPr>
                        <w:rFonts w:hint="eastAsia" w:ascii="仿宋_GB2312" w:hAnsi="Calibri" w:eastAsia="仿宋_GB2312" w:cs="Times New Roman"/>
                        <w:sz w:val="28"/>
                        <w:szCs w:val="28"/>
                        <w:lang w:eastAsia="zh-CN"/>
                      </w:rPr>
                    </w:pPr>
                    <w:r>
                      <w:rPr>
                        <w:rFonts w:hint="eastAsia" w:ascii="仿宋_GB2312" w:hAnsi="Calibri" w:eastAsia="仿宋_GB2312" w:cs="Times New Roman"/>
                        <w:sz w:val="28"/>
                        <w:szCs w:val="28"/>
                        <w:lang w:eastAsia="zh-CN"/>
                      </w:rPr>
                      <w:fldChar w:fldCharType="begin"/>
                    </w:r>
                    <w:r>
                      <w:rPr>
                        <w:rFonts w:hint="eastAsia" w:ascii="仿宋_GB2312" w:hAnsi="Calibri" w:eastAsia="仿宋_GB2312" w:cs="Times New Roman"/>
                        <w:sz w:val="28"/>
                        <w:szCs w:val="28"/>
                        <w:lang w:eastAsia="zh-CN"/>
                      </w:rPr>
                      <w:instrText xml:space="preserve"> PAGE  \* MERGEFORMAT </w:instrText>
                    </w:r>
                    <w:r>
                      <w:rPr>
                        <w:rFonts w:hint="eastAsia" w:ascii="仿宋_GB2312" w:hAnsi="Calibri" w:eastAsia="仿宋_GB2312" w:cs="Times New Roman"/>
                        <w:sz w:val="28"/>
                        <w:szCs w:val="28"/>
                        <w:lang w:eastAsia="zh-CN"/>
                      </w:rPr>
                      <w:fldChar w:fldCharType="separate"/>
                    </w:r>
                    <w:r>
                      <w:rPr>
                        <w:rFonts w:hint="eastAsia" w:ascii="仿宋_GB2312" w:hAnsi="Calibri" w:eastAsia="仿宋_GB2312" w:cs="Times New Roman"/>
                        <w:sz w:val="28"/>
                        <w:szCs w:val="28"/>
                        <w:lang w:eastAsia="zh-CN"/>
                      </w:rPr>
                      <w:t>1</w:t>
                    </w:r>
                    <w:r>
                      <w:rPr>
                        <w:rFonts w:hint="eastAsia" w:ascii="仿宋_GB2312" w:hAnsi="Calibri" w:eastAsia="仿宋_GB2312"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B2385"/>
    <w:rsid w:val="304B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3"/>
    <w:basedOn w:val="1"/>
    <w:next w:val="1"/>
    <w:unhideWhenUsed/>
    <w:qFormat/>
    <w:uiPriority w:val="9"/>
    <w:pPr>
      <w:spacing w:before="100" w:beforeAutospacing="1" w:after="100" w:afterAutospacing="1"/>
      <w:jc w:val="left"/>
      <w:outlineLvl w:val="2"/>
    </w:pPr>
    <w:rPr>
      <w:rFonts w:hint="eastAsia" w:ascii="宋体" w:hAnsi="宋体"/>
      <w:b/>
      <w:kern w:val="0"/>
      <w:sz w:val="27"/>
      <w:szCs w:val="27"/>
    </w:rPr>
  </w:style>
  <w:style w:type="character" w:default="1" w:styleId="8">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4">
    <w:name w:val="Body Text"/>
    <w:basedOn w:val="1"/>
    <w:unhideWhenUsed/>
    <w:qFormat/>
    <w:uiPriority w:val="1"/>
    <w:pPr>
      <w:spacing w:after="12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城中区</Company>
  <Pages>1</Pages>
  <Words>0</Words>
  <Characters>0</Characters>
  <Lines>0</Lines>
  <Paragraphs>0</Paragraphs>
  <TotalTime>7</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2021-10-27T03:50:00Z</dcterms:created>
  <dc:creator>林吱吱</dc:creator>
  <cp:lastModifiedBy>林吱吱</cp:lastModifiedBy>
  <dcterms:modified xsi:type="dcterms:W3CDTF">2021-10-27T03:58:06Z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