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</w:p>
    <w:p>
      <w:pPr>
        <w:snapToGrid w:val="0"/>
        <w:ind w:firstLine="0"/>
        <w:jc w:val="center"/>
        <w:outlineLvl w:val="9"/>
        <w:rPr>
          <w:rFonts w:ascii="Times New Roman" w:hAnsi="Times New Roman" w:eastAsia="方正大标宋简体" w:cs="Times New Roman"/>
          <w:spacing w:val="-2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柳建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规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〔2022〕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号</w:t>
      </w:r>
    </w:p>
    <w:p>
      <w:pPr>
        <w:snapToGrid w:val="0"/>
        <w:ind w:right="600" w:firstLine="5220" w:firstLineChars="1450"/>
        <w:jc w:val="both"/>
        <w:rPr>
          <w:rFonts w:hint="eastAsia"/>
          <w:sz w:val="36"/>
          <w:szCs w:val="36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shd w:val="clear" w:fill="FFFFFF"/>
        </w:rPr>
        <w:t>关于印发《柳州市新建商品房预售资金监管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shd w:val="clear" w:fill="FFFFFF"/>
        </w:rPr>
        <w:t>实施细则》的通知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银行业金融机构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，各房地产开发企业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，各相关单位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柳州市新建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商品房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预售资金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监管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使用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办法》（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柳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规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〔20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〕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号）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自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2019年9月20日施行以来，对加强我市商品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房预售资金监管，促进我市房地产市场健康发展发挥了重要作用。为进一步促进房地产市场平稳健康发展，维护购房人合法权益，防范市场风险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落实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新建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商品房预售资金监管相关规定，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柳州市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住房和城乡建设局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会同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中国人民银行柳州市中心支行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、中国银行保险监督管理委员会柳州监管分局对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柳州市新建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商品房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预售资金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监管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使用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办法》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进行了修订，现将修订后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更名的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柳州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新建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商品房预售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资金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监管实施细则》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予以公布施行。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《柳州市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新建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商品房预售资金监管实施细则》施行之日起，所有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新建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商品房预售资金全部存入“柳州市房产交易所预售资金监控账户”。新办理预售许可的项目楼栋，房地产开发企业自行选择符合条件的监管银行。本实施细则施行前已纳入监管的预售商品房项目楼栋，所签订的新建商品房买卖合同约定支付尚未存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预售资金监管账户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的购房款，统一进入“柳州市房产交易所预售资金监控账户”后，再通过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预售资金监控管理系统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自动分配至原监管账户，由原监管银行继续监管，原监管银行应按照已签订的《柳州市新建商品房预售资金监管金融委托协议》继续履行监管银行职责。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柳州市住房和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城乡建设局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中国人民银行柳州市中心支行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中国银行保险监督管理委员会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柳州监管分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3200" w:firstLineChars="10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2022年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日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7" w:lineRule="auto"/>
        <w:ind w:firstLine="560"/>
        <w:jc w:val="both"/>
        <w:textAlignment w:val="auto"/>
        <w:rPr>
          <w:rFonts w:eastAsia="仿宋_GB2312"/>
          <w:color w:val="auto"/>
          <w:sz w:val="32"/>
          <w:szCs w:val="32"/>
        </w:rPr>
        <w:sectPr>
          <w:footerReference r:id="rId3" w:type="default"/>
          <w:pgSz w:w="11906" w:h="16838"/>
          <w:pgMar w:top="2098" w:right="1474" w:bottom="1417" w:left="158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Style w:val="8"/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u w:val="none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highlight w:val="none"/>
          <w:u w:val="none"/>
          <w:shd w:val="clear" w:fill="FFFFFF"/>
          <w:lang w:eastAsia="zh-CN"/>
        </w:rPr>
        <w:t>柳州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highlight w:val="none"/>
          <w:u w:val="none"/>
          <w:shd w:val="clear" w:fill="FFFFFF"/>
        </w:rPr>
        <w:t>市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highlight w:val="none"/>
          <w:u w:val="none"/>
          <w:shd w:val="clear" w:fill="FFFFFF"/>
          <w:lang w:eastAsia="zh-CN"/>
        </w:rPr>
        <w:t>新建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highlight w:val="none"/>
          <w:u w:val="none"/>
          <w:shd w:val="clear" w:fill="FFFFFF"/>
        </w:rPr>
        <w:t>商品房预售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highlight w:val="none"/>
          <w:u w:val="none"/>
          <w:shd w:val="clear" w:fill="FFFFFF"/>
          <w:lang w:eastAsia="zh-CN"/>
        </w:rPr>
        <w:t>资金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highlight w:val="none"/>
          <w:u w:val="none"/>
          <w:shd w:val="clear" w:fill="FFFFFF"/>
        </w:rPr>
        <w:t>监管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u w:val="none"/>
        </w:rPr>
        <w:t>实施细则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Style w:val="8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u w:val="none"/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第一章  总则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第一条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 xml:space="preserve">  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防范房地产市场风险，维护社会稳定，落实“保交楼、保民生、保稳定”任务，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根据《中华人民共和国城市房地产管理法》《城市商品房预售管理办法》《广西壮族自治区房地产开发企业管理办法》等商品房预售资金监管相关规定，结合本市实际，制定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本细则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第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本市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市区范围内（不含柳江区）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新申请预售许可的商品房，其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预售资金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的收存、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使用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和监管工作，适用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细则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。保障性住房、人才公寓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等政策性住房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纳入本细则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fill="FFFFFF"/>
          <w:lang w:eastAsia="zh-CN"/>
        </w:rPr>
        <w:t>管理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各县、柳江区可参照本细则自行制定相应的政策实施管理，并报市级主管部门备案。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本细则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所称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fill="FFFFFF"/>
        </w:rPr>
        <w:t>品房预售资金，是指房地产开发企业将新建商品房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fill="FFFFFF"/>
          <w:lang w:eastAsia="zh-CN"/>
        </w:rPr>
        <w:t>进行预售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fill="FFFFFF"/>
        </w:rPr>
        <w:t>时，由购房人按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新建商品房买卖合同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fill="FFFFFF"/>
        </w:rPr>
        <w:t>约定支付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fill="FFFFFF"/>
          <w:lang w:eastAsia="zh-CN"/>
        </w:rPr>
        <w:t>的定金、首付款、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银行业金融机构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fill="FFFFFF"/>
          <w:lang w:eastAsia="zh-CN"/>
        </w:rPr>
        <w:t>发放的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fill="FFFFFF"/>
        </w:rPr>
        <w:t>按揭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fill="FFFFFF"/>
          <w:lang w:eastAsia="zh-CN"/>
        </w:rPr>
        <w:t>贷款和其他形式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fill="FFFFFF"/>
        </w:rPr>
        <w:t>（包括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fill="FFFFFF"/>
          <w:lang w:eastAsia="zh-CN"/>
        </w:rPr>
        <w:t>但不限于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fill="FFFFFF"/>
        </w:rPr>
        <w:t>一次性全额付款、分期付款、住房公积金管理中心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fill="FFFFFF"/>
          <w:lang w:eastAsia="zh-CN"/>
        </w:rPr>
        <w:t>发放的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fill="FFFFFF"/>
        </w:rPr>
        <w:t>按揭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fill="FFFFFF"/>
          <w:lang w:eastAsia="zh-CN"/>
        </w:rPr>
        <w:t>贷款等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fill="FFFFFF"/>
        </w:rPr>
        <w:t>）的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fill="FFFFFF"/>
          <w:lang w:eastAsia="zh-CN"/>
        </w:rPr>
        <w:t>全部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fill="FFFFFF"/>
        </w:rPr>
        <w:t>购房款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第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柳州市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住房和城乡建设局（以下简称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住房城乡建设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”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是柳州市商品房预售资金监管部门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(以下简称“监管部门”)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负责全市商品房预售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资金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监管的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fill="FFFFFF"/>
        </w:rPr>
        <w:t>组织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、协调和监督。具体负责制定相关政策措施，督促检查商品房预售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资金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监管实施情况，对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房地产开发企业、银行业金融机构的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履责情况进行监督管理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中国人民银行柳州市中心支行（以下简称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人民银行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柳州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中心支行”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）负责指导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银行业金融机构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做好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预售资金监管账户（以下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简称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“监管账户”）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管理工作。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中国银行保险监督管理委员会柳州监管分局（以下简称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“柳州银保监分局”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）负责对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银行业金融机构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预售资金监管的操作风险和合规性进行监督检查。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柳州市房产交易所受市住房城乡建设局委托，具体负责预售资金的收存、使用管理工作；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负责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设立“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柳州市房产交易所预售资金监控账户”（以下简称“预售资金监控账户”），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对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预售资金监控管理系统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进行维护、管理和使用；负责开展预售资金监管的政策宣传、业务培训和监督管理等工作。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监管银行是指市住房城乡建设局会同人民银行柳州市中心支行、柳州银保监分局通过公开招标方式确定，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符合预售资金监管条件并与市住房城乡建设局签订《柳州市新建商品房预售资金监管金融委托协议》的银行业金融机构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。负责对房地产开发项目对应的监管账户进行监督、管理和执行使用，配合柳州市房产交易所做好预售资金的收存、使用管理。并按照本细则开展涉及新建商品房预售资金的经营管理活动，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包括且不限于开设监管账户、规范收存预售资金、将按揭款直接存入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预售资金监控账户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等。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 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第二章  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预售资金监控账户和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监管账户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第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五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 xml:space="preserve">  柳州市商品房预售资金统一纳入预售资金监控账户管理，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预售商品房项目现场安装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预售资金监控账户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专用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POS机，购房者将购房款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存入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预售资金监控账户。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购房人可通过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市住房城乡建设局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门户网站查询所购房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屋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预售资金入账信息。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监管部门组建柳州市商品房预售资金监管平台（以下简称“监管平台”），该平台包括预售资金监控管理系统（以下简称“监控系统”）、预售资金监管系统（以下简称“监管系统”）、数据交换共享系统等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子系统。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监控系统记录预售资金收存及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使用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情况，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购房款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存入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预售资金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监控账户后，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监控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系统自动分配到对应项目监管账户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监管系统记载监管账户资金情况，房地产开发企业申请使用预售资金在该系统办理。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第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六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 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房地产开发企业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在办理商品房预售许可申请前，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按照一次预售许可申请对应一个账户的原则开设监管账户，并与监管部门、监管银行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签订《新建商品房预售资金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三方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监管协议》（以下简称《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三方监管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协议》）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。房地产开发企业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预售商品房期间，应在商品房销售现场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一并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公示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预售资金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监控账户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信息及《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三方监管协议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》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文本。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三方监管协议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》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包括商品房基本情况、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预售资金监控账户、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监管账户、监管额度、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预售资金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收存及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使用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方式、权利义务、违约责任、争议解决方式等内容。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第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七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 xml:space="preserve">  监管额度是监管账户中确保项目竣工交付所需的资金额度，由房地产开发企业自行申报，监管部门根据项目建设工程造价、施工合同金额、项目交付使用条件等情况综合评估确定。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第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八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三方监管协议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》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签订后，原则上不予办理监管银行、监管账户的变更。确需变更的，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房地产开发企业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与监管部门、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监管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银行重新签订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三方监管协议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》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，在销售现场公示并告知购房人。变更期间不予办理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新建商品房买卖合同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网签、预售资金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收存、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使用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等业务。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监管账户被人民法院冻结的，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监管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银行应及时通知监管部门。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fill="FFFFFF"/>
        </w:rPr>
        <w:t>房地产开发企业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、商品房建设工程款债权人、材料款债权人、租赁设备款债权人等请求以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监管账户资金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支付本项目所涉工程建设进度款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、农民工工资、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材料款、设备款等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项目建设所需资金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，或者购房人因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购房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合同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解除申请退还购房款的，经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房地产开发企业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申请、监管部门审核同意后，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监管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银行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应当及时支付，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并将付款情况及时向人民法院报告。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第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九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预售商品房完成房屋所有权首次登记的，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房地产开发企业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可向监管部门申请解除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预售资金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监管，监管部门确认通过后，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房地产开发企业可与监管银行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办理监管账户注销手续。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 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第三章  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预售资金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的收存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第十条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房地产开发企业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应当将购房人通过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POS机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等方式支付的购房款全部直接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存入预售资金监控账户，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不得以其他任何形式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或账户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违规收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存预售资金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银行业金融机构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受理购房人申请住房按揭贷款时，应审核首付款足额缴存至预售资金监控账户的凭证，在签订的房屋抵押合同中明确预售资金监控账户、监管账户信息，明确约定将住房按揭贷款直接发放至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预售资金监控账户，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并按要求办理房屋抵押合同网签备案。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房地产开发企业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按规定在办理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新建商品房买卖合同网签备案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柳州市房产交易所应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核验该商品房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购房款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存入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预售资金监控账户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的信息。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付款方式为一次性、分期、其他方式购买商品房的，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每套房屋入账金额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与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新建商品房买卖合同约定入账金额相匹配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时，方能办理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该套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新建商品房买卖合同网签备案；付款方式为按揭贷款购买商品房的，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每套房屋入账金额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与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新建商品房买卖合同约定首付金额相匹配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，并按要求办理房屋抵押合同网签申请，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方能办理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该套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新建商品房买卖合同及抵押合同网签备案。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第十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监管银行需认真做好预售资金流水审核，对不明资金进账，要及时进行清理清退，监管账户只允许接收预售资金监控账户自动分配转入的购房款项。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u w:val="none"/>
          <w:lang w:eastAsia="zh-CN"/>
        </w:rPr>
        <w:t>存入预售资金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u w:val="none"/>
        </w:rPr>
        <w:t>监控账户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u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购房款项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u w:val="none"/>
          <w:lang w:eastAsia="zh-CN"/>
        </w:rPr>
        <w:t>，应附对应“一房一码”，监控系统自动分配当天完成转入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u w:val="none"/>
        </w:rPr>
        <w:t>对应项目监管账户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u w:val="none"/>
          <w:lang w:eastAsia="zh-CN"/>
        </w:rPr>
        <w:t>，对不明入账款项当天系统原路退回。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第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十二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房地产开发企业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预售新建商品房时，应当在商品房买卖合同中注明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用于收存购房款的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预售资金监控账户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信息，并与购房人约定将定金及其他购房款直接存入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预售资金监控账户。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第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十三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购房人申请办理购房贷款的，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房地产开发企业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、购房人、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银行业金融机构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有关按揭协议应当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作出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明确约定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银行业金融机构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及公积金管理中心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应当将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按揭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贷款直接划转至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预售资金监控账户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 xml:space="preserve"> 购房人退房的，由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房地产开发企业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直接申请退款，经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柳州市房产交易所审核，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其已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收存入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监管账户的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购房款直接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退付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购房人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 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lang w:eastAsia="zh-CN"/>
        </w:rPr>
      </w:pPr>
      <w:r>
        <w:rPr>
          <w:rStyle w:val="8"/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第四章  </w:t>
      </w:r>
      <w:r>
        <w:rPr>
          <w:rStyle w:val="8"/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预售资金</w:t>
      </w:r>
      <w:r>
        <w:rPr>
          <w:rStyle w:val="8"/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的</w:t>
      </w:r>
      <w:r>
        <w:rPr>
          <w:rStyle w:val="8"/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使用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第十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五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监管账户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累计收存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的预售资金超过监管额度的，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对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超出监管额度的资金，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房地产开发企业可根据企业需要，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通过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监管系统提出使用申请，监管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银行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收到系统划转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指令即可办理资金划转业务。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第十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六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监管额度内的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预售资金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原则上用于项目的工程建设，在确保项目交付的基础上，可根据经济形势需要，经监管部门审批调整使用。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监管账户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累计收存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的预售资金未达到监管额度时，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因工程建设需要，房地产开发企业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可以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按照监管额度构成情况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和资金使用优先级别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申请使用监管额度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内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资金，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应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优先保障农民工工资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和项目建设其他直接费用。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第十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七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房地产开发企业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申请使用监管额度内的有关资金的，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应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按照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三方监管协议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》相关约定，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通过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监管系统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提出资金使用申请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，柳州市房产交易所自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受理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使用申请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之日起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个工作日内完成相关资料审核，对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于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符合条件的，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柳州市房产交易所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通过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监管系统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监管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银行发送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划转指令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监管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银行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按指令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直接划转至指定账户。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 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房地产开发企业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申请使用监管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额度内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资金，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应通过监管系统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提交以下材料：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使用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监管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额度资金申请；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对应的形象进度证明材料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施工总包单位或者相关分项工程施工单位的工程款支付账户、金额、用途说明；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达到形象进度应当支付的农民工工资账户、金额、用途说明；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其他应当提交的证明材料。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监管账户中监管额度内的资金不同于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房地产开发企业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自有资金，应当专款专用，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应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按照监管额度构成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和资金使用优先级别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用于包括项目建设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必须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工程勘察、设计、测绘、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建筑材料、设备和施工进度款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、工程装饰装修、绿化、消防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等相关支出。监管额度内的资金，在商品房项目完成房屋所有权首次登记前，</w:t>
      </w:r>
      <w:r>
        <w:rPr>
          <w:rFonts w:hint="eastAsia" w:ascii="仿宋_GB2312" w:hAnsi="仿宋_GB2312" w:eastAsia="仿宋_GB2312" w:cs="仿宋_GB2312"/>
          <w:i w:val="0"/>
          <w:caps w:val="0"/>
          <w:strike w:val="0"/>
          <w:dstrike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监管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银行不得擅自扣划；设立子公司的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房地产开发企业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，集团公司不得抽调。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第十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八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房地产开发企业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申请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使用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监管额度内的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预售资金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，应满足相应的工程建设进度要求，首次拨付节点不得早于地下结构完成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建筑物主体结构封顶前使用比例不超过监管额度的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70%，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最后拨付节点为房屋所有权首次登记,且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使用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后的余额应满足以下要求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：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）完成建设工程竣工验收备案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，监管账户内资金余额应当不低于监管额度的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5%；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（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）完成该预售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房屋所有权首次登记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前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，监管账户内资金余额应当不低于监管额度的2%；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）完成该预售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项目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房屋所有权首次登记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后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，可以申请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解除商品房预售资金监管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 xml:space="preserve"> 重点监管项目是指预售商品房项目因销售不畅等原因，监管账户内的资金未达到监管额度，且工程形象进度及账户余额不满足规定要求，或者出现重大经营性风险、可能引发重大矛盾纠纷的项目，柳州市房产交易所在监管平台予以标注，并推送监管银行。列为重点监管项目期间，该项目所有预售资金全额监管。房地产开发企业申请后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按照监管额度构成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和资金使用优先级别，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由柳州市房产交易所对每一笔资金使用用途进行核查，审核通过后，受理资金使用申请，发送资金划转指令到监管银行划款。该项目风险隐患消除后，可取消对该项目的重点监管，其预售资金使用按照本办法第十六条、第十七条、第十八条的相关规定执行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房地产开发企业开发的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预售商品房项目中涉及配建安置房屋的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安置房建设完成交付前，项目整体列为重点监管项目，监管账户内资金应优先用于该项目预售商品房建设。项目内安置房建设全部完成并交付后，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可取消对该项目的重点监管，其预售资金使用按照本办法第十六条、第十七条、第十八条的相关规定执行。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第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二十一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除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本细则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第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十九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条规定外，预售商品房有下列情形之一的，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柳州市房产交易所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自受理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房地产开发企业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申请之日起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个工作日内，通过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监管系统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出具不予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使用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意见并说明理由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：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监管额度内资金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使用进度与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工程建设进度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不匹配的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监管账户内资金余额未达到相应节点留存余额要求，房地产开发企业申请用于非工程建设款项的；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房地产开发企业弄虚作假，虚报相关材料及数据的； 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房地产开发企业违反中央、自治区、我市预售资金监管相关规定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且未按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要求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整改到位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的。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</w:rPr>
      </w:pPr>
      <w:r>
        <w:rPr>
          <w:rStyle w:val="8"/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第五章  监督管理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第二十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市住房城乡建设局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与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人民银行柳州市中心支行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柳州银保监分局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建立联动工作机制，按照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预售资金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监管职责对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房地产开发企业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银行业金融机构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预售资金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监管方面进行监督指导，发现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房地产开发企业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抽逃、挪用预售资金以及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银行业金融机构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违规扣划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、截留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预售资金等违法违规行为的，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依法依规严肃处理。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第二十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柳州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市房产交易所、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监管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银行、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房地产开发企业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应加强监管平台预警指标处置工作，确保专人专岗，及时核查预警事项，限期在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监管系统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上反馈核查结果。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第二十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市住房城乡建设局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对商品房项目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预售资金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的监管额度测算和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预售资金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收存、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使用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等情况开展随机监督抽查，并对存在以下情形的商品房项目实施重点监督检查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：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（一）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监控系统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发出预警信息的商品房项目；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（二）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涉及多次聚众上访、重大经济纠纷等引发社会矛盾、涉稳风险问题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的预售商品房项目及其关联企业建设的其他预售商品房项目；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）其他根据监管需要进行重点检查的预售商品房项目。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柳州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市房产交易所受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市住房城乡建设局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委托，协助开展商品房项目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预售资金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监管的抽查和重点检查工作，核查监管项目的资金异动情况，对存在风险的项目及时启动预警机制。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监管银行、按揭贷款银行、住房公积金管理机构应依法予以配合。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第二十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五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房地产开发企业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有下列情形之一的，由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市住房城乡建设局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责令其限期整改，整改期间暂停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项目商品房预（现）售和商品房网签备案系统使用权限，视情节予以通报等处理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：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（一）未按规定收存、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使用预售资金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（二）提供虚假材料申请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使用预售资金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（三）其他违反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预售资金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监管规定的行为。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情节严重且逾期未整改到位的，实施联动处置，按照相关规定抄送企业总部、暂停其在全市所有商品房项目的预（现）售、商品房网签备案系统使用权限。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涉及违反相关法律法规的，依法依规严肃处理。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第二十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六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监管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银行要严格按照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三方监管协议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》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做好监管账户监控，定期与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柳州市房产交易所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进行对账，发现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房地产开发企业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存在违规挪用监管额度内资金问题的，应当停止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划转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，并立即告知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柳州市房产交易所。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监管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银行对于未经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柳州市房产交易所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审核的资金使用申请，不予办理监管额度内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资金使用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、划转手续。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监管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银行违反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三方监管协议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》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，未经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柳州市房产交易所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核实同意，擅自拨付监管额度内资金的，应当负责追回资金，无法追回的依法承担相应赔偿责任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依照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三方监管协议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》条款进行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处理；情节严重的，除承担相应违约责任外，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市住房城乡建设局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予以公开通报，并抄送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人民银行柳州市中心支行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柳州银保监分局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第二十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七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银行业金融机构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有下列情形之一的，从违规事实确认之日起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年内不得在本市开展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预售资金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监管业务，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市住房城乡建设局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不与其签订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《柳州市新建商品房预售资金监管金融委托协议》和《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三方监管协议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》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，同时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市住房城乡建设局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将其违规事项抄送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人民银行柳州市中心支行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柳州银保监分局：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按揭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贷款银行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未以资金缴存入预售资金监控账户凭证作为首付款缴存依据，未办理房屋抵押合同网签备案，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未按规定将购房人的按揭贷款、住房公积金贷款发放至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预售资金监控账户，且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不配合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整改的；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非监管银行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银行业金融机构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接到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柳州市房产交易所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等反映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房地产开发企业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将购房款违规收存至该行账户后，不配合划转或追缴资金至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预售资金监控账户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的。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第二十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八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勘察、设计、施工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等有关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单位提供虚假材料或采取其他方式协助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房地产开发企业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违规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使用预售资金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的，由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市住房城乡建设局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责令其限期改正，对逾期未整改到位的，视情节按规定从严从重处理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；构成犯罪的，依法移交司法机关追究刑事责任。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第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二十九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相关部门及银行工作人员在预售资金监管、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预售资金收存、使用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过程中，滥用职权、玩忽职守、徇私舞弊、泄露工作秘密的，依法给予处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理；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构成犯罪的，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依法移交司法机关追究刑事责任。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Style w:val="8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</w:rPr>
      </w:pPr>
      <w:r>
        <w:rPr>
          <w:rStyle w:val="8"/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第六章  附则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第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三十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本细则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具体适用中的问题，由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市住房城乡建设局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进行解释。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第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三十一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本细则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自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2022年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月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日起施行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《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柳州市新建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商品房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预售资金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监管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使用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办法》（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柳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建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规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〔20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〕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号）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同时废止，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现有规定与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本细则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规定不一致的，以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本细则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为准。国家、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自治区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有新规定的，按新规定执行。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exact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exact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exact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exact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exact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exact"/>
        <w:ind w:right="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exact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</w:pPr>
    </w:p>
    <w:p>
      <w:pPr>
        <w:tabs>
          <w:tab w:val="left" w:pos="1800"/>
        </w:tabs>
        <w:adjustRightInd w:val="0"/>
        <w:snapToGrid w:val="0"/>
        <w:spacing w:line="300" w:lineRule="auto"/>
        <w:rPr>
          <w:rFonts w:hint="eastAsia" w:eastAsia="仿宋_GB2312"/>
          <w:color w:val="auto"/>
          <w:sz w:val="32"/>
          <w:szCs w:val="32"/>
        </w:rPr>
      </w:pPr>
      <w:r>
        <w:rPr>
          <w:rFonts w:eastAsia="方正小标宋_GBK"/>
          <w:color w:val="auto"/>
          <w:sz w:val="32"/>
          <w:szCs w:val="32"/>
        </w:rPr>
        <w:t>公开方式：</w:t>
      </w:r>
      <w:r>
        <w:rPr>
          <w:rFonts w:hint="eastAsia" w:eastAsia="仿宋_GB2312"/>
          <w:color w:val="auto"/>
          <w:sz w:val="32"/>
          <w:szCs w:val="32"/>
          <w:lang w:eastAsia="zh-CN"/>
        </w:rPr>
        <w:t>主动</w:t>
      </w:r>
      <w:r>
        <w:rPr>
          <w:rFonts w:eastAsia="仿宋_GB2312"/>
          <w:color w:val="auto"/>
          <w:sz w:val="32"/>
          <w:szCs w:val="32"/>
        </w:rPr>
        <w:t>公开</w:t>
      </w:r>
      <w:bookmarkStart w:id="0" w:name="_GoBack"/>
      <w:bookmarkEnd w:id="0"/>
    </w:p>
    <w:sectPr>
      <w:pgSz w:w="11906" w:h="16838"/>
      <w:pgMar w:top="2098" w:right="1474" w:bottom="141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492DF4"/>
    <w:multiLevelType w:val="singleLevel"/>
    <w:tmpl w:val="A4492DF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B1B17C3"/>
    <w:multiLevelType w:val="singleLevel"/>
    <w:tmpl w:val="BB1B17C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8A1DC3E"/>
    <w:multiLevelType w:val="singleLevel"/>
    <w:tmpl w:val="08A1DC3E"/>
    <w:lvl w:ilvl="0" w:tentative="0">
      <w:start w:val="3"/>
      <w:numFmt w:val="chineseCounting"/>
      <w:suff w:val="space"/>
      <w:lvlText w:val="第%1条"/>
      <w:lvlJc w:val="left"/>
      <w:pPr>
        <w:ind w:left="-42"/>
      </w:pPr>
      <w:rPr>
        <w:rFonts w:hint="eastAsia"/>
      </w:rPr>
    </w:lvl>
  </w:abstractNum>
  <w:abstractNum w:abstractNumId="3">
    <w:nsid w:val="15C80DDB"/>
    <w:multiLevelType w:val="singleLevel"/>
    <w:tmpl w:val="15C80DDB"/>
    <w:lvl w:ilvl="0" w:tentative="0">
      <w:start w:val="19"/>
      <w:numFmt w:val="chineseCounting"/>
      <w:suff w:val="space"/>
      <w:lvlText w:val="第%1条"/>
      <w:lvlJc w:val="left"/>
      <w:pPr>
        <w:ind w:firstLine="40"/>
      </w:pPr>
      <w:rPr>
        <w:rFonts w:hint="eastAsia"/>
      </w:rPr>
    </w:lvl>
  </w:abstractNum>
  <w:abstractNum w:abstractNumId="4">
    <w:nsid w:val="1F857B2F"/>
    <w:multiLevelType w:val="singleLevel"/>
    <w:tmpl w:val="1F857B2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7298F287"/>
    <w:multiLevelType w:val="singleLevel"/>
    <w:tmpl w:val="7298F287"/>
    <w:lvl w:ilvl="0" w:tentative="0">
      <w:start w:val="14"/>
      <w:numFmt w:val="chineseCounting"/>
      <w:suff w:val="space"/>
      <w:lvlText w:val="第%1条"/>
      <w:lvlJc w:val="left"/>
      <w:pPr>
        <w:ind w:left="210"/>
      </w:pPr>
      <w:rPr>
        <w:rFonts w:hint="eastAsia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yMTc5Y2ZjMmM1OGY3ZDc4YzZjOWY3MmI1MTVkMjAifQ=="/>
  </w:docVars>
  <w:rsids>
    <w:rsidRoot w:val="00000000"/>
    <w:rsid w:val="0299120C"/>
    <w:rsid w:val="02D327E0"/>
    <w:rsid w:val="06AE3F94"/>
    <w:rsid w:val="08945512"/>
    <w:rsid w:val="0BE36E07"/>
    <w:rsid w:val="0D07062D"/>
    <w:rsid w:val="0DE9187B"/>
    <w:rsid w:val="0E41226D"/>
    <w:rsid w:val="0FFBA056"/>
    <w:rsid w:val="12F56DB4"/>
    <w:rsid w:val="14210150"/>
    <w:rsid w:val="14574D38"/>
    <w:rsid w:val="146A4898"/>
    <w:rsid w:val="17D77D7E"/>
    <w:rsid w:val="1AB0479B"/>
    <w:rsid w:val="1B5E2AB6"/>
    <w:rsid w:val="1B790D50"/>
    <w:rsid w:val="1BBD611A"/>
    <w:rsid w:val="1E8439DB"/>
    <w:rsid w:val="1FCC638E"/>
    <w:rsid w:val="1FD424F9"/>
    <w:rsid w:val="21382E58"/>
    <w:rsid w:val="23EC0755"/>
    <w:rsid w:val="260823CB"/>
    <w:rsid w:val="2642199A"/>
    <w:rsid w:val="26E97BC4"/>
    <w:rsid w:val="277BF8B4"/>
    <w:rsid w:val="285D30E8"/>
    <w:rsid w:val="2B9C4713"/>
    <w:rsid w:val="2D440774"/>
    <w:rsid w:val="2FA801C0"/>
    <w:rsid w:val="2FF76A46"/>
    <w:rsid w:val="32EC11F8"/>
    <w:rsid w:val="339E1BE5"/>
    <w:rsid w:val="33A15BB1"/>
    <w:rsid w:val="34634242"/>
    <w:rsid w:val="355D42CF"/>
    <w:rsid w:val="389179D6"/>
    <w:rsid w:val="3C823E13"/>
    <w:rsid w:val="3D81162A"/>
    <w:rsid w:val="3EE919DB"/>
    <w:rsid w:val="3F3B2B68"/>
    <w:rsid w:val="3FC629E6"/>
    <w:rsid w:val="3FEF3570"/>
    <w:rsid w:val="43344737"/>
    <w:rsid w:val="43A22DD9"/>
    <w:rsid w:val="45DB7536"/>
    <w:rsid w:val="475D6979"/>
    <w:rsid w:val="48F50166"/>
    <w:rsid w:val="4C36089D"/>
    <w:rsid w:val="51CF6F3E"/>
    <w:rsid w:val="567718EE"/>
    <w:rsid w:val="58105C66"/>
    <w:rsid w:val="583E17A2"/>
    <w:rsid w:val="5A4447DF"/>
    <w:rsid w:val="5A683D07"/>
    <w:rsid w:val="60ED3E40"/>
    <w:rsid w:val="622D22AC"/>
    <w:rsid w:val="68A11C00"/>
    <w:rsid w:val="696A67EC"/>
    <w:rsid w:val="69965A58"/>
    <w:rsid w:val="6A8F37D0"/>
    <w:rsid w:val="6B8A0C90"/>
    <w:rsid w:val="6DC131F2"/>
    <w:rsid w:val="703460E4"/>
    <w:rsid w:val="71396938"/>
    <w:rsid w:val="721F64A0"/>
    <w:rsid w:val="739A6421"/>
    <w:rsid w:val="73AB43A0"/>
    <w:rsid w:val="780D5EC3"/>
    <w:rsid w:val="79E868C8"/>
    <w:rsid w:val="7C0204A3"/>
    <w:rsid w:val="7F5CA1BC"/>
    <w:rsid w:val="7FEFBAD1"/>
    <w:rsid w:val="7FFFF0EB"/>
    <w:rsid w:val="AFFFFA20"/>
    <w:rsid w:val="BEAF2DBE"/>
    <w:rsid w:val="CEF37E5C"/>
    <w:rsid w:val="D6F61F73"/>
    <w:rsid w:val="DE123BB5"/>
    <w:rsid w:val="FBAB0E9D"/>
    <w:rsid w:val="FF5006E1"/>
    <w:rsid w:val="FFFB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7393</Words>
  <Characters>7436</Characters>
  <Lines>0</Lines>
  <Paragraphs>0</Paragraphs>
  <TotalTime>12</TotalTime>
  <ScaleCrop>false</ScaleCrop>
  <LinksUpToDate>false</LinksUpToDate>
  <CharactersWithSpaces>7626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Administrator</cp:lastModifiedBy>
  <cp:lastPrinted>2022-10-09T01:29:00Z</cp:lastPrinted>
  <dcterms:modified xsi:type="dcterms:W3CDTF">2022-10-11T09:15:43Z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0CC50A579E5C4E91BBB727743405F707</vt:lpwstr>
  </property>
</Properties>
</file>