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04BE5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0"/>
        <w:jc w:val="center"/>
        <w:textAlignment w:val="auto"/>
        <w:rPr>
          <w:rFonts w:hint="eastAsia" w:ascii="仿宋" w:hAnsi="仿宋" w:eastAsia="仿宋" w:cs="仿宋"/>
          <w:b/>
          <w:bCs/>
          <w:i w:val="0"/>
          <w:iCs w:val="0"/>
          <w:caps w:val="0"/>
          <w:color w:val="333333"/>
          <w:spacing w:val="0"/>
          <w:sz w:val="42"/>
          <w:szCs w:val="42"/>
          <w:shd w:val="clear" w:fill="FFFFFF"/>
        </w:rPr>
      </w:pPr>
    </w:p>
    <w:p w14:paraId="29DDE9C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0"/>
        <w:jc w:val="center"/>
        <w:textAlignment w:val="auto"/>
        <w:rPr>
          <w:rFonts w:hint="eastAsia" w:ascii="黑体" w:hAnsi="黑体" w:eastAsia="黑体" w:cs="黑体"/>
          <w:b/>
          <w:bCs/>
          <w:i w:val="0"/>
          <w:iCs w:val="0"/>
          <w:caps w:val="0"/>
          <w:color w:val="333333"/>
          <w:spacing w:val="0"/>
          <w:sz w:val="43"/>
          <w:szCs w:val="42"/>
          <w:shd w:val="clear" w:fill="FFFFFF"/>
        </w:rPr>
      </w:pPr>
      <w:r>
        <w:rPr>
          <w:rFonts w:hint="eastAsia" w:ascii="黑体" w:hAnsi="黑体" w:eastAsia="黑体" w:cs="黑体"/>
          <w:b/>
          <w:bCs/>
          <w:i w:val="0"/>
          <w:iCs w:val="0"/>
          <w:caps w:val="0"/>
          <w:color w:val="333333"/>
          <w:spacing w:val="0"/>
          <w:sz w:val="43"/>
          <w:szCs w:val="42"/>
          <w:shd w:val="clear" w:fill="FFFFFF"/>
        </w:rPr>
        <w:t xml:space="preserve"> 《柳州市餐厨废弃物管理办法》</w:t>
      </w:r>
    </w:p>
    <w:p w14:paraId="46EEAB9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0"/>
        <w:jc w:val="center"/>
        <w:textAlignment w:val="auto"/>
        <w:rPr>
          <w:rFonts w:hint="eastAsia" w:ascii="黑体" w:hAnsi="黑体" w:eastAsia="黑体" w:cs="黑体"/>
          <w:b/>
          <w:bCs/>
          <w:i w:val="0"/>
          <w:iCs w:val="0"/>
          <w:caps w:val="0"/>
          <w:color w:val="333333"/>
          <w:spacing w:val="0"/>
          <w:sz w:val="43"/>
          <w:szCs w:val="42"/>
          <w:shd w:val="clear" w:fill="FFFFFF"/>
        </w:rPr>
      </w:pPr>
    </w:p>
    <w:p w14:paraId="7188CB0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0" w:afterAutospacing="0" w:line="360" w:lineRule="auto"/>
        <w:ind w:left="0" w:right="0" w:firstLine="0"/>
        <w:jc w:val="center"/>
        <w:textAlignment w:val="auto"/>
        <w:rPr>
          <w:rFonts w:ascii="楷体" w:hAnsi="楷体" w:eastAsia="楷体" w:cs="楷体"/>
          <w:i w:val="0"/>
          <w:iCs w:val="0"/>
          <w:caps w:val="0"/>
          <w:color w:val="333333"/>
          <w:spacing w:val="0"/>
          <w:sz w:val="27"/>
          <w:szCs w:val="27"/>
          <w:shd w:val="clear" w:fill="FFFFFF"/>
        </w:rPr>
      </w:pPr>
      <w:r>
        <w:rPr>
          <w:rFonts w:ascii="楷体" w:hAnsi="楷体" w:eastAsia="楷体" w:cs="楷体"/>
          <w:i w:val="0"/>
          <w:iCs w:val="0"/>
          <w:caps w:val="0"/>
          <w:color w:val="333333"/>
          <w:spacing w:val="0"/>
          <w:sz w:val="27"/>
          <w:szCs w:val="27"/>
          <w:shd w:val="clear" w:fill="FFFFFF"/>
        </w:rPr>
        <w:t>（20</w:t>
      </w:r>
      <w:r>
        <w:rPr>
          <w:rFonts w:hint="eastAsia" w:ascii="楷体" w:hAnsi="楷体" w:eastAsia="楷体" w:cs="楷体"/>
          <w:i w:val="0"/>
          <w:iCs w:val="0"/>
          <w:caps w:val="0"/>
          <w:color w:val="333333"/>
          <w:spacing w:val="0"/>
          <w:sz w:val="27"/>
          <w:szCs w:val="27"/>
          <w:shd w:val="clear" w:fill="FFFFFF"/>
          <w:lang w:val="en-US" w:eastAsia="zh-CN"/>
        </w:rPr>
        <w:t>17</w:t>
      </w:r>
      <w:r>
        <w:rPr>
          <w:rFonts w:ascii="楷体" w:hAnsi="楷体" w:eastAsia="楷体" w:cs="楷体"/>
          <w:i w:val="0"/>
          <w:iCs w:val="0"/>
          <w:caps w:val="0"/>
          <w:color w:val="333333"/>
          <w:spacing w:val="0"/>
          <w:sz w:val="27"/>
          <w:szCs w:val="27"/>
          <w:shd w:val="clear" w:fill="FFFFFF"/>
        </w:rPr>
        <w:t>年12月</w:t>
      </w:r>
      <w:r>
        <w:rPr>
          <w:rFonts w:hint="eastAsia" w:ascii="楷体" w:hAnsi="楷体" w:eastAsia="楷体" w:cs="楷体"/>
          <w:i w:val="0"/>
          <w:iCs w:val="0"/>
          <w:caps w:val="0"/>
          <w:color w:val="333333"/>
          <w:spacing w:val="0"/>
          <w:sz w:val="27"/>
          <w:szCs w:val="27"/>
          <w:shd w:val="clear" w:fill="FFFFFF"/>
          <w:lang w:val="en-US" w:eastAsia="zh-CN"/>
        </w:rPr>
        <w:t>7</w:t>
      </w:r>
      <w:r>
        <w:rPr>
          <w:rFonts w:ascii="楷体" w:hAnsi="楷体" w:eastAsia="楷体" w:cs="楷体"/>
          <w:i w:val="0"/>
          <w:iCs w:val="0"/>
          <w:caps w:val="0"/>
          <w:color w:val="333333"/>
          <w:spacing w:val="0"/>
          <w:sz w:val="27"/>
          <w:szCs w:val="27"/>
          <w:shd w:val="clear" w:fill="FFFFFF"/>
        </w:rPr>
        <w:t>日柳州市人民政府令第</w:t>
      </w:r>
      <w:r>
        <w:rPr>
          <w:rFonts w:hint="eastAsia" w:ascii="楷体" w:hAnsi="楷体" w:eastAsia="楷体" w:cs="楷体"/>
          <w:i w:val="0"/>
          <w:iCs w:val="0"/>
          <w:caps w:val="0"/>
          <w:color w:val="333333"/>
          <w:spacing w:val="0"/>
          <w:sz w:val="27"/>
          <w:szCs w:val="27"/>
          <w:shd w:val="clear" w:fill="FFFFFF"/>
          <w:lang w:val="en-US" w:eastAsia="zh-CN"/>
        </w:rPr>
        <w:t>2</w:t>
      </w:r>
      <w:r>
        <w:rPr>
          <w:rFonts w:ascii="楷体" w:hAnsi="楷体" w:eastAsia="楷体" w:cs="楷体"/>
          <w:i w:val="0"/>
          <w:iCs w:val="0"/>
          <w:caps w:val="0"/>
          <w:color w:val="333333"/>
          <w:spacing w:val="0"/>
          <w:sz w:val="27"/>
          <w:szCs w:val="27"/>
          <w:shd w:val="clear" w:fill="FFFFFF"/>
        </w:rPr>
        <w:t>号公布 自20</w:t>
      </w:r>
      <w:r>
        <w:rPr>
          <w:rFonts w:hint="eastAsia" w:ascii="楷体" w:hAnsi="楷体" w:eastAsia="楷体" w:cs="楷体"/>
          <w:i w:val="0"/>
          <w:iCs w:val="0"/>
          <w:caps w:val="0"/>
          <w:color w:val="333333"/>
          <w:spacing w:val="0"/>
          <w:sz w:val="27"/>
          <w:szCs w:val="27"/>
          <w:shd w:val="clear" w:fill="FFFFFF"/>
          <w:lang w:val="en-US" w:eastAsia="zh-CN"/>
        </w:rPr>
        <w:t>18</w:t>
      </w:r>
      <w:r>
        <w:rPr>
          <w:rFonts w:ascii="楷体" w:hAnsi="楷体" w:eastAsia="楷体" w:cs="楷体"/>
          <w:i w:val="0"/>
          <w:iCs w:val="0"/>
          <w:caps w:val="0"/>
          <w:color w:val="333333"/>
          <w:spacing w:val="0"/>
          <w:sz w:val="27"/>
          <w:szCs w:val="27"/>
          <w:shd w:val="clear" w:fill="FFFFFF"/>
        </w:rPr>
        <w:t>年1</w:t>
      </w:r>
      <w:r>
        <w:rPr>
          <w:rFonts w:hint="eastAsia" w:ascii="楷体" w:hAnsi="楷体" w:eastAsia="楷体" w:cs="楷体"/>
          <w:i w:val="0"/>
          <w:iCs w:val="0"/>
          <w:caps w:val="0"/>
          <w:color w:val="333333"/>
          <w:spacing w:val="0"/>
          <w:sz w:val="27"/>
          <w:szCs w:val="27"/>
          <w:shd w:val="clear" w:fill="FFFFFF"/>
          <w:lang w:val="en-US" w:eastAsia="zh-CN"/>
        </w:rPr>
        <w:t>0</w:t>
      </w:r>
      <w:r>
        <w:rPr>
          <w:rFonts w:ascii="楷体" w:hAnsi="楷体" w:eastAsia="楷体" w:cs="楷体"/>
          <w:i w:val="0"/>
          <w:iCs w:val="0"/>
          <w:caps w:val="0"/>
          <w:color w:val="333333"/>
          <w:spacing w:val="0"/>
          <w:sz w:val="27"/>
          <w:szCs w:val="27"/>
          <w:shd w:val="clear" w:fill="FFFFFF"/>
        </w:rPr>
        <w:t>月</w:t>
      </w:r>
      <w:r>
        <w:rPr>
          <w:rFonts w:hint="eastAsia" w:ascii="楷体" w:hAnsi="楷体" w:eastAsia="楷体" w:cs="楷体"/>
          <w:i w:val="0"/>
          <w:iCs w:val="0"/>
          <w:caps w:val="0"/>
          <w:color w:val="333333"/>
          <w:spacing w:val="0"/>
          <w:sz w:val="27"/>
          <w:szCs w:val="27"/>
          <w:shd w:val="clear" w:fill="FFFFFF"/>
          <w:lang w:val="en-US" w:eastAsia="zh-CN"/>
        </w:rPr>
        <w:t>1</w:t>
      </w:r>
      <w:r>
        <w:rPr>
          <w:rFonts w:ascii="楷体" w:hAnsi="楷体" w:eastAsia="楷体" w:cs="楷体"/>
          <w:i w:val="0"/>
          <w:iCs w:val="0"/>
          <w:caps w:val="0"/>
          <w:color w:val="333333"/>
          <w:spacing w:val="0"/>
          <w:sz w:val="27"/>
          <w:szCs w:val="27"/>
          <w:shd w:val="clear" w:fill="FFFFFF"/>
        </w:rPr>
        <w:t>日起施行）</w:t>
      </w:r>
    </w:p>
    <w:p w14:paraId="7D6AEA4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0" w:afterAutospacing="0" w:line="360" w:lineRule="auto"/>
        <w:ind w:left="0" w:right="0" w:firstLine="0"/>
        <w:jc w:val="center"/>
        <w:textAlignment w:val="auto"/>
        <w:rPr>
          <w:rFonts w:ascii="楷体" w:hAnsi="楷体" w:eastAsia="楷体" w:cs="楷体"/>
          <w:i w:val="0"/>
          <w:iCs w:val="0"/>
          <w:caps w:val="0"/>
          <w:color w:val="333333"/>
          <w:spacing w:val="0"/>
          <w:sz w:val="27"/>
          <w:szCs w:val="27"/>
          <w:shd w:val="clear" w:fill="FFFFFF"/>
        </w:rPr>
      </w:pPr>
    </w:p>
    <w:p w14:paraId="2C19F16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0" w:afterAutospacing="0" w:line="360" w:lineRule="auto"/>
        <w:ind w:left="0" w:right="0" w:firstLine="0"/>
        <w:jc w:val="center"/>
        <w:textAlignment w:val="auto"/>
      </w:pPr>
      <w:r>
        <w:rPr>
          <w:rFonts w:hint="eastAsia" w:ascii="黑体" w:hAnsi="宋体" w:eastAsia="黑体" w:cs="黑体"/>
          <w:i w:val="0"/>
          <w:iCs w:val="0"/>
          <w:caps w:val="0"/>
          <w:color w:val="333333"/>
          <w:spacing w:val="0"/>
          <w:sz w:val="43"/>
          <w:szCs w:val="43"/>
          <w:shd w:val="clear" w:fill="FFFFFF"/>
        </w:rPr>
        <w:t>柳州市人民政府令第</w:t>
      </w:r>
      <w:r>
        <w:rPr>
          <w:rFonts w:hint="eastAsia" w:ascii="黑体" w:eastAsia="黑体" w:cs="黑体"/>
          <w:i w:val="0"/>
          <w:iCs w:val="0"/>
          <w:caps w:val="0"/>
          <w:color w:val="333333"/>
          <w:spacing w:val="0"/>
          <w:sz w:val="43"/>
          <w:szCs w:val="43"/>
          <w:shd w:val="clear" w:fill="FFFFFF"/>
          <w:lang w:val="en-US" w:eastAsia="zh-CN"/>
        </w:rPr>
        <w:t>2</w:t>
      </w:r>
      <w:r>
        <w:rPr>
          <w:rFonts w:hint="eastAsia" w:ascii="黑体" w:hAnsi="宋体" w:eastAsia="黑体" w:cs="黑体"/>
          <w:i w:val="0"/>
          <w:iCs w:val="0"/>
          <w:caps w:val="0"/>
          <w:color w:val="333333"/>
          <w:spacing w:val="0"/>
          <w:sz w:val="43"/>
          <w:szCs w:val="43"/>
          <w:shd w:val="clear" w:fill="FFFFFF"/>
        </w:rPr>
        <w:t>号</w:t>
      </w:r>
    </w:p>
    <w:p w14:paraId="10F5B14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0" w:afterAutospacing="0" w:line="360" w:lineRule="auto"/>
        <w:ind w:left="0" w:right="0" w:firstLine="420"/>
        <w:jc w:val="both"/>
        <w:textAlignment w:val="auto"/>
      </w:pPr>
      <w:r>
        <w:rPr>
          <w:rFonts w:ascii="仿宋" w:hAnsi="仿宋" w:eastAsia="仿宋" w:cs="仿宋"/>
          <w:i w:val="0"/>
          <w:iCs w:val="0"/>
          <w:caps w:val="0"/>
          <w:color w:val="333333"/>
          <w:spacing w:val="0"/>
          <w:sz w:val="31"/>
          <w:szCs w:val="31"/>
          <w:shd w:val="clear" w:fill="FFFFFF"/>
        </w:rPr>
        <w:t> </w:t>
      </w:r>
    </w:p>
    <w:p w14:paraId="1BB97F1A">
      <w:pPr>
        <w:keepNext w:val="0"/>
        <w:keepLines w:val="0"/>
        <w:pageBreakBefore w:val="0"/>
        <w:widowControl/>
        <w:suppressLineNumbers w:val="0"/>
        <w:kinsoku/>
        <w:wordWrap/>
        <w:overflowPunct/>
        <w:topLinePunct w:val="0"/>
        <w:autoSpaceDE/>
        <w:autoSpaceDN/>
        <w:bidi w:val="0"/>
        <w:adjustRightInd/>
        <w:snapToGrid/>
        <w:spacing w:before="30" w:line="360" w:lineRule="auto"/>
        <w:ind w:firstLine="600" w:firstLineChars="200"/>
        <w:jc w:val="left"/>
        <w:textAlignment w:val="auto"/>
        <w:rPr>
          <w:rFonts w:hint="default" w:ascii="仿宋_GB2312" w:hAnsi="宋体" w:eastAsia="仿宋_GB2312" w:cs="仿宋_GB2312"/>
          <w:i w:val="0"/>
          <w:iCs w:val="0"/>
          <w:caps w:val="0"/>
          <w:color w:val="333333"/>
          <w:spacing w:val="0"/>
          <w:sz w:val="30"/>
          <w:szCs w:val="32"/>
          <w:shd w:val="clear" w:fill="FFFFFF"/>
        </w:rPr>
      </w:pPr>
      <w:r>
        <w:rPr>
          <w:rFonts w:ascii="仿宋_GB2312" w:hAnsi="宋体" w:eastAsia="仿宋_GB2312" w:cs="仿宋_GB2312"/>
          <w:i w:val="0"/>
          <w:iCs w:val="0"/>
          <w:caps w:val="0"/>
          <w:color w:val="333333"/>
          <w:spacing w:val="0"/>
          <w:sz w:val="30"/>
          <w:szCs w:val="30"/>
          <w:shd w:val="clear" w:fill="FFFFFF"/>
        </w:rPr>
        <w:t>《柳州市餐厨废弃物管理办法》已经</w:t>
      </w:r>
      <w:r>
        <w:rPr>
          <w:rFonts w:ascii="Times New Roman" w:hAnsi="Times New Roman" w:eastAsia="仿宋_GB2312" w:cs="Times New Roman"/>
          <w:b w:val="0"/>
          <w:bCs w:val="0"/>
          <w:i w:val="0"/>
          <w:iCs w:val="0"/>
          <w:caps w:val="0"/>
          <w:color w:val="333333"/>
          <w:spacing w:val="0"/>
          <w:sz w:val="30"/>
          <w:szCs w:val="30"/>
          <w:shd w:val="clear" w:fill="FFFFFF"/>
        </w:rPr>
        <w:t>20</w:t>
      </w:r>
      <w:r>
        <w:rPr>
          <w:rFonts w:hint="eastAsia" w:eastAsia="仿宋_GB2312" w:cs="Times New Roman"/>
          <w:b w:val="0"/>
          <w:bCs w:val="0"/>
          <w:i w:val="0"/>
          <w:iCs w:val="0"/>
          <w:caps w:val="0"/>
          <w:color w:val="333333"/>
          <w:spacing w:val="0"/>
          <w:sz w:val="30"/>
          <w:szCs w:val="30"/>
          <w:shd w:val="clear" w:fill="FFFFFF"/>
          <w:lang w:val="en-US" w:eastAsia="zh-CN"/>
        </w:rPr>
        <w:t>17</w:t>
      </w:r>
      <w:r>
        <w:rPr>
          <w:rFonts w:hint="default" w:ascii="仿宋_GB2312" w:hAnsi="宋体" w:eastAsia="仿宋_GB2312" w:cs="仿宋_GB2312"/>
          <w:i w:val="0"/>
          <w:iCs w:val="0"/>
          <w:caps w:val="0"/>
          <w:color w:val="333333"/>
          <w:spacing w:val="0"/>
          <w:sz w:val="30"/>
          <w:szCs w:val="30"/>
          <w:shd w:val="clear" w:fill="FFFFFF"/>
        </w:rPr>
        <w:t>年</w:t>
      </w:r>
      <w:r>
        <w:rPr>
          <w:rFonts w:hint="default" w:ascii="Times New Roman" w:hAnsi="Times New Roman" w:eastAsia="仿宋_GB2312" w:cs="Times New Roman"/>
          <w:b w:val="0"/>
          <w:bCs w:val="0"/>
          <w:i w:val="0"/>
          <w:iCs w:val="0"/>
          <w:caps w:val="0"/>
          <w:color w:val="333333"/>
          <w:spacing w:val="0"/>
          <w:sz w:val="30"/>
          <w:szCs w:val="30"/>
          <w:shd w:val="clear" w:fill="FFFFFF"/>
        </w:rPr>
        <w:t>12</w:t>
      </w:r>
      <w:r>
        <w:rPr>
          <w:rFonts w:hint="default" w:ascii="仿宋_GB2312" w:hAnsi="宋体" w:eastAsia="仿宋_GB2312" w:cs="仿宋_GB2312"/>
          <w:i w:val="0"/>
          <w:iCs w:val="0"/>
          <w:caps w:val="0"/>
          <w:color w:val="333333"/>
          <w:spacing w:val="0"/>
          <w:sz w:val="30"/>
          <w:szCs w:val="30"/>
          <w:shd w:val="clear" w:fill="FFFFFF"/>
        </w:rPr>
        <w:t>月</w:t>
      </w:r>
      <w:r>
        <w:rPr>
          <w:rFonts w:hint="eastAsia" w:ascii="仿宋_GB2312" w:hAnsi="宋体" w:eastAsia="仿宋_GB2312" w:cs="仿宋_GB2312"/>
          <w:i w:val="0"/>
          <w:iCs w:val="0"/>
          <w:caps w:val="0"/>
          <w:color w:val="333333"/>
          <w:spacing w:val="0"/>
          <w:sz w:val="30"/>
          <w:szCs w:val="30"/>
          <w:shd w:val="clear" w:fill="FFFFFF"/>
          <w:lang w:val="en-US" w:eastAsia="zh-CN"/>
        </w:rPr>
        <w:t>7</w:t>
      </w:r>
      <w:r>
        <w:rPr>
          <w:rFonts w:hint="default" w:ascii="仿宋_GB2312" w:hAnsi="宋体" w:eastAsia="仿宋_GB2312" w:cs="仿宋_GB2312"/>
          <w:i w:val="0"/>
          <w:iCs w:val="0"/>
          <w:caps w:val="0"/>
          <w:color w:val="333333"/>
          <w:spacing w:val="0"/>
          <w:sz w:val="30"/>
          <w:szCs w:val="30"/>
          <w:shd w:val="clear" w:fill="FFFFFF"/>
        </w:rPr>
        <w:t>日市十</w:t>
      </w:r>
      <w:r>
        <w:rPr>
          <w:rFonts w:hint="eastAsia" w:ascii="仿宋_GB2312" w:hAnsi="宋体" w:eastAsia="仿宋_GB2312" w:cs="仿宋_GB2312"/>
          <w:i w:val="0"/>
          <w:iCs w:val="0"/>
          <w:caps w:val="0"/>
          <w:color w:val="333333"/>
          <w:spacing w:val="0"/>
          <w:sz w:val="30"/>
          <w:szCs w:val="30"/>
          <w:shd w:val="clear" w:fill="FFFFFF"/>
          <w:lang w:val="en-US" w:eastAsia="zh-CN"/>
        </w:rPr>
        <w:t>四</w:t>
      </w:r>
      <w:r>
        <w:rPr>
          <w:rFonts w:hint="default" w:ascii="仿宋_GB2312" w:hAnsi="宋体" w:eastAsia="仿宋_GB2312" w:cs="仿宋_GB2312"/>
          <w:i w:val="0"/>
          <w:iCs w:val="0"/>
          <w:caps w:val="0"/>
          <w:color w:val="333333"/>
          <w:spacing w:val="0"/>
          <w:sz w:val="30"/>
          <w:szCs w:val="30"/>
          <w:shd w:val="clear" w:fill="FFFFFF"/>
        </w:rPr>
        <w:t>届人民政府第</w:t>
      </w:r>
      <w:r>
        <w:rPr>
          <w:rFonts w:hint="eastAsia" w:ascii="仿宋_GB2312" w:hAnsi="宋体" w:eastAsia="仿宋_GB2312" w:cs="仿宋_GB2312"/>
          <w:i w:val="0"/>
          <w:iCs w:val="0"/>
          <w:caps w:val="0"/>
          <w:color w:val="333333"/>
          <w:spacing w:val="0"/>
          <w:sz w:val="30"/>
          <w:szCs w:val="30"/>
          <w:shd w:val="clear" w:fill="FFFFFF"/>
          <w:lang w:val="en-US" w:eastAsia="zh-CN"/>
        </w:rPr>
        <w:t>33</w:t>
      </w:r>
      <w:r>
        <w:rPr>
          <w:rFonts w:hint="default" w:ascii="仿宋_GB2312" w:hAnsi="宋体" w:eastAsia="仿宋_GB2312" w:cs="仿宋_GB2312"/>
          <w:i w:val="0"/>
          <w:iCs w:val="0"/>
          <w:caps w:val="0"/>
          <w:color w:val="333333"/>
          <w:spacing w:val="0"/>
          <w:sz w:val="30"/>
          <w:szCs w:val="30"/>
          <w:shd w:val="clear" w:fill="FFFFFF"/>
        </w:rPr>
        <w:t>次常务会议通过，现予公布，自2018年10月1日起施行。</w:t>
      </w:r>
    </w:p>
    <w:p w14:paraId="6C4AE19D">
      <w:pPr>
        <w:keepNext w:val="0"/>
        <w:keepLines w:val="0"/>
        <w:pageBreakBefore w:val="0"/>
        <w:widowControl/>
        <w:suppressLineNumbers w:val="0"/>
        <w:kinsoku/>
        <w:wordWrap/>
        <w:overflowPunct/>
        <w:topLinePunct w:val="0"/>
        <w:autoSpaceDE/>
        <w:autoSpaceDN/>
        <w:bidi w:val="0"/>
        <w:adjustRightInd/>
        <w:snapToGrid/>
        <w:spacing w:before="30" w:line="360" w:lineRule="auto"/>
        <w:jc w:val="right"/>
        <w:textAlignment w:val="auto"/>
        <w:rPr>
          <w:rFonts w:ascii="仿宋_GB2312" w:hAnsi="仿宋_GB2312" w:eastAsia="仿宋_GB2312" w:cs="仿宋_GB2312"/>
          <w:color w:val="000000"/>
          <w:kern w:val="0"/>
          <w:sz w:val="31"/>
          <w:szCs w:val="31"/>
          <w:lang w:val="en-US" w:eastAsia="zh-CN" w:bidi="ar"/>
        </w:rPr>
      </w:pPr>
      <w:r>
        <w:rPr>
          <w:rFonts w:ascii="仿宋_GB2312" w:hAnsi="仿宋_GB2312" w:eastAsia="仿宋_GB2312" w:cs="仿宋_GB2312"/>
          <w:color w:val="000000"/>
          <w:kern w:val="0"/>
          <w:sz w:val="31"/>
          <w:szCs w:val="31"/>
          <w:lang w:val="en-US" w:eastAsia="zh-CN" w:bidi="ar"/>
        </w:rPr>
        <w:t>市长</w:t>
      </w:r>
    </w:p>
    <w:p w14:paraId="6C790CC4">
      <w:pPr>
        <w:keepNext w:val="0"/>
        <w:keepLines w:val="0"/>
        <w:pageBreakBefore w:val="0"/>
        <w:widowControl/>
        <w:suppressLineNumbers w:val="0"/>
        <w:kinsoku/>
        <w:wordWrap/>
        <w:overflowPunct/>
        <w:topLinePunct w:val="0"/>
        <w:autoSpaceDE/>
        <w:autoSpaceDN/>
        <w:bidi w:val="0"/>
        <w:adjustRightInd/>
        <w:snapToGrid/>
        <w:spacing w:before="30" w:line="360" w:lineRule="auto"/>
        <w:jc w:val="right"/>
        <w:textAlignment w:val="auto"/>
        <w:rPr>
          <w:rFonts w:ascii="仿宋_GB2312" w:hAnsi="仿宋_GB2312" w:eastAsia="仿宋_GB2312" w:cs="仿宋_GB2312"/>
          <w:color w:val="000000"/>
          <w:kern w:val="0"/>
          <w:sz w:val="31"/>
          <w:szCs w:val="31"/>
          <w:lang w:val="en-US" w:eastAsia="zh-CN" w:bidi="ar"/>
        </w:rPr>
      </w:pPr>
      <w:r>
        <w:rPr>
          <w:rFonts w:hint="default" w:ascii="仿宋_GB2312" w:hAnsi="仿宋_GB2312" w:eastAsia="仿宋_GB2312" w:cs="仿宋_GB2312"/>
          <w:color w:val="000000"/>
          <w:kern w:val="0"/>
          <w:sz w:val="31"/>
          <w:szCs w:val="31"/>
          <w:lang w:val="en-US" w:eastAsia="zh-CN" w:bidi="ar"/>
        </w:rPr>
        <w:t>20</w:t>
      </w:r>
      <w:r>
        <w:rPr>
          <w:rFonts w:hint="eastAsia" w:ascii="仿宋_GB2312" w:hAnsi="仿宋_GB2312" w:eastAsia="仿宋_GB2312" w:cs="仿宋_GB2312"/>
          <w:color w:val="000000"/>
          <w:kern w:val="0"/>
          <w:sz w:val="31"/>
          <w:szCs w:val="31"/>
          <w:lang w:val="en-US" w:eastAsia="zh-CN" w:bidi="ar"/>
        </w:rPr>
        <w:t>18</w:t>
      </w:r>
      <w:r>
        <w:rPr>
          <w:rFonts w:ascii="仿宋_GB2312" w:hAnsi="仿宋_GB2312" w:eastAsia="仿宋_GB2312" w:cs="仿宋_GB2312"/>
          <w:color w:val="000000"/>
          <w:kern w:val="0"/>
          <w:sz w:val="31"/>
          <w:szCs w:val="31"/>
          <w:lang w:val="en-US" w:eastAsia="zh-CN" w:bidi="ar"/>
        </w:rPr>
        <w:t>年</w:t>
      </w:r>
      <w:r>
        <w:rPr>
          <w:rFonts w:hint="eastAsia" w:ascii="仿宋_GB2312" w:hAnsi="仿宋_GB2312" w:eastAsia="仿宋_GB2312" w:cs="仿宋_GB2312"/>
          <w:color w:val="000000"/>
          <w:kern w:val="0"/>
          <w:sz w:val="31"/>
          <w:szCs w:val="31"/>
          <w:lang w:val="en-US" w:eastAsia="zh-CN" w:bidi="ar"/>
        </w:rPr>
        <w:t>8</w:t>
      </w:r>
      <w:r>
        <w:rPr>
          <w:rFonts w:ascii="仿宋_GB2312" w:hAnsi="仿宋_GB2312" w:eastAsia="仿宋_GB2312" w:cs="仿宋_GB2312"/>
          <w:color w:val="000000"/>
          <w:kern w:val="0"/>
          <w:sz w:val="31"/>
          <w:szCs w:val="31"/>
          <w:lang w:val="en-US" w:eastAsia="zh-CN" w:bidi="ar"/>
        </w:rPr>
        <w:t>月</w:t>
      </w:r>
      <w:r>
        <w:rPr>
          <w:rFonts w:hint="eastAsia" w:ascii="仿宋_GB2312" w:hAnsi="仿宋_GB2312" w:eastAsia="仿宋_GB2312" w:cs="仿宋_GB2312"/>
          <w:color w:val="000000"/>
          <w:kern w:val="0"/>
          <w:sz w:val="31"/>
          <w:szCs w:val="31"/>
          <w:lang w:val="en-US" w:eastAsia="zh-CN" w:bidi="ar"/>
        </w:rPr>
        <w:t>14</w:t>
      </w:r>
      <w:r>
        <w:rPr>
          <w:rFonts w:ascii="仿宋_GB2312" w:hAnsi="仿宋_GB2312" w:eastAsia="仿宋_GB2312" w:cs="仿宋_GB2312"/>
          <w:color w:val="000000"/>
          <w:kern w:val="0"/>
          <w:sz w:val="31"/>
          <w:szCs w:val="31"/>
          <w:lang w:val="en-US" w:eastAsia="zh-CN" w:bidi="ar"/>
        </w:rPr>
        <w:t>日</w:t>
      </w:r>
    </w:p>
    <w:p w14:paraId="4BA27887">
      <w:pPr>
        <w:keepNext w:val="0"/>
        <w:keepLines w:val="0"/>
        <w:pageBreakBefore w:val="0"/>
        <w:widowControl/>
        <w:suppressLineNumbers w:val="0"/>
        <w:kinsoku/>
        <w:wordWrap/>
        <w:overflowPunct/>
        <w:topLinePunct w:val="0"/>
        <w:autoSpaceDE/>
        <w:autoSpaceDN/>
        <w:bidi w:val="0"/>
        <w:adjustRightInd/>
        <w:snapToGrid/>
        <w:spacing w:before="30" w:line="360" w:lineRule="auto"/>
        <w:jc w:val="left"/>
        <w:textAlignment w:val="auto"/>
      </w:pPr>
    </w:p>
    <w:p w14:paraId="520C75F3">
      <w:pPr>
        <w:keepNext w:val="0"/>
        <w:keepLines w:val="0"/>
        <w:pageBreakBefore w:val="0"/>
        <w:widowControl/>
        <w:suppressLineNumbers w:val="0"/>
        <w:kinsoku/>
        <w:wordWrap/>
        <w:overflowPunct/>
        <w:topLinePunct w:val="0"/>
        <w:autoSpaceDE/>
        <w:autoSpaceDN/>
        <w:bidi w:val="0"/>
        <w:adjustRightInd/>
        <w:snapToGrid/>
        <w:spacing w:before="30" w:line="360" w:lineRule="auto"/>
        <w:jc w:val="center"/>
        <w:textAlignment w:val="auto"/>
        <w:rPr>
          <w:rFonts w:hint="eastAsia" w:ascii="方正小标宋简体" w:hAnsi="方正小标宋简体" w:eastAsia="方正小标宋简体" w:cs="方正小标宋简体"/>
          <w:color w:val="000000"/>
          <w:kern w:val="0"/>
          <w:sz w:val="42"/>
          <w:szCs w:val="42"/>
          <w:lang w:val="en-US" w:eastAsia="zh-CN" w:bidi="ar"/>
        </w:rPr>
      </w:pPr>
      <w:r>
        <w:rPr>
          <w:rFonts w:hint="eastAsia" w:ascii="方正小标宋简体" w:hAnsi="方正小标宋简体" w:eastAsia="方正小标宋简体" w:cs="方正小标宋简体"/>
          <w:color w:val="000000"/>
          <w:kern w:val="0"/>
          <w:sz w:val="42"/>
          <w:szCs w:val="42"/>
          <w:lang w:val="en-US" w:eastAsia="zh-CN" w:bidi="ar"/>
        </w:rPr>
        <w:t>《柳州市餐厨废弃物管理办法》</w:t>
      </w:r>
    </w:p>
    <w:p w14:paraId="6D345839">
      <w:pPr>
        <w:pStyle w:val="2"/>
        <w:rPr>
          <w:rFonts w:hint="eastAsia"/>
          <w:lang w:val="en-US" w:eastAsia="zh-CN"/>
        </w:rPr>
      </w:pPr>
    </w:p>
    <w:p w14:paraId="677D317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0"/>
        <w:jc w:val="center"/>
        <w:textAlignment w:val="auto"/>
        <w:rPr>
          <w:rFonts w:hint="default" w:ascii="Helvetica" w:hAnsi="Helvetica" w:eastAsia="Helvetica" w:cs="Helvetica"/>
          <w:b w:val="0"/>
          <w:bCs w:val="0"/>
          <w:i w:val="0"/>
          <w:iCs w:val="0"/>
          <w:caps w:val="0"/>
          <w:color w:val="333333"/>
          <w:spacing w:val="0"/>
          <w:sz w:val="31"/>
          <w:szCs w:val="31"/>
        </w:rPr>
      </w:pPr>
      <w:r>
        <w:rPr>
          <w:rFonts w:ascii="黑体" w:hAnsi="宋体" w:eastAsia="黑体" w:cs="黑体"/>
          <w:b w:val="0"/>
          <w:bCs w:val="0"/>
          <w:i w:val="0"/>
          <w:iCs w:val="0"/>
          <w:caps w:val="0"/>
          <w:color w:val="333333"/>
          <w:spacing w:val="0"/>
          <w:sz w:val="31"/>
          <w:szCs w:val="31"/>
          <w:shd w:val="clear" w:fill="FFFFFF"/>
        </w:rPr>
        <w:t>第一章</w:t>
      </w:r>
      <w:r>
        <w:rPr>
          <w:rFonts w:hint="default" w:ascii="Times New Roman" w:hAnsi="Times New Roman" w:eastAsia="Helvetica" w:cs="Times New Roman"/>
          <w:b w:val="0"/>
          <w:bCs w:val="0"/>
          <w:i w:val="0"/>
          <w:iCs w:val="0"/>
          <w:caps w:val="0"/>
          <w:color w:val="333333"/>
          <w:spacing w:val="0"/>
          <w:sz w:val="31"/>
          <w:szCs w:val="31"/>
          <w:shd w:val="clear" w:fill="FFFFFF"/>
        </w:rPr>
        <w:t> </w:t>
      </w:r>
      <w:r>
        <w:rPr>
          <w:rFonts w:hint="eastAsia" w:ascii="Times New Roman" w:hAnsi="Times New Roman" w:cs="Times New Roman"/>
          <w:b w:val="0"/>
          <w:bCs w:val="0"/>
          <w:i w:val="0"/>
          <w:iCs w:val="0"/>
          <w:caps w:val="0"/>
          <w:color w:val="333333"/>
          <w:spacing w:val="0"/>
          <w:sz w:val="31"/>
          <w:szCs w:val="31"/>
          <w:shd w:val="clear" w:fill="FFFFFF"/>
          <w:lang w:val="en-US" w:eastAsia="zh-CN"/>
        </w:rPr>
        <w:t xml:space="preserve"> </w:t>
      </w:r>
      <w:r>
        <w:rPr>
          <w:rFonts w:hint="eastAsia" w:ascii="黑体" w:hAnsi="宋体" w:eastAsia="黑体" w:cs="黑体"/>
          <w:b w:val="0"/>
          <w:bCs w:val="0"/>
          <w:i w:val="0"/>
          <w:iCs w:val="0"/>
          <w:caps w:val="0"/>
          <w:color w:val="333333"/>
          <w:spacing w:val="0"/>
          <w:sz w:val="31"/>
          <w:szCs w:val="31"/>
          <w:shd w:val="clear" w:fill="FFFFFF"/>
        </w:rPr>
        <w:t>总则</w:t>
      </w:r>
    </w:p>
    <w:p w14:paraId="45FEECA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475"/>
        <w:jc w:val="left"/>
        <w:textAlignment w:val="auto"/>
        <w:rPr>
          <w:rFonts w:hint="eastAsia" w:ascii="方正仿宋_GB2312" w:hAnsi="方正仿宋_GB2312" w:eastAsia="仿宋_GB2312" w:cs="方正仿宋_GB2312"/>
          <w:i w:val="0"/>
          <w:iCs w:val="0"/>
          <w:caps w:val="0"/>
          <w:color w:val="333333"/>
          <w:spacing w:val="0"/>
          <w:sz w:val="30"/>
          <w:szCs w:val="30"/>
        </w:rPr>
      </w:pPr>
      <w:r>
        <w:rPr>
          <w:rFonts w:hint="eastAsia" w:ascii="黑体" w:hAnsi="黑体" w:eastAsia="黑体" w:cs="黑体"/>
          <w:b w:val="0"/>
          <w:bCs w:val="0"/>
          <w:i w:val="0"/>
          <w:iCs w:val="0"/>
          <w:caps w:val="0"/>
          <w:color w:val="333333"/>
          <w:spacing w:val="0"/>
          <w:sz w:val="30"/>
          <w:szCs w:val="30"/>
          <w:shd w:val="clear" w:fill="FFFFFF"/>
        </w:rPr>
        <w:t>第一条</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r>
        <w:rPr>
          <w:rFonts w:hint="eastAsia" w:ascii="方正仿宋_GB2312" w:hAnsi="方正仿宋_GB2312" w:eastAsia="仿宋_GB2312" w:cs="方正仿宋_GB2312"/>
          <w:b w:val="0"/>
          <w:bCs w:val="0"/>
          <w:i w:val="0"/>
          <w:iCs w:val="0"/>
          <w:caps w:val="0"/>
          <w:color w:val="333333"/>
          <w:spacing w:val="0"/>
          <w:sz w:val="30"/>
          <w:szCs w:val="30"/>
          <w:shd w:val="clear" w:fill="FFFFFF"/>
        </w:rPr>
        <w:t>为了加强餐厨废弃物管理，促进餐厨废弃物的无害化处理和资源化利用，维护城市市容环境卫生，保障食品安全和人体健康，根据《中华人民共和国固体废物污染环境防治法》、《城市市容和环境卫生管理条例》等法律、法规，结合我市实际，制定本办法。</w:t>
      </w:r>
    </w:p>
    <w:p w14:paraId="4AF390A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475"/>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第二条</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r>
        <w:rPr>
          <w:rFonts w:hint="default" w:ascii="方正仿宋_GB2312" w:hAnsi="方正仿宋_GB2312" w:eastAsia="仿宋_GB2312" w:cs="方正仿宋_GB2312"/>
          <w:b w:val="0"/>
          <w:bCs w:val="0"/>
          <w:i w:val="0"/>
          <w:iCs w:val="0"/>
          <w:caps w:val="0"/>
          <w:color w:val="333333"/>
          <w:spacing w:val="0"/>
          <w:sz w:val="30"/>
          <w:szCs w:val="30"/>
          <w:shd w:val="clear" w:fill="FFFFFF"/>
        </w:rPr>
        <w:t>本市市区范围内餐厨废弃物的产生、收运、处置等活动及相关的监督管理适用本办法。</w:t>
      </w:r>
    </w:p>
    <w:p w14:paraId="5B1EC8C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475"/>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第三条</w:t>
      </w:r>
      <w:r>
        <w:rPr>
          <w:rFonts w:hint="eastAsia" w:ascii="Helvetica" w:hAnsi="Helvetica" w:cs="Helvetica"/>
          <w:b w:val="0"/>
          <w:bCs w:val="0"/>
          <w:i w:val="0"/>
          <w:iCs w:val="0"/>
          <w:caps w:val="0"/>
          <w:color w:val="333333"/>
          <w:spacing w:val="0"/>
          <w:sz w:val="31"/>
          <w:szCs w:val="31"/>
          <w:shd w:val="clear" w:fill="FFFFFF"/>
          <w:lang w:val="en-US" w:eastAsia="zh-CN"/>
        </w:rPr>
        <w:t xml:space="preserve"> </w:t>
      </w:r>
      <w:r>
        <w:rPr>
          <w:rFonts w:hint="default" w:ascii="方正仿宋_GB2312" w:hAnsi="方正仿宋_GB2312" w:eastAsia="仿宋_GB2312" w:cs="方正仿宋_GB2312"/>
          <w:b w:val="0"/>
          <w:bCs w:val="0"/>
          <w:i w:val="0"/>
          <w:iCs w:val="0"/>
          <w:caps w:val="0"/>
          <w:color w:val="333333"/>
          <w:spacing w:val="0"/>
          <w:sz w:val="30"/>
          <w:szCs w:val="30"/>
          <w:shd w:val="clear" w:fill="FFFFFF"/>
        </w:rPr>
        <w:t>本办法所称餐厨废弃物，是指除居民日常生活以外的食品加工、餐饮服务、集体供餐等活动中产生的食物残余、不可再食用的废弃动植物油脂和各类油水混合物。</w:t>
      </w:r>
    </w:p>
    <w:p w14:paraId="2BBF1A1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475"/>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从事食品加工、餐饮服务、集体供餐活动的单位，包括个体工商户，以下统称餐厨废弃物产生单位。</w:t>
      </w:r>
    </w:p>
    <w:p w14:paraId="3610A67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第四条</w:t>
      </w:r>
      <w:r>
        <w:rPr>
          <w:rFonts w:hint="eastAsia" w:ascii="Helvetica" w:hAnsi="Helvetica" w:cs="Helvetica"/>
          <w:b w:val="0"/>
          <w:bCs w:val="0"/>
          <w:i w:val="0"/>
          <w:iCs w:val="0"/>
          <w:caps w:val="0"/>
          <w:color w:val="333333"/>
          <w:spacing w:val="0"/>
          <w:sz w:val="31"/>
          <w:szCs w:val="31"/>
          <w:shd w:val="clear" w:fill="FFFFFF"/>
          <w:lang w:val="en-US" w:eastAsia="zh-CN"/>
        </w:rPr>
        <w:t xml:space="preserve"> </w:t>
      </w:r>
      <w:r>
        <w:rPr>
          <w:rFonts w:hint="default" w:ascii="方正仿宋_GB2312" w:hAnsi="方正仿宋_GB2312" w:eastAsia="仿宋_GB2312" w:cs="方正仿宋_GB2312"/>
          <w:b w:val="0"/>
          <w:bCs w:val="0"/>
          <w:i w:val="0"/>
          <w:iCs w:val="0"/>
          <w:caps w:val="0"/>
          <w:color w:val="333333"/>
          <w:spacing w:val="0"/>
          <w:sz w:val="30"/>
          <w:szCs w:val="30"/>
          <w:shd w:val="clear" w:fill="FFFFFF"/>
        </w:rPr>
        <w:t>本市餐厨废弃物管理遵循减量化、资源化、无害化原则，实行分类投放、统一收运和定点处置制度。</w:t>
      </w:r>
    </w:p>
    <w:p w14:paraId="38E3F5E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Helvetica" w:hAnsi="Helvetica" w:eastAsia="Helvetica" w:cs="Helvetica"/>
          <w:i w:val="0"/>
          <w:iCs w:val="0"/>
          <w:caps w:val="0"/>
          <w:color w:val="333333"/>
          <w:spacing w:val="0"/>
          <w:sz w:val="31"/>
          <w:szCs w:val="31"/>
        </w:rPr>
      </w:pPr>
      <w:r>
        <w:rPr>
          <w:rFonts w:hint="default" w:ascii="黑体" w:hAnsi="黑体" w:eastAsia="黑体" w:cs="黑体"/>
          <w:b w:val="0"/>
          <w:bCs w:val="0"/>
          <w:i w:val="0"/>
          <w:iCs w:val="0"/>
          <w:caps w:val="0"/>
          <w:color w:val="333333"/>
          <w:spacing w:val="0"/>
          <w:sz w:val="30"/>
          <w:szCs w:val="30"/>
          <w:shd w:val="clear" w:fill="FFFFFF"/>
        </w:rPr>
        <w:t>第五条</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r>
        <w:rPr>
          <w:rFonts w:hint="default" w:ascii="方正仿宋_GB2312" w:hAnsi="方正仿宋_GB2312" w:eastAsia="仿宋_GB2312" w:cs="方正仿宋_GB2312"/>
          <w:b w:val="0"/>
          <w:bCs w:val="0"/>
          <w:i w:val="0"/>
          <w:iCs w:val="0"/>
          <w:caps w:val="0"/>
          <w:color w:val="333333"/>
          <w:spacing w:val="0"/>
          <w:sz w:val="30"/>
          <w:szCs w:val="30"/>
          <w:shd w:val="clear" w:fill="FFFFFF"/>
        </w:rPr>
        <w:t>市、城区人民政府应当加强对餐厨废弃物管理的统一领导和组织协调</w:t>
      </w:r>
      <w:r>
        <w:rPr>
          <w:rFonts w:hint="default" w:ascii="Helvetica" w:hAnsi="Helvetica" w:eastAsia="Helvetica" w:cs="Helvetica"/>
          <w:b w:val="0"/>
          <w:bCs w:val="0"/>
          <w:i w:val="0"/>
          <w:iCs w:val="0"/>
          <w:caps w:val="0"/>
          <w:color w:val="333333"/>
          <w:spacing w:val="0"/>
          <w:sz w:val="31"/>
          <w:szCs w:val="31"/>
          <w:shd w:val="clear" w:fill="FFFFFF"/>
        </w:rPr>
        <w:t>。</w:t>
      </w:r>
    </w:p>
    <w:p w14:paraId="1146F06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市容和环境卫生行政主管部门负责监督管理本市餐厨废弃物收运、处置活动。</w:t>
      </w:r>
    </w:p>
    <w:p w14:paraId="48F4A40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城市管理执法、行政审批、食品药品监督管理、环境保护、水产畜牧等行政主管部门按照各自职责，做好餐厨废弃物的监督管理工作。</w:t>
      </w:r>
    </w:p>
    <w:p w14:paraId="5EBC5C9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第六条</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r>
        <w:rPr>
          <w:rFonts w:hint="default" w:ascii="方正仿宋_GB2312" w:hAnsi="方正仿宋_GB2312" w:eastAsia="仿宋_GB2312" w:cs="方正仿宋_GB2312"/>
          <w:b w:val="0"/>
          <w:bCs w:val="0"/>
          <w:i w:val="0"/>
          <w:iCs w:val="0"/>
          <w:caps w:val="0"/>
          <w:color w:val="333333"/>
          <w:spacing w:val="0"/>
          <w:sz w:val="30"/>
          <w:szCs w:val="30"/>
          <w:shd w:val="clear" w:fill="FFFFFF"/>
        </w:rPr>
        <w:t>市市容和环境卫生行政主管部门应当会同有关部门，编制餐厨废弃物治理规划，并纳入市容环境卫生专项规划，统筹安排餐厨废弃物收运、处置设施的布局、用地和规模。</w:t>
      </w:r>
    </w:p>
    <w:p w14:paraId="53823E1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餐厨废弃物处置设施用地应当作为环境卫生设施用地纳入城市黄线保护范围，任何单位和个人不得擅自占用或者改变其用途。</w:t>
      </w:r>
    </w:p>
    <w:p w14:paraId="4881EDF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鼓励社会资本参与餐厨废弃物收运体系和处置设施的建设和运营。</w:t>
      </w:r>
    </w:p>
    <w:p w14:paraId="46013E8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Helvetica" w:hAnsi="Helvetica" w:eastAsia="Helvetica" w:cs="Helvetica"/>
          <w:b w:val="0"/>
          <w:bCs w:val="0"/>
          <w:i w:val="0"/>
          <w:iCs w:val="0"/>
          <w:caps w:val="0"/>
          <w:color w:val="333333"/>
          <w:spacing w:val="0"/>
          <w:sz w:val="31"/>
          <w:szCs w:val="31"/>
        </w:rPr>
      </w:pPr>
      <w:r>
        <w:rPr>
          <w:rFonts w:hint="default" w:ascii="黑体" w:hAnsi="黑体" w:eastAsia="黑体" w:cs="黑体"/>
          <w:b w:val="0"/>
          <w:bCs w:val="0"/>
          <w:i w:val="0"/>
          <w:iCs w:val="0"/>
          <w:caps w:val="0"/>
          <w:color w:val="333333"/>
          <w:spacing w:val="0"/>
          <w:sz w:val="30"/>
          <w:szCs w:val="30"/>
          <w:shd w:val="clear" w:fill="FFFFFF"/>
        </w:rPr>
        <w:t>第七条</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r>
        <w:rPr>
          <w:rFonts w:hint="default" w:ascii="方正仿宋_GB2312" w:hAnsi="方正仿宋_GB2312" w:eastAsia="仿宋_GB2312" w:cs="方正仿宋_GB2312"/>
          <w:b w:val="0"/>
          <w:bCs w:val="0"/>
          <w:i w:val="0"/>
          <w:iCs w:val="0"/>
          <w:caps w:val="0"/>
          <w:color w:val="333333"/>
          <w:spacing w:val="0"/>
          <w:sz w:val="30"/>
          <w:szCs w:val="30"/>
          <w:shd w:val="clear" w:fill="FFFFFF"/>
        </w:rPr>
        <w:t>相关餐饮行业协会应当制定行业自律制度，督促会员单位加强餐厨废弃物产生、交运活动的管理。餐厨废弃物产生单位应当提醒用餐人员避免过量点餐，引导用餐人员文明用餐，减少餐厨废弃物的产生。</w:t>
      </w:r>
    </w:p>
    <w:p w14:paraId="1CE984D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right="0"/>
        <w:jc w:val="center"/>
        <w:textAlignment w:val="auto"/>
        <w:rPr>
          <w:rFonts w:hint="default" w:ascii="Helvetica" w:hAnsi="Helvetica" w:eastAsia="Helvetica" w:cs="Helvetica"/>
          <w:b w:val="0"/>
          <w:bCs w:val="0"/>
          <w:i w:val="0"/>
          <w:iCs w:val="0"/>
          <w:caps w:val="0"/>
          <w:color w:val="333333"/>
          <w:spacing w:val="0"/>
          <w:sz w:val="31"/>
          <w:szCs w:val="31"/>
        </w:rPr>
      </w:pPr>
      <w:r>
        <w:rPr>
          <w:rFonts w:hint="eastAsia" w:ascii="黑体" w:hAnsi="宋体" w:eastAsia="黑体" w:cs="黑体"/>
          <w:b w:val="0"/>
          <w:bCs w:val="0"/>
          <w:i w:val="0"/>
          <w:iCs w:val="0"/>
          <w:caps w:val="0"/>
          <w:color w:val="333333"/>
          <w:spacing w:val="0"/>
          <w:sz w:val="31"/>
          <w:szCs w:val="31"/>
          <w:shd w:val="clear" w:fill="FFFFFF"/>
        </w:rPr>
        <w:t>第二章</w:t>
      </w:r>
      <w:r>
        <w:rPr>
          <w:rFonts w:hint="eastAsia" w:ascii="黑体" w:eastAsia="黑体" w:cs="黑体"/>
          <w:b w:val="0"/>
          <w:bCs w:val="0"/>
          <w:i w:val="0"/>
          <w:iCs w:val="0"/>
          <w:caps w:val="0"/>
          <w:color w:val="333333"/>
          <w:spacing w:val="0"/>
          <w:sz w:val="31"/>
          <w:szCs w:val="31"/>
          <w:shd w:val="clear" w:fill="FFFFFF"/>
          <w:lang w:val="en-US" w:eastAsia="zh-CN"/>
        </w:rPr>
        <w:t xml:space="preserve"> </w:t>
      </w:r>
      <w:r>
        <w:rPr>
          <w:rFonts w:hint="eastAsia" w:ascii="黑体" w:hAnsi="宋体" w:eastAsia="黑体" w:cs="黑体"/>
          <w:b w:val="0"/>
          <w:bCs w:val="0"/>
          <w:i w:val="0"/>
          <w:iCs w:val="0"/>
          <w:caps w:val="0"/>
          <w:color w:val="333333"/>
          <w:spacing w:val="0"/>
          <w:sz w:val="31"/>
          <w:szCs w:val="31"/>
          <w:shd w:val="clear" w:fill="FFFFFF"/>
        </w:rPr>
        <w:t>餐厨废弃物的产生、收运和处置</w:t>
      </w:r>
    </w:p>
    <w:p w14:paraId="2E56C28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第八条</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r>
        <w:rPr>
          <w:rFonts w:hint="default" w:ascii="方正仿宋_GB2312" w:hAnsi="方正仿宋_GB2312" w:eastAsia="仿宋_GB2312" w:cs="方正仿宋_GB2312"/>
          <w:b w:val="0"/>
          <w:bCs w:val="0"/>
          <w:i w:val="0"/>
          <w:iCs w:val="0"/>
          <w:caps w:val="0"/>
          <w:color w:val="333333"/>
          <w:spacing w:val="0"/>
          <w:sz w:val="30"/>
          <w:szCs w:val="30"/>
          <w:shd w:val="clear" w:fill="FFFFFF"/>
        </w:rPr>
        <w:t>从事餐厨废弃物收运、处置活动，应当取得城市生活垃圾经营性收运、处置服务许可。</w:t>
      </w:r>
    </w:p>
    <w:p w14:paraId="6C667C1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第九条</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r>
        <w:rPr>
          <w:rFonts w:hint="default" w:ascii="方正仿宋_GB2312" w:hAnsi="方正仿宋_GB2312" w:eastAsia="仿宋_GB2312" w:cs="方正仿宋_GB2312"/>
          <w:b w:val="0"/>
          <w:bCs w:val="0"/>
          <w:i w:val="0"/>
          <w:iCs w:val="0"/>
          <w:caps w:val="0"/>
          <w:color w:val="333333"/>
          <w:spacing w:val="0"/>
          <w:sz w:val="30"/>
          <w:szCs w:val="30"/>
          <w:shd w:val="clear" w:fill="FFFFFF"/>
        </w:rPr>
        <w:t>应当通过招投标等公平竞争方式确定餐厨废弃物收运、处置服务企业，向中标企业颁发城市生活垃圾经营性收运、处置服务许可证，同时应当与中标企业签订协议，明确约定经营内容、区域、范围、期限和服务标准等内容，并作为城市生活垃圾经营性收运、处置服务许可证的附件。</w:t>
      </w:r>
    </w:p>
    <w:p w14:paraId="70897B4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第十条</w:t>
      </w:r>
      <w:r>
        <w:rPr>
          <w:rFonts w:hint="default" w:ascii="Times New Roman" w:hAnsi="Times New Roman" w:eastAsia="Helvetica" w:cs="Times New Roman"/>
          <w:b w:val="0"/>
          <w:bCs w:val="0"/>
          <w:i w:val="0"/>
          <w:iCs w:val="0"/>
          <w:caps w:val="0"/>
          <w:color w:val="333333"/>
          <w:spacing w:val="0"/>
          <w:sz w:val="31"/>
          <w:szCs w:val="31"/>
          <w:shd w:val="clear" w:fill="FFFFFF"/>
        </w:rPr>
        <w:t> </w:t>
      </w:r>
      <w:r>
        <w:rPr>
          <w:rFonts w:hint="default" w:ascii="方正仿宋_GB2312" w:hAnsi="方正仿宋_GB2312" w:eastAsia="仿宋_GB2312" w:cs="方正仿宋_GB2312"/>
          <w:b w:val="0"/>
          <w:bCs w:val="0"/>
          <w:i w:val="0"/>
          <w:iCs w:val="0"/>
          <w:caps w:val="0"/>
          <w:color w:val="333333"/>
          <w:spacing w:val="0"/>
          <w:sz w:val="30"/>
          <w:szCs w:val="30"/>
          <w:shd w:val="clear" w:fill="FFFFFF"/>
        </w:rPr>
        <w:t>餐厨废弃物产生单位应当遵守下列规定：</w:t>
      </w:r>
    </w:p>
    <w:p w14:paraId="500E580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（一）应当与取得餐厨废弃物收运服务许可的企业签订收运服务协议，并按照协议的约定将餐厨废弃物及时交运。不得交由未取得餐厨废弃物收运、处置服务许可的单位和个人收运、处置；</w:t>
      </w:r>
    </w:p>
    <w:p w14:paraId="191324C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（二）应当将餐厨废弃物与其他城市生活垃圾分开收集、存放，按要求使用餐厨废弃物收运企业提供的餐厨废弃物全密闭专用收集容器，并保持容器完好、密闭、整洁；</w:t>
      </w:r>
    </w:p>
    <w:p w14:paraId="0FBF4E1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（三）应当按照市人民政府确定的收费标准缴纳城市生活垃圾处理费；</w:t>
      </w:r>
    </w:p>
    <w:p w14:paraId="5D69B81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（四）法律、法规、规章规定的其他要求。</w:t>
      </w:r>
    </w:p>
    <w:p w14:paraId="0026A08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第十一条</w:t>
      </w:r>
      <w:r>
        <w:rPr>
          <w:rFonts w:hint="default" w:ascii="Times New Roman" w:hAnsi="Times New Roman" w:eastAsia="Helvetica" w:cs="Times New Roman"/>
          <w:b w:val="0"/>
          <w:bCs w:val="0"/>
          <w:i w:val="0"/>
          <w:iCs w:val="0"/>
          <w:caps w:val="0"/>
          <w:color w:val="333333"/>
          <w:spacing w:val="0"/>
          <w:sz w:val="31"/>
          <w:szCs w:val="31"/>
          <w:shd w:val="clear" w:fill="FFFFFF"/>
        </w:rPr>
        <w:t> </w:t>
      </w:r>
      <w:r>
        <w:rPr>
          <w:rFonts w:hint="default" w:ascii="方正仿宋_GB2312" w:hAnsi="方正仿宋_GB2312" w:eastAsia="仿宋_GB2312" w:cs="方正仿宋_GB2312"/>
          <w:b w:val="0"/>
          <w:bCs w:val="0"/>
          <w:i w:val="0"/>
          <w:iCs w:val="0"/>
          <w:caps w:val="0"/>
          <w:color w:val="333333"/>
          <w:spacing w:val="0"/>
          <w:sz w:val="30"/>
          <w:szCs w:val="30"/>
          <w:shd w:val="clear" w:fill="FFFFFF"/>
        </w:rPr>
        <w:t>餐厨废弃物收运企业应当遵守下列规定：</w:t>
      </w:r>
    </w:p>
    <w:p w14:paraId="026F80E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（一）应当与餐厨废弃物产生单位签订收运服务协议并报所在城区市容和环境卫生行政主管部门备案；</w:t>
      </w:r>
    </w:p>
    <w:p w14:paraId="5130EA5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（二）免费为餐厨废弃物产生单位提供符合标准的餐厨废弃物全密闭专用收集容器；</w:t>
      </w:r>
    </w:p>
    <w:p w14:paraId="7A8CD8F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（三）遵守环境卫生作业标准和规范，按照收运服务协议的约定，及时收运餐厨废弃物；</w:t>
      </w:r>
    </w:p>
    <w:p w14:paraId="681D444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（四）收集餐厨废弃物后，应当及时清理作业场地，并将收集的餐厨废弃物运到指定处置场所；</w:t>
      </w:r>
    </w:p>
    <w:p w14:paraId="57961B5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（五）不得将收集的餐厨废弃物交由未取得餐厨废弃物处置服务许可的单位和个人处置;</w:t>
      </w:r>
    </w:p>
    <w:p w14:paraId="7260109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（六）用于收运餐厨废弃物的车辆，应当为全密闭自动卸载车辆，确保密封、完好，保持外观整洁，并喷涂规定的标识标志；</w:t>
      </w:r>
    </w:p>
    <w:p w14:paraId="5843DC0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（七）法律、法规、规章规定的其他要求。</w:t>
      </w:r>
    </w:p>
    <w:p w14:paraId="598BC60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第十二条</w:t>
      </w:r>
      <w:r>
        <w:rPr>
          <w:rFonts w:hint="default" w:ascii="Times New Roman" w:hAnsi="Times New Roman" w:eastAsia="Helvetica" w:cs="Times New Roman"/>
          <w:b w:val="0"/>
          <w:bCs w:val="0"/>
          <w:i w:val="0"/>
          <w:iCs w:val="0"/>
          <w:caps w:val="0"/>
          <w:color w:val="333333"/>
          <w:spacing w:val="0"/>
          <w:sz w:val="31"/>
          <w:szCs w:val="31"/>
          <w:shd w:val="clear" w:fill="FFFFFF"/>
        </w:rPr>
        <w:t> </w:t>
      </w:r>
      <w:r>
        <w:rPr>
          <w:rFonts w:hint="default" w:ascii="方正仿宋_GB2312" w:hAnsi="方正仿宋_GB2312" w:eastAsia="仿宋_GB2312" w:cs="方正仿宋_GB2312"/>
          <w:b w:val="0"/>
          <w:bCs w:val="0"/>
          <w:i w:val="0"/>
          <w:iCs w:val="0"/>
          <w:caps w:val="0"/>
          <w:color w:val="333333"/>
          <w:spacing w:val="0"/>
          <w:sz w:val="30"/>
          <w:szCs w:val="30"/>
          <w:shd w:val="clear" w:fill="FFFFFF"/>
        </w:rPr>
        <w:t>餐厨废弃物处置企业应当遵守下列规定：</w:t>
      </w:r>
    </w:p>
    <w:p w14:paraId="4BC80C5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（一）按照处置服务协议和规范要求接收餐厨废弃物收运企业运送的餐厨废弃物；</w:t>
      </w:r>
    </w:p>
    <w:p w14:paraId="4A9D9E4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（二）严格按照相关规定和技术标准，处理处置餐厨废弃物过程中产生的废水、废气、废渣、粉尘等，防止二次污染;</w:t>
      </w:r>
    </w:p>
    <w:p w14:paraId="75E088D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（三）按照要求配备餐厨废弃物处置设施、设备，并保证其运行良好;</w:t>
      </w:r>
    </w:p>
    <w:p w14:paraId="4C7777D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（四）对每日收运、进出场站、处置的餐厨废弃物进行计量，按照要求将统计数据和报表报送市市容和环境卫生行政主管部门；</w:t>
      </w:r>
    </w:p>
    <w:p w14:paraId="01DED67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（五）应当保持餐厨废弃物处置场地和周边环境整洁；</w:t>
      </w:r>
    </w:p>
    <w:p w14:paraId="485BDD1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（六）按照要求定期进行水、气、土壤等环境监测，对餐厨废弃物处置设施的性能和环保指标进行检测、评价，向环境保护、市容和环境卫生行政主管部门报告检测、评价结果。</w:t>
      </w:r>
    </w:p>
    <w:p w14:paraId="02B694F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（七）法律、法规、规章规定的其他要求。</w:t>
      </w:r>
    </w:p>
    <w:p w14:paraId="4015759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第十三条 </w:t>
      </w:r>
      <w:r>
        <w:rPr>
          <w:rFonts w:hint="default" w:ascii="方正仿宋_GB2312" w:hAnsi="方正仿宋_GB2312" w:eastAsia="仿宋_GB2312" w:cs="方正仿宋_GB2312"/>
          <w:b w:val="0"/>
          <w:bCs w:val="0"/>
          <w:i w:val="0"/>
          <w:iCs w:val="0"/>
          <w:caps w:val="0"/>
          <w:color w:val="333333"/>
          <w:spacing w:val="0"/>
          <w:sz w:val="30"/>
          <w:szCs w:val="30"/>
          <w:shd w:val="clear" w:fill="FFFFFF"/>
        </w:rPr>
        <w:t>任何单位和个人不得有下列行为：</w:t>
      </w:r>
    </w:p>
    <w:p w14:paraId="3EB6101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（一）将餐厨废弃物裸露堆放或者任意倾倒、抛洒、丢弃；</w:t>
      </w:r>
    </w:p>
    <w:p w14:paraId="25696BA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（二）将餐厨废弃物作为食品或者食品加工原料用于生产经营；</w:t>
      </w:r>
    </w:p>
    <w:p w14:paraId="05E50F1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（三）将餐厨废弃物直接或者提炼作为食用油销售、使用；</w:t>
      </w:r>
    </w:p>
    <w:p w14:paraId="3A441D1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（四）法律、法规和规章禁止的其他行为。</w:t>
      </w:r>
    </w:p>
    <w:p w14:paraId="0E9FD23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0"/>
        <w:jc w:val="center"/>
        <w:textAlignment w:val="auto"/>
        <w:rPr>
          <w:rFonts w:hint="default" w:ascii="Helvetica" w:hAnsi="Helvetica" w:eastAsia="Helvetica" w:cs="Helvetica"/>
          <w:b w:val="0"/>
          <w:bCs w:val="0"/>
          <w:i w:val="0"/>
          <w:iCs w:val="0"/>
          <w:caps w:val="0"/>
          <w:color w:val="333333"/>
          <w:spacing w:val="0"/>
          <w:sz w:val="31"/>
          <w:szCs w:val="31"/>
        </w:rPr>
      </w:pPr>
      <w:r>
        <w:rPr>
          <w:rFonts w:hint="eastAsia" w:ascii="黑体" w:hAnsi="宋体" w:eastAsia="黑体" w:cs="黑体"/>
          <w:b w:val="0"/>
          <w:bCs w:val="0"/>
          <w:i w:val="0"/>
          <w:iCs w:val="0"/>
          <w:caps w:val="0"/>
          <w:color w:val="333333"/>
          <w:spacing w:val="0"/>
          <w:sz w:val="31"/>
          <w:szCs w:val="31"/>
          <w:shd w:val="clear" w:fill="FFFFFF"/>
        </w:rPr>
        <w:t>第三章　监督管理</w:t>
      </w:r>
    </w:p>
    <w:p w14:paraId="3EE8E6C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第十四条</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r>
        <w:rPr>
          <w:rFonts w:hint="default" w:ascii="方正仿宋_GB2312" w:hAnsi="方正仿宋_GB2312" w:eastAsia="仿宋_GB2312" w:cs="方正仿宋_GB2312"/>
          <w:b w:val="0"/>
          <w:bCs w:val="0"/>
          <w:i w:val="0"/>
          <w:iCs w:val="0"/>
          <w:caps w:val="0"/>
          <w:color w:val="333333"/>
          <w:spacing w:val="0"/>
          <w:sz w:val="30"/>
          <w:szCs w:val="30"/>
          <w:shd w:val="clear" w:fill="FFFFFF"/>
        </w:rPr>
        <w:t>餐厨废弃物产生单位和收运、处置企业应当建立台账，真实、完整记录餐厨废弃物的种类、数量、去向、用途等内容。台账资料的保存期限不少于两年。</w:t>
      </w:r>
    </w:p>
    <w:p w14:paraId="32F72B6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餐厨废弃物产生单位交运餐厨废弃物时，应当如实填写联单，餐厨废弃物收运、处置企业接收餐厨废弃物时应当对联单核实确认。联单管理制度由市市容和环境卫生行政主管部门另行制定。</w:t>
      </w:r>
    </w:p>
    <w:p w14:paraId="158305D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第十五条</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r>
        <w:rPr>
          <w:rFonts w:hint="default" w:ascii="方正仿宋_GB2312" w:hAnsi="方正仿宋_GB2312" w:eastAsia="仿宋_GB2312" w:cs="方正仿宋_GB2312"/>
          <w:b w:val="0"/>
          <w:bCs w:val="0"/>
          <w:i w:val="0"/>
          <w:iCs w:val="0"/>
          <w:caps w:val="0"/>
          <w:color w:val="333333"/>
          <w:spacing w:val="0"/>
          <w:sz w:val="30"/>
          <w:szCs w:val="30"/>
          <w:shd w:val="clear" w:fill="FFFFFF"/>
        </w:rPr>
        <w:t>餐厨废弃物收运、处置企业不得擅自停业、歇业。确需停业、歇业的，餐厨废弃物收运、处置企业应当提前6个月向市市容和环境卫生行政主管部门报告，经批准后方可停业或者歇业。</w:t>
      </w:r>
    </w:p>
    <w:p w14:paraId="1C6E070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市市容和环境卫生行政主管部门应当在餐厨废弃物收运、处置企业停业或者歇业前，落实保障及时收运、处置餐厨废弃物的措施。</w:t>
      </w:r>
    </w:p>
    <w:p w14:paraId="308A2AE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第十六条</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r>
        <w:rPr>
          <w:rFonts w:hint="default" w:ascii="方正仿宋_GB2312" w:hAnsi="方正仿宋_GB2312" w:eastAsia="仿宋_GB2312" w:cs="方正仿宋_GB2312"/>
          <w:b w:val="0"/>
          <w:bCs w:val="0"/>
          <w:i w:val="0"/>
          <w:iCs w:val="0"/>
          <w:caps w:val="0"/>
          <w:color w:val="333333"/>
          <w:spacing w:val="0"/>
          <w:sz w:val="30"/>
          <w:szCs w:val="30"/>
          <w:shd w:val="clear" w:fill="FFFFFF"/>
        </w:rPr>
        <w:t>市市容和环境卫生行政主管部门应当会同有关部门制定餐厨废弃物收运、处置应急预案，建立餐厨废弃物应急处理系统，确保紧急或者特殊情况下餐厨废弃物正常收运、处置。</w:t>
      </w:r>
    </w:p>
    <w:p w14:paraId="04CD68B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餐厨废弃物收运、处置企业，应当制定餐厨废弃物污染突发事件防范的应急方案，并报所在城区城市管理执法行政主管部门备案。</w:t>
      </w:r>
    </w:p>
    <w:p w14:paraId="0E786A7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第十七条</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r>
        <w:rPr>
          <w:rFonts w:hint="default" w:ascii="方正仿宋_GB2312" w:hAnsi="方正仿宋_GB2312" w:eastAsia="仿宋_GB2312" w:cs="方正仿宋_GB2312"/>
          <w:b w:val="0"/>
          <w:bCs w:val="0"/>
          <w:i w:val="0"/>
          <w:iCs w:val="0"/>
          <w:caps w:val="0"/>
          <w:color w:val="333333"/>
          <w:spacing w:val="0"/>
          <w:sz w:val="30"/>
          <w:szCs w:val="30"/>
          <w:shd w:val="clear" w:fill="FFFFFF"/>
        </w:rPr>
        <w:t>城市管理执法行政主管部门应当会同相关行政主管部门建立行政执法协调联动机制和行政执法信息共享机制，依法、及时、全面查处餐厨废弃物违法行为。</w:t>
      </w:r>
    </w:p>
    <w:p w14:paraId="39DA30D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第十八条</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r>
        <w:rPr>
          <w:rFonts w:hint="default" w:ascii="方正仿宋_GB2312" w:hAnsi="方正仿宋_GB2312" w:eastAsia="仿宋_GB2312" w:cs="方正仿宋_GB2312"/>
          <w:b w:val="0"/>
          <w:bCs w:val="0"/>
          <w:i w:val="0"/>
          <w:iCs w:val="0"/>
          <w:caps w:val="0"/>
          <w:color w:val="333333"/>
          <w:spacing w:val="0"/>
          <w:sz w:val="30"/>
          <w:szCs w:val="30"/>
          <w:shd w:val="clear" w:fill="FFFFFF"/>
        </w:rPr>
        <w:t>市市容和环境卫生行政主管部门应当建立餐厨废弃物产生单位和收运、处置企业信用档案，记录日常监督检查结果、违法行为查处等情况，将餐厨废弃物管理情况纳入诚信体系建设。</w:t>
      </w:r>
    </w:p>
    <w:p w14:paraId="1C67E73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right="0"/>
        <w:jc w:val="center"/>
        <w:textAlignment w:val="auto"/>
        <w:rPr>
          <w:rFonts w:hint="default" w:ascii="黑体" w:hAnsi="黑体" w:eastAsia="黑体" w:cs="黑体"/>
          <w:b w:val="0"/>
          <w:bCs w:val="0"/>
          <w:i w:val="0"/>
          <w:iCs w:val="0"/>
          <w:caps w:val="0"/>
          <w:color w:val="333333"/>
          <w:spacing w:val="0"/>
          <w:sz w:val="30"/>
          <w:szCs w:val="30"/>
          <w:shd w:val="clear" w:fill="FFFFFF"/>
        </w:rPr>
      </w:pPr>
      <w:r>
        <w:rPr>
          <w:rFonts w:hint="eastAsia" w:ascii="黑体" w:hAnsi="黑体" w:eastAsia="黑体" w:cs="黑体"/>
          <w:b w:val="0"/>
          <w:bCs w:val="0"/>
          <w:i w:val="0"/>
          <w:iCs w:val="0"/>
          <w:caps w:val="0"/>
          <w:color w:val="333333"/>
          <w:spacing w:val="0"/>
          <w:sz w:val="30"/>
          <w:szCs w:val="30"/>
          <w:shd w:val="clear" w:fill="FFFFFF"/>
        </w:rPr>
        <w:t>第四章</w:t>
      </w:r>
      <w:r>
        <w:rPr>
          <w:rFonts w:hint="default" w:ascii="黑体" w:hAnsi="黑体" w:eastAsia="黑体" w:cs="黑体"/>
          <w:b w:val="0"/>
          <w:bCs w:val="0"/>
          <w:i w:val="0"/>
          <w:iCs w:val="0"/>
          <w:caps w:val="0"/>
          <w:color w:val="333333"/>
          <w:spacing w:val="0"/>
          <w:sz w:val="30"/>
          <w:szCs w:val="30"/>
          <w:shd w:val="clear" w:fill="FFFFFF"/>
        </w:rPr>
        <w:t> </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r>
        <w:rPr>
          <w:rFonts w:hint="eastAsia" w:ascii="黑体" w:hAnsi="黑体" w:eastAsia="黑体" w:cs="黑体"/>
          <w:b w:val="0"/>
          <w:bCs w:val="0"/>
          <w:i w:val="0"/>
          <w:iCs w:val="0"/>
          <w:caps w:val="0"/>
          <w:color w:val="333333"/>
          <w:spacing w:val="0"/>
          <w:sz w:val="30"/>
          <w:szCs w:val="30"/>
          <w:shd w:val="clear" w:fill="FFFFFF"/>
        </w:rPr>
        <w:t>法律责任</w:t>
      </w:r>
    </w:p>
    <w:p w14:paraId="240A76D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第十九条</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r>
        <w:rPr>
          <w:rFonts w:hint="default" w:ascii="方正仿宋_GB2312" w:hAnsi="方正仿宋_GB2312" w:eastAsia="仿宋_GB2312" w:cs="方正仿宋_GB2312"/>
          <w:b w:val="0"/>
          <w:bCs w:val="0"/>
          <w:i w:val="0"/>
          <w:iCs w:val="0"/>
          <w:caps w:val="0"/>
          <w:color w:val="333333"/>
          <w:spacing w:val="0"/>
          <w:sz w:val="30"/>
          <w:szCs w:val="30"/>
          <w:shd w:val="clear" w:fill="FFFFFF"/>
        </w:rPr>
        <w:t>违反本办法第八条规定，未经许可从事餐厨废弃物收运、处置活动的，由城市管理执法行政主管部门责令停止违法行为，并处以五千元以上三万元以下罚款。</w:t>
      </w:r>
    </w:p>
    <w:p w14:paraId="098FDDE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第二十条</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r>
        <w:rPr>
          <w:rFonts w:hint="default" w:ascii="方正仿宋_GB2312" w:hAnsi="方正仿宋_GB2312" w:eastAsia="仿宋_GB2312" w:cs="方正仿宋_GB2312"/>
          <w:b w:val="0"/>
          <w:bCs w:val="0"/>
          <w:i w:val="0"/>
          <w:iCs w:val="0"/>
          <w:caps w:val="0"/>
          <w:color w:val="333333"/>
          <w:spacing w:val="0"/>
          <w:sz w:val="30"/>
          <w:szCs w:val="30"/>
          <w:shd w:val="clear" w:fill="FFFFFF"/>
        </w:rPr>
        <w:t>餐厨废弃物产生单位违反本办法第十条第（一）、（二）项规定，由城市管理执法行政主管部门责令停止违法行为，限期改正，并按照下列规定予以处罚：</w:t>
      </w:r>
    </w:p>
    <w:p w14:paraId="781C9F7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（一）违反第（一）项规定，将餐厨废弃物交由未取得餐厨废弃物收运、处置服务许可的单位和个人收运、处置的，处以一千元以上一万元以下罚款；</w:t>
      </w:r>
    </w:p>
    <w:p w14:paraId="17DD4D9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（二）违反第（二）项规定，未将餐厨废弃物与其他城市生活垃圾分类收集，未按要求使用餐厨废弃物全密闭专用收集容器，未保持容器完好、密闭、整洁的，处以一千元以上五千元以下罚款。</w:t>
      </w:r>
      <w:r>
        <w:rPr>
          <w:rFonts w:hint="eastAsia" w:ascii="黑体" w:hAnsi="黑体" w:eastAsia="黑体" w:cs="黑体"/>
          <w:b w:val="0"/>
          <w:bCs w:val="0"/>
          <w:i w:val="0"/>
          <w:iCs w:val="0"/>
          <w:caps w:val="0"/>
          <w:color w:val="333333"/>
          <w:spacing w:val="0"/>
          <w:sz w:val="30"/>
          <w:szCs w:val="30"/>
          <w:shd w:val="clear" w:fill="FFFFFF"/>
          <w:lang w:val="en-US" w:eastAsia="zh-CN"/>
        </w:rPr>
        <w:tab/>
      </w:r>
      <w:r>
        <w:rPr>
          <w:rFonts w:hint="default" w:ascii="黑体" w:hAnsi="黑体" w:eastAsia="黑体" w:cs="黑体"/>
          <w:b w:val="0"/>
          <w:bCs w:val="0"/>
          <w:i w:val="0"/>
          <w:iCs w:val="0"/>
          <w:caps w:val="0"/>
          <w:color w:val="333333"/>
          <w:spacing w:val="0"/>
          <w:sz w:val="30"/>
          <w:szCs w:val="30"/>
          <w:shd w:val="clear" w:fill="FFFFFF"/>
        </w:rPr>
        <w:t>第二十一条</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bookmarkStart w:id="0" w:name="_GoBack"/>
      <w:bookmarkEnd w:id="0"/>
      <w:r>
        <w:rPr>
          <w:rFonts w:hint="default" w:ascii="方正仿宋_GB2312" w:hAnsi="方正仿宋_GB2312" w:eastAsia="仿宋_GB2312" w:cs="方正仿宋_GB2312"/>
          <w:b w:val="0"/>
          <w:bCs w:val="0"/>
          <w:i w:val="0"/>
          <w:iCs w:val="0"/>
          <w:caps w:val="0"/>
          <w:color w:val="333333"/>
          <w:spacing w:val="0"/>
          <w:sz w:val="30"/>
          <w:szCs w:val="30"/>
          <w:shd w:val="clear" w:fill="FFFFFF"/>
        </w:rPr>
        <w:t>餐厨废弃物收运企业违反本办法第十一条第（一）、（二）、（五）项规定，由城市管理执法行政主管部门责令停止违法行为，限期改正，并按照下列规定予以处罚：</w:t>
      </w:r>
    </w:p>
    <w:p w14:paraId="25A8753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违反第（一）项规定，未将餐厨废弃物收运服务协议备案的，处以一千元以上三千元以下罚款；</w:t>
      </w:r>
    </w:p>
    <w:p w14:paraId="6966545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（二）违反第（二）项规定，未提供符合标准的餐厨废弃物全密闭专用收集容器的，处以一千元以上五千元以下罚款；</w:t>
      </w:r>
    </w:p>
    <w:p w14:paraId="4196E89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方正仿宋_GB2312" w:hAnsi="方正仿宋_GB2312" w:eastAsia="仿宋_GB2312" w:cs="方正仿宋_GB2312"/>
          <w:b w:val="0"/>
          <w:bCs w:val="0"/>
          <w:i w:val="0"/>
          <w:iCs w:val="0"/>
          <w:caps w:val="0"/>
          <w:color w:val="333333"/>
          <w:spacing w:val="0"/>
          <w:sz w:val="30"/>
          <w:szCs w:val="30"/>
          <w:shd w:val="clear" w:fill="FFFFFF"/>
        </w:rPr>
        <w:t>（三）违反第（五）项规定，将收集的餐厨废弃物交由未取得餐厨废弃物处置服务许可的单位和个人处置的，处以五千元以上三万元以下罚款。</w:t>
      </w:r>
    </w:p>
    <w:p w14:paraId="6B4F55C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第二十二条</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r>
        <w:rPr>
          <w:rFonts w:hint="default" w:ascii="方正仿宋_GB2312" w:hAnsi="方正仿宋_GB2312" w:eastAsia="仿宋_GB2312" w:cs="方正仿宋_GB2312"/>
          <w:b w:val="0"/>
          <w:bCs w:val="0"/>
          <w:i w:val="0"/>
          <w:iCs w:val="0"/>
          <w:caps w:val="0"/>
          <w:color w:val="333333"/>
          <w:spacing w:val="0"/>
          <w:sz w:val="30"/>
          <w:szCs w:val="30"/>
          <w:shd w:val="clear" w:fill="FFFFFF"/>
        </w:rPr>
        <w:t>违反本办法第十四条规定，未建立台账或者未实行联单管理制度的，由城市管理执法行政主管部门责令限期整改，并处以三千元以上一万元以下罚款。</w:t>
      </w:r>
    </w:p>
    <w:p w14:paraId="56697FC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第二十三条</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r>
        <w:rPr>
          <w:rFonts w:hint="default" w:ascii="方正仿宋_GB2312" w:hAnsi="方正仿宋_GB2312" w:eastAsia="仿宋_GB2312" w:cs="方正仿宋_GB2312"/>
          <w:b w:val="0"/>
          <w:bCs w:val="0"/>
          <w:i w:val="0"/>
          <w:iCs w:val="0"/>
          <w:caps w:val="0"/>
          <w:color w:val="333333"/>
          <w:spacing w:val="0"/>
          <w:sz w:val="30"/>
          <w:szCs w:val="30"/>
          <w:shd w:val="clear" w:fill="FFFFFF"/>
        </w:rPr>
        <w:t>违反本办法规定，应当给予处罚的其他行为，依照有关法律、法规、规章执行。</w:t>
      </w:r>
    </w:p>
    <w:p w14:paraId="77690D6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第二十四条</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r>
        <w:rPr>
          <w:rFonts w:hint="default" w:ascii="方正仿宋_GB2312" w:hAnsi="方正仿宋_GB2312" w:eastAsia="仿宋_GB2312" w:cs="方正仿宋_GB2312"/>
          <w:b w:val="0"/>
          <w:bCs w:val="0"/>
          <w:i w:val="0"/>
          <w:iCs w:val="0"/>
          <w:caps w:val="0"/>
          <w:color w:val="333333"/>
          <w:spacing w:val="0"/>
          <w:sz w:val="30"/>
          <w:szCs w:val="30"/>
          <w:shd w:val="clear" w:fill="FFFFFF"/>
        </w:rPr>
        <w:t>行政主管部门和有关工作人员在餐厨废弃物监督和管理工作中滥用职权、徇私舞弊、玩忽职守的，由其所在单位、上级主管部门或者监察机关视情节轻重依法给予行政处分；构成犯罪的，依法追究刑事责任。</w:t>
      </w:r>
    </w:p>
    <w:p w14:paraId="05A3553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right="0"/>
        <w:jc w:val="center"/>
        <w:textAlignment w:val="auto"/>
        <w:rPr>
          <w:rFonts w:hint="default" w:ascii="黑体" w:hAnsi="黑体" w:eastAsia="黑体" w:cs="黑体"/>
          <w:b w:val="0"/>
          <w:bCs w:val="0"/>
          <w:i w:val="0"/>
          <w:iCs w:val="0"/>
          <w:caps w:val="0"/>
          <w:color w:val="333333"/>
          <w:spacing w:val="0"/>
          <w:sz w:val="30"/>
          <w:szCs w:val="30"/>
          <w:shd w:val="clear" w:fill="FFFFFF"/>
        </w:rPr>
      </w:pPr>
      <w:r>
        <w:rPr>
          <w:rFonts w:hint="eastAsia" w:ascii="黑体" w:hAnsi="黑体" w:eastAsia="黑体" w:cs="黑体"/>
          <w:b w:val="0"/>
          <w:bCs w:val="0"/>
          <w:i w:val="0"/>
          <w:iCs w:val="0"/>
          <w:caps w:val="0"/>
          <w:color w:val="333333"/>
          <w:spacing w:val="0"/>
          <w:sz w:val="30"/>
          <w:szCs w:val="30"/>
          <w:shd w:val="clear" w:fill="FFFFFF"/>
        </w:rPr>
        <w:t>第五章</w:t>
      </w:r>
      <w:r>
        <w:rPr>
          <w:rFonts w:hint="default" w:ascii="黑体" w:hAnsi="黑体" w:eastAsia="黑体" w:cs="黑体"/>
          <w:b w:val="0"/>
          <w:bCs w:val="0"/>
          <w:i w:val="0"/>
          <w:iCs w:val="0"/>
          <w:caps w:val="0"/>
          <w:color w:val="333333"/>
          <w:spacing w:val="0"/>
          <w:sz w:val="30"/>
          <w:szCs w:val="30"/>
          <w:shd w:val="clear" w:fill="FFFFFF"/>
        </w:rPr>
        <w:t> </w:t>
      </w:r>
      <w:r>
        <w:rPr>
          <w:rFonts w:hint="eastAsia" w:ascii="黑体" w:hAnsi="黑体" w:eastAsia="黑体" w:cs="黑体"/>
          <w:b w:val="0"/>
          <w:bCs w:val="0"/>
          <w:i w:val="0"/>
          <w:iCs w:val="0"/>
          <w:caps w:val="0"/>
          <w:color w:val="333333"/>
          <w:spacing w:val="0"/>
          <w:sz w:val="30"/>
          <w:szCs w:val="30"/>
          <w:shd w:val="clear" w:fill="FFFFFF"/>
        </w:rPr>
        <w:t>附</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r>
        <w:rPr>
          <w:rFonts w:hint="eastAsia" w:ascii="黑体" w:hAnsi="黑体" w:eastAsia="黑体" w:cs="黑体"/>
          <w:b w:val="0"/>
          <w:bCs w:val="0"/>
          <w:i w:val="0"/>
          <w:iCs w:val="0"/>
          <w:caps w:val="0"/>
          <w:color w:val="333333"/>
          <w:spacing w:val="0"/>
          <w:sz w:val="30"/>
          <w:szCs w:val="30"/>
          <w:shd w:val="clear" w:fill="FFFFFF"/>
        </w:rPr>
        <w:t>则</w:t>
      </w:r>
    </w:p>
    <w:p w14:paraId="69AA80A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第二十五条</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r>
        <w:rPr>
          <w:rFonts w:hint="default" w:ascii="方正仿宋_GB2312" w:hAnsi="方正仿宋_GB2312" w:eastAsia="仿宋_GB2312" w:cs="方正仿宋_GB2312"/>
          <w:b w:val="0"/>
          <w:bCs w:val="0"/>
          <w:i w:val="0"/>
          <w:iCs w:val="0"/>
          <w:caps w:val="0"/>
          <w:color w:val="333333"/>
          <w:spacing w:val="0"/>
          <w:sz w:val="30"/>
          <w:szCs w:val="30"/>
          <w:shd w:val="clear" w:fill="FFFFFF"/>
        </w:rPr>
        <w:t>市辖县可以参照本办法对餐厨废弃物实施管理。</w:t>
      </w:r>
    </w:p>
    <w:p w14:paraId="6787769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360" w:lineRule="auto"/>
        <w:ind w:left="0" w:right="0" w:firstLine="634"/>
        <w:jc w:val="left"/>
        <w:textAlignment w:val="auto"/>
        <w:rPr>
          <w:rFonts w:hint="default" w:ascii="方正仿宋_GB2312" w:hAnsi="方正仿宋_GB2312" w:eastAsia="仿宋_GB2312" w:cs="方正仿宋_GB2312"/>
          <w:b w:val="0"/>
          <w:bCs w:val="0"/>
          <w:i w:val="0"/>
          <w:iCs w:val="0"/>
          <w:caps w:val="0"/>
          <w:color w:val="333333"/>
          <w:spacing w:val="0"/>
          <w:sz w:val="30"/>
          <w:szCs w:val="30"/>
          <w:shd w:val="clear" w:fill="FFFFFF"/>
        </w:rPr>
      </w:pPr>
      <w:r>
        <w:rPr>
          <w:rFonts w:hint="default" w:ascii="黑体" w:hAnsi="黑体" w:eastAsia="黑体" w:cs="黑体"/>
          <w:b w:val="0"/>
          <w:bCs w:val="0"/>
          <w:i w:val="0"/>
          <w:iCs w:val="0"/>
          <w:caps w:val="0"/>
          <w:color w:val="333333"/>
          <w:spacing w:val="0"/>
          <w:sz w:val="30"/>
          <w:szCs w:val="30"/>
          <w:shd w:val="clear" w:fill="FFFFFF"/>
        </w:rPr>
        <w:t>第二十六条</w:t>
      </w:r>
      <w:r>
        <w:rPr>
          <w:rFonts w:hint="eastAsia" w:ascii="黑体" w:hAnsi="黑体" w:eastAsia="黑体" w:cs="黑体"/>
          <w:b w:val="0"/>
          <w:bCs w:val="0"/>
          <w:i w:val="0"/>
          <w:iCs w:val="0"/>
          <w:caps w:val="0"/>
          <w:color w:val="333333"/>
          <w:spacing w:val="0"/>
          <w:sz w:val="30"/>
          <w:szCs w:val="30"/>
          <w:shd w:val="clear" w:fill="FFFFFF"/>
          <w:lang w:val="en-US" w:eastAsia="zh-CN"/>
        </w:rPr>
        <w:t xml:space="preserve"> </w:t>
      </w:r>
      <w:r>
        <w:rPr>
          <w:rFonts w:hint="default" w:ascii="方正仿宋_GB2312" w:hAnsi="方正仿宋_GB2312" w:eastAsia="仿宋_GB2312" w:cs="方正仿宋_GB2312"/>
          <w:b w:val="0"/>
          <w:bCs w:val="0"/>
          <w:i w:val="0"/>
          <w:iCs w:val="0"/>
          <w:caps w:val="0"/>
          <w:color w:val="333333"/>
          <w:spacing w:val="0"/>
          <w:sz w:val="30"/>
          <w:szCs w:val="30"/>
          <w:shd w:val="clear" w:fill="FFFFFF"/>
        </w:rPr>
        <w:t>本办法自2018年10月1日起施行。</w:t>
      </w:r>
    </w:p>
    <w:p w14:paraId="7353A35D">
      <w:pPr>
        <w:keepNext w:val="0"/>
        <w:keepLines w:val="0"/>
        <w:pageBreakBefore w:val="0"/>
        <w:widowControl/>
        <w:suppressLineNumbers w:val="0"/>
        <w:kinsoku/>
        <w:wordWrap/>
        <w:overflowPunct/>
        <w:topLinePunct w:val="0"/>
        <w:autoSpaceDE/>
        <w:autoSpaceDN/>
        <w:bidi w:val="0"/>
        <w:adjustRightInd/>
        <w:snapToGrid/>
        <w:spacing w:before="30" w:line="360" w:lineRule="auto"/>
        <w:ind w:firstLine="420" w:firstLineChars="200"/>
        <w:jc w:val="left"/>
        <w:textAlignment w:val="auto"/>
        <w:rPr>
          <w:rFonts w:hint="eastAsia"/>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33A21E3-DDD4-4020-B2E5-55A197425F2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简体">
    <w:altName w:val="宋体"/>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2" w:fontKey="{8B602E6A-9919-49FB-BF93-CDA9FAD31B05}"/>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embedRegular r:id="rId3" w:fontKey="{5AD0BAB4-AA5C-4C9F-8265-5FA5B66D03A3}"/>
  </w:font>
  <w:font w:name="仿宋_GB2312">
    <w:altName w:val="仿宋"/>
    <w:panose1 w:val="00000000000000000000"/>
    <w:charset w:val="00"/>
    <w:family w:val="auto"/>
    <w:pitch w:val="default"/>
    <w:sig w:usb0="00000000" w:usb1="00000000" w:usb2="00000000" w:usb3="00000000" w:csb0="00000000" w:csb1="00000000"/>
    <w:embedRegular r:id="rId4" w:fontKey="{BA89EB8E-B3E4-49B1-A5DC-12A697A075AD}"/>
  </w:font>
  <w:font w:name="方正小标宋简体">
    <w:panose1 w:val="02000000000000000000"/>
    <w:charset w:val="86"/>
    <w:family w:val="auto"/>
    <w:pitch w:val="default"/>
    <w:sig w:usb0="00000001" w:usb1="08000000" w:usb2="00000000" w:usb3="00000000" w:csb0="00040000" w:csb1="00000000"/>
    <w:embedRegular r:id="rId5" w:fontKey="{736ECD50-EB87-4017-A40F-EFC56B4185F7}"/>
  </w:font>
  <w:font w:name="Helvetica">
    <w:altName w:val="Arial"/>
    <w:panose1 w:val="00000000000000000000"/>
    <w:charset w:val="00"/>
    <w:family w:val="auto"/>
    <w:pitch w:val="default"/>
    <w:sig w:usb0="00000000" w:usb1="00000000" w:usb2="00000000" w:usb3="00000000" w:csb0="00000000" w:csb1="00000000"/>
    <w:embedRegular r:id="rId6" w:fontKey="{7258D307-E485-4346-891B-F2F960AAF26D}"/>
  </w:font>
  <w:font w:name="方正仿宋_GB2312">
    <w:panose1 w:val="02000000000000000000"/>
    <w:charset w:val="86"/>
    <w:family w:val="auto"/>
    <w:pitch w:val="default"/>
    <w:sig w:usb0="A00002BF" w:usb1="184F6CFA" w:usb2="00000012" w:usb3="00000000" w:csb0="00040001" w:csb1="00000000"/>
    <w:embedRegular r:id="rId7" w:fontKey="{191C169D-8E58-405B-8467-11A4FC23EEB8}"/>
  </w:font>
  <w:font w:name="KSOFE44F9426">
    <w:panose1 w:val="02010609060101010101"/>
    <w:charset w:val="86"/>
    <w:family w:val="auto"/>
    <w:pitch w:val="default"/>
    <w:sig w:usb0="00000001" w:usb1="00000000" w:usb2="00000000" w:usb3="00000000" w:csb0="00040001" w:csb1="00000000"/>
  </w:font>
  <w:font w:name="KSOF7FC4CF2A">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8B6EA">
    <w:pPr>
      <w:pStyle w:val="5"/>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2D8AEA">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A2D8AEA">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p w14:paraId="452EF833">
    <w:pPr>
      <w:pStyle w:val="5"/>
      <w:wordWrap w:val="0"/>
      <w:ind w:left="4788" w:leftChars="2280" w:firstLine="6400" w:firstLineChars="2000"/>
      <w:jc w:val="right"/>
      <w:rPr>
        <w:rFonts w:hint="eastAsia" w:ascii="宋体" w:hAnsi="宋体" w:eastAsia="宋体" w:cs="宋体"/>
        <w:b/>
        <w:bCs/>
        <w:color w:val="005192"/>
        <w:sz w:val="28"/>
        <w:szCs w:val="44"/>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sz w:val="32"/>
        <w:szCs w:val="48"/>
        <w:lang w:val="en-US" w:eastAsia="zh-CN"/>
      </w:rPr>
      <w:t>X</w:t>
    </w:r>
    <w:r>
      <w:rPr>
        <w:rFonts w:hint="eastAsia" w:ascii="宋体" w:hAnsi="宋体" w:cs="宋体"/>
        <w:b/>
        <w:bCs/>
        <w:color w:val="005192"/>
        <w:sz w:val="28"/>
        <w:szCs w:val="44"/>
        <w:lang w:val="en-US" w:eastAsia="zh-CN"/>
      </w:rPr>
      <w:t>柳州市</w:t>
    </w:r>
    <w:r>
      <w:rPr>
        <w:rFonts w:hint="eastAsia" w:ascii="宋体" w:hAnsi="宋体" w:eastAsia="宋体" w:cs="宋体"/>
        <w:b/>
        <w:bCs/>
        <w:color w:val="005192"/>
        <w:sz w:val="28"/>
        <w:szCs w:val="44"/>
        <w:lang w:val="en-US" w:eastAsia="zh-CN"/>
      </w:rPr>
      <w:t>人民政府发布</w:t>
    </w:r>
  </w:p>
  <w:p w14:paraId="22EC027E">
    <w:pPr>
      <w:pStyle w:val="5"/>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170B9">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1803B1F7">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cs="宋体"/>
        <w:b/>
        <w:bCs/>
        <w:color w:val="005192"/>
        <w:sz w:val="32"/>
        <w:szCs w:val="32"/>
        <w:lang w:val="en-US" w:eastAsia="zh-CN"/>
      </w:rPr>
      <w:t>柳州市</w:t>
    </w:r>
    <w:r>
      <w:rPr>
        <w:rFonts w:hint="eastAsia" w:ascii="宋体" w:hAnsi="宋体" w:eastAsia="宋体" w:cs="宋体"/>
        <w:b/>
        <w:bCs/>
        <w:color w:val="005192"/>
        <w:sz w:val="32"/>
        <w:szCs w:val="32"/>
        <w:lang w:val="en-US" w:eastAsia="zh-CN"/>
      </w:rPr>
      <w:t>人民政府规章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zNDlhZWM2MGYxODgyNWE0ZWFmNjA2ZmI1ZDE2YTgifQ=="/>
  </w:docVars>
  <w:rsids>
    <w:rsidRoot w:val="7C9011D9"/>
    <w:rsid w:val="018731C9"/>
    <w:rsid w:val="019E71BD"/>
    <w:rsid w:val="05720A64"/>
    <w:rsid w:val="06A67E67"/>
    <w:rsid w:val="080F63D8"/>
    <w:rsid w:val="09341458"/>
    <w:rsid w:val="152D2DCA"/>
    <w:rsid w:val="1F9812E2"/>
    <w:rsid w:val="22440422"/>
    <w:rsid w:val="261C4014"/>
    <w:rsid w:val="2BCA3B2F"/>
    <w:rsid w:val="2C437E48"/>
    <w:rsid w:val="30AE4904"/>
    <w:rsid w:val="31A15F24"/>
    <w:rsid w:val="36CB4A75"/>
    <w:rsid w:val="37E50598"/>
    <w:rsid w:val="39A232A0"/>
    <w:rsid w:val="3B5A6BBB"/>
    <w:rsid w:val="3CC07EAD"/>
    <w:rsid w:val="3EDA13A6"/>
    <w:rsid w:val="42F058B7"/>
    <w:rsid w:val="436109F6"/>
    <w:rsid w:val="441A38D4"/>
    <w:rsid w:val="47FE0F1C"/>
    <w:rsid w:val="4A635BBB"/>
    <w:rsid w:val="4BC77339"/>
    <w:rsid w:val="4C9236C5"/>
    <w:rsid w:val="52F46F0B"/>
    <w:rsid w:val="54D830AD"/>
    <w:rsid w:val="556A33B6"/>
    <w:rsid w:val="55E064E0"/>
    <w:rsid w:val="608816D1"/>
    <w:rsid w:val="654D592D"/>
    <w:rsid w:val="65CD3420"/>
    <w:rsid w:val="6D0E3F22"/>
    <w:rsid w:val="6D6116D1"/>
    <w:rsid w:val="6DA619C3"/>
    <w:rsid w:val="70F36DEB"/>
    <w:rsid w:val="72E31CDD"/>
    <w:rsid w:val="76E26907"/>
    <w:rsid w:val="7C9011D9"/>
    <w:rsid w:val="7DC651C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Lines="0" w:afterAutospacing="0"/>
    </w:pPr>
  </w:style>
  <w:style w:type="paragraph" w:styleId="3">
    <w:name w:val="index 5"/>
    <w:basedOn w:val="1"/>
    <w:next w:val="1"/>
    <w:qFormat/>
    <w:uiPriority w:val="0"/>
    <w:pPr>
      <w:ind w:left="1680"/>
    </w:pPr>
  </w:style>
  <w:style w:type="paragraph" w:styleId="4">
    <w:name w:val="footer"/>
    <w:basedOn w:val="1"/>
    <w:next w:val="3"/>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page number"/>
    <w:basedOn w:val="8"/>
    <w:qFormat/>
    <w:uiPriority w:val="0"/>
  </w:style>
  <w:style w:type="paragraph" w:customStyle="1" w:styleId="10">
    <w:name w:val="15.5楷体（标题下楷体）"/>
    <w:basedOn w:val="1"/>
    <w:qFormat/>
    <w:uiPriority w:val="0"/>
    <w:pPr>
      <w:spacing w:before="105"/>
      <w:ind w:firstLine="200" w:firstLineChars="200"/>
      <w:jc w:val="center"/>
    </w:pPr>
    <w:rPr>
      <w:rFonts w:ascii="方正书宋简体" w:hAnsi="方正书宋简体" w:eastAsia="楷体_GB2312"/>
      <w:color w:val="000000"/>
      <w:sz w:val="31"/>
      <w:szCs w:val="31"/>
    </w:rPr>
  </w:style>
  <w:style w:type="paragraph" w:customStyle="1" w:styleId="11">
    <w:name w:val="一级标题（二号小标宋）"/>
    <w:basedOn w:val="1"/>
    <w:qFormat/>
    <w:uiPriority w:val="0"/>
    <w:pPr>
      <w:jc w:val="center"/>
    </w:pPr>
    <w:rPr>
      <w:rFonts w:ascii="方正书宋简体" w:hAnsi="方正书宋简体" w:eastAsia="方正小标宋_GBK"/>
      <w:color w:val="000000"/>
      <w:sz w:val="42"/>
      <w:szCs w:val="42"/>
    </w:rPr>
  </w:style>
  <w:style w:type="paragraph" w:customStyle="1" w:styleId="12">
    <w:name w:val="PlainText"/>
    <w:qFormat/>
    <w:uiPriority w:val="0"/>
    <w:pPr>
      <w:widowControl w:val="0"/>
      <w:jc w:val="both"/>
    </w:pPr>
    <w:rPr>
      <w:rFonts w:ascii="宋体" w:hAnsi="Courier New" w:eastAsia="宋体" w:cs="宋体"/>
      <w:kern w:val="2"/>
      <w:sz w:val="21"/>
      <w:szCs w:val="21"/>
      <w:lang w:val="en-US" w:eastAsia="zh-CN" w:bidi="ar-SA"/>
    </w:rPr>
  </w:style>
  <w:style w:type="paragraph" w:customStyle="1" w:styleId="13">
    <w:name w:val="List Paragraph"/>
    <w:basedOn w:val="1"/>
    <w:qFormat/>
    <w:uiPriority w:val="34"/>
    <w:pPr>
      <w:ind w:firstLine="420" w:firstLineChars="200"/>
    </w:pPr>
    <w:rPr>
      <w:rFonts w:cs="Times New Roman"/>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3382</Words>
  <Characters>3407</Characters>
  <Lines>0</Lines>
  <Paragraphs>0</Paragraphs>
  <TotalTime>16</TotalTime>
  <ScaleCrop>false</ScaleCrop>
  <LinksUpToDate>false</LinksUpToDate>
  <CharactersWithSpaces>3443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Rancho</cp:lastModifiedBy>
  <cp:lastPrinted>2021-09-22T01:19:00Z</cp:lastPrinted>
  <dcterms:modified xsi:type="dcterms:W3CDTF">2026-03-12T01:08:21Z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D82C5B66F5A74B0893A15EE7FC8F2D57_13</vt:lpwstr>
  </property>
  <property fmtid="{D5CDD505-2E9C-101B-9397-08002B2CF9AE}" pid="4" name="KSOTemplateDocerSaveRecord">
    <vt:lpwstr>eyJoZGlkIjoiYzdkZDhmZjQ0NzhhNmEwN2M1NjU0YjlhMGRhZWU1MDIiLCJ1c2VySWQiOiI1NTk4NDAzOTcifQ==</vt:lpwstr>
  </property>
</Properties>
</file>